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788F" w14:textId="39B72A3B" w:rsidR="00ED796A" w:rsidRPr="00ED796A" w:rsidRDefault="00ED796A" w:rsidP="00ED796A">
      <w:pPr>
        <w:ind w:left="360"/>
        <w:jc w:val="both"/>
        <w:rPr>
          <w:lang w:bidi="fa-IR"/>
        </w:rPr>
      </w:pPr>
      <w:r w:rsidRPr="00ED796A">
        <w:rPr>
          <w:lang w:bidi="fa-IR"/>
        </w:rPr>
        <w:t xml:space="preserve">Type 1 diabetes </w:t>
      </w:r>
      <w:r>
        <w:rPr>
          <w:lang w:bidi="fa-IR"/>
        </w:rPr>
        <w:t xml:space="preserve">(T1D) </w:t>
      </w:r>
      <w:r w:rsidRPr="00ED796A">
        <w:rPr>
          <w:lang w:bidi="fa-IR"/>
        </w:rPr>
        <w:t xml:space="preserve">is </w:t>
      </w:r>
      <w:r>
        <w:rPr>
          <w:lang w:bidi="fa-IR"/>
        </w:rPr>
        <w:t xml:space="preserve">an autoimmune disease </w:t>
      </w:r>
      <w:r w:rsidRPr="00ED796A">
        <w:rPr>
          <w:lang w:bidi="fa-IR"/>
        </w:rPr>
        <w:t>characterized by the progressive loss of pancreatic beta cell function, eventually culminating in patients' dependence upon exogenous insulin to control blood glucose.</w:t>
      </w:r>
      <w:r w:rsidRPr="00ED796A">
        <w:t xml:space="preserve"> </w:t>
      </w:r>
      <w:r w:rsidRPr="00ED796A">
        <w:rPr>
          <w:lang w:bidi="fa-IR"/>
        </w:rPr>
        <w:t>While disease progression occurs over time, it is diagnosed after more than 80% of beta cells are destroyed, making study of disease pathogenesis very difficult.</w:t>
      </w:r>
      <w:r>
        <w:rPr>
          <w:lang w:bidi="fa-IR"/>
        </w:rPr>
        <w:t xml:space="preserve"> Our humanized mouse</w:t>
      </w:r>
      <w:r w:rsidRPr="00ED796A">
        <w:rPr>
          <w:lang w:bidi="fa-IR"/>
        </w:rPr>
        <w:t xml:space="preserve"> model provides an opportunity to study disease pathogenesis, including genetic and environmental factors.</w:t>
      </w:r>
      <w:r>
        <w:rPr>
          <w:lang w:bidi="fa-IR"/>
        </w:rPr>
        <w:t xml:space="preserve"> Novel treatments of T1D includes r</w:t>
      </w:r>
      <w:r w:rsidRPr="00ED796A">
        <w:rPr>
          <w:lang w:bidi="fa-IR"/>
        </w:rPr>
        <w:t>epla</w:t>
      </w:r>
      <w:r>
        <w:rPr>
          <w:lang w:bidi="fa-IR"/>
        </w:rPr>
        <w:t>cement of</w:t>
      </w:r>
      <w:r w:rsidRPr="00ED796A">
        <w:rPr>
          <w:lang w:bidi="fa-IR"/>
        </w:rPr>
        <w:t xml:space="preserve"> pancreatic islet cells</w:t>
      </w:r>
      <w:r>
        <w:rPr>
          <w:lang w:bidi="fa-IR"/>
        </w:rPr>
        <w:t>, v</w:t>
      </w:r>
      <w:r w:rsidRPr="00ED796A">
        <w:rPr>
          <w:lang w:bidi="fa-IR"/>
        </w:rPr>
        <w:t>accination with self-antigen</w:t>
      </w:r>
      <w:r>
        <w:rPr>
          <w:lang w:bidi="fa-IR"/>
        </w:rPr>
        <w:t>s, n</w:t>
      </w:r>
      <w:r w:rsidRPr="00ED796A">
        <w:rPr>
          <w:lang w:bidi="fa-IR"/>
        </w:rPr>
        <w:t>anoparticle-based approaches</w:t>
      </w:r>
      <w:r>
        <w:rPr>
          <w:lang w:bidi="fa-IR"/>
        </w:rPr>
        <w:t xml:space="preserve"> and r</w:t>
      </w:r>
      <w:r w:rsidRPr="00ED796A">
        <w:rPr>
          <w:lang w:bidi="fa-IR"/>
        </w:rPr>
        <w:t>egulatory T cell (</w:t>
      </w:r>
      <w:proofErr w:type="spellStart"/>
      <w:r w:rsidRPr="00ED796A">
        <w:rPr>
          <w:lang w:bidi="fa-IR"/>
        </w:rPr>
        <w:t>Treg</w:t>
      </w:r>
      <w:proofErr w:type="spellEnd"/>
      <w:r w:rsidRPr="00ED796A">
        <w:rPr>
          <w:lang w:bidi="fa-IR"/>
        </w:rPr>
        <w:t>) therapy</w:t>
      </w:r>
      <w:r>
        <w:rPr>
          <w:lang w:bidi="fa-IR"/>
        </w:rPr>
        <w:t>. Type 2 diabetes (T2D) is a</w:t>
      </w:r>
      <w:r w:rsidRPr="00ED796A">
        <w:rPr>
          <w:lang w:bidi="fa-IR"/>
        </w:rPr>
        <w:t xml:space="preserve"> disorder that disrupts the way </w:t>
      </w:r>
      <w:r>
        <w:rPr>
          <w:lang w:bidi="fa-IR"/>
        </w:rPr>
        <w:t>the</w:t>
      </w:r>
      <w:r w:rsidRPr="00ED796A">
        <w:rPr>
          <w:lang w:bidi="fa-IR"/>
        </w:rPr>
        <w:t xml:space="preserve"> body uses sugar.</w:t>
      </w:r>
      <w:r>
        <w:rPr>
          <w:lang w:bidi="fa-IR"/>
        </w:rPr>
        <w:t xml:space="preserve"> The disease pathogenesis includes a</w:t>
      </w:r>
      <w:r w:rsidRPr="00ED796A">
        <w:rPr>
          <w:lang w:bidi="fa-IR"/>
        </w:rPr>
        <w:t xml:space="preserve"> combination of varying degrees of insulin resistance and relative insulin deficiency.</w:t>
      </w:r>
      <w:r>
        <w:rPr>
          <w:lang w:bidi="fa-IR"/>
        </w:rPr>
        <w:t xml:space="preserve"> </w:t>
      </w:r>
      <w:r w:rsidRPr="00ED796A">
        <w:rPr>
          <w:lang w:bidi="fa-IR"/>
        </w:rPr>
        <w:t xml:space="preserve">T2D is often accompanied by other conditions, including hypertension, high serum low-density lipoprotein (LDL) cholesterol concentrations, and low serum high-density lipoprotein (HDL) cholesterol concentrations that, like </w:t>
      </w:r>
      <w:r>
        <w:rPr>
          <w:lang w:bidi="fa-IR"/>
        </w:rPr>
        <w:t>T2D</w:t>
      </w:r>
      <w:r w:rsidRPr="00ED796A">
        <w:rPr>
          <w:lang w:bidi="fa-IR"/>
        </w:rPr>
        <w:t>, increase cardiovascular risk. This constellation of clinical conditions is referred to as the metabolic syndrome.</w:t>
      </w:r>
      <w:r>
        <w:rPr>
          <w:lang w:bidi="fa-IR"/>
        </w:rPr>
        <w:t xml:space="preserve"> </w:t>
      </w:r>
      <w:r w:rsidRPr="00ED796A">
        <w:rPr>
          <w:lang w:bidi="fa-IR"/>
        </w:rPr>
        <w:t>Increased free fatty acid levels, inflammatory cytokines from fat, and oxidative factors ha</w:t>
      </w:r>
      <w:bookmarkStart w:id="0" w:name="_GoBack"/>
      <w:bookmarkEnd w:id="0"/>
      <w:r w:rsidRPr="00ED796A">
        <w:rPr>
          <w:lang w:bidi="fa-IR"/>
        </w:rPr>
        <w:t xml:space="preserve">ve all been implicated in the pathogenesis of metabolic syndrome, </w:t>
      </w:r>
      <w:r>
        <w:rPr>
          <w:lang w:bidi="fa-IR"/>
        </w:rPr>
        <w:t>T2D</w:t>
      </w:r>
      <w:r w:rsidRPr="00ED796A">
        <w:rPr>
          <w:lang w:bidi="fa-IR"/>
        </w:rPr>
        <w:t xml:space="preserve">, and their cardiovascular complications. To reduce </w:t>
      </w:r>
      <w:r>
        <w:rPr>
          <w:lang w:bidi="fa-IR"/>
        </w:rPr>
        <w:t xml:space="preserve">the </w:t>
      </w:r>
      <w:r w:rsidRPr="00ED796A">
        <w:rPr>
          <w:lang w:bidi="fa-IR"/>
        </w:rPr>
        <w:t xml:space="preserve">chances of getting </w:t>
      </w:r>
      <w:r>
        <w:rPr>
          <w:lang w:bidi="fa-IR"/>
        </w:rPr>
        <w:t>T2D</w:t>
      </w:r>
      <w:r w:rsidRPr="00ED796A">
        <w:rPr>
          <w:lang w:bidi="fa-IR"/>
        </w:rPr>
        <w:t>, the most important thing you can do is control your weight.</w:t>
      </w:r>
      <w:r>
        <w:rPr>
          <w:lang w:bidi="fa-IR"/>
        </w:rPr>
        <w:t xml:space="preserve"> </w:t>
      </w:r>
      <w:r w:rsidRPr="00ED796A">
        <w:rPr>
          <w:lang w:bidi="fa-IR"/>
        </w:rPr>
        <w:t xml:space="preserve">Medicines that help control blood sugar, make more insulin or that help insulin do its job. An unbalanced microbiome composition has been found in patients with T2D. Researchers </w:t>
      </w:r>
      <w:r>
        <w:rPr>
          <w:lang w:bidi="fa-IR"/>
        </w:rPr>
        <w:t>have</w:t>
      </w:r>
      <w:r w:rsidRPr="00ED796A">
        <w:rPr>
          <w:lang w:bidi="fa-IR"/>
        </w:rPr>
        <w:t xml:space="preserve"> recently show</w:t>
      </w:r>
      <w:r>
        <w:rPr>
          <w:lang w:bidi="fa-IR"/>
        </w:rPr>
        <w:t>n</w:t>
      </w:r>
      <w:r w:rsidRPr="00ED796A">
        <w:rPr>
          <w:lang w:bidi="fa-IR"/>
        </w:rPr>
        <w:t xml:space="preserve"> that fecal transplants, used to transfer the microbiome of a healthy person to the gut of one with diabetes, can result in a short-term improvement of insulin resistance in obese patients with type 2 diabetes.</w:t>
      </w:r>
      <w:r>
        <w:rPr>
          <w:lang w:bidi="fa-IR"/>
        </w:rPr>
        <w:t xml:space="preserve"> </w:t>
      </w:r>
      <w:proofErr w:type="spellStart"/>
      <w:r w:rsidRPr="00ED796A">
        <w:rPr>
          <w:lang w:bidi="fa-IR"/>
        </w:rPr>
        <w:t>Anti inflammatory</w:t>
      </w:r>
      <w:proofErr w:type="spellEnd"/>
      <w:r w:rsidRPr="00ED796A">
        <w:rPr>
          <w:lang w:bidi="fa-IR"/>
        </w:rPr>
        <w:t xml:space="preserve"> medications of immunotherapies could be the promising future treatments for T2D.</w:t>
      </w:r>
      <w:r>
        <w:rPr>
          <w:lang w:bidi="fa-IR"/>
        </w:rPr>
        <w:t xml:space="preserve"> </w:t>
      </w:r>
      <w:r w:rsidRPr="00ED796A">
        <w:rPr>
          <w:lang w:bidi="fa-IR"/>
        </w:rPr>
        <w:t>Surgical treatment of obese patients with diabetes results in a large degree of sustained weight loss and, in parallel, large improvements in blood glucose control.</w:t>
      </w:r>
    </w:p>
    <w:p w14:paraId="32515FC0" w14:textId="25264A48" w:rsidR="007A7664" w:rsidRDefault="007A7664" w:rsidP="00ED796A">
      <w:pPr>
        <w:jc w:val="both"/>
        <w:rPr>
          <w:lang w:bidi="fa-IR"/>
        </w:rPr>
      </w:pPr>
    </w:p>
    <w:sectPr w:rsidR="007A7664" w:rsidSect="0077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24B3B"/>
    <w:multiLevelType w:val="hybridMultilevel"/>
    <w:tmpl w:val="C7B03B04"/>
    <w:lvl w:ilvl="0" w:tplc="8FA65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A9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2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4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2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A1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0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4A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E76079"/>
    <w:multiLevelType w:val="hybridMultilevel"/>
    <w:tmpl w:val="AD4493BA"/>
    <w:lvl w:ilvl="0" w:tplc="C6D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E2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CE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8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46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66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8D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87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81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6A"/>
    <w:rsid w:val="00032F8E"/>
    <w:rsid w:val="000F3807"/>
    <w:rsid w:val="00285F9A"/>
    <w:rsid w:val="0033161A"/>
    <w:rsid w:val="00377453"/>
    <w:rsid w:val="003F7E53"/>
    <w:rsid w:val="00423D12"/>
    <w:rsid w:val="00425263"/>
    <w:rsid w:val="00454029"/>
    <w:rsid w:val="004B3359"/>
    <w:rsid w:val="004D4498"/>
    <w:rsid w:val="005556E9"/>
    <w:rsid w:val="00773FF9"/>
    <w:rsid w:val="007A7664"/>
    <w:rsid w:val="007B15D1"/>
    <w:rsid w:val="008A6429"/>
    <w:rsid w:val="00905C05"/>
    <w:rsid w:val="00B86C31"/>
    <w:rsid w:val="00CC4415"/>
    <w:rsid w:val="00ED796A"/>
    <w:rsid w:val="00F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3E73"/>
  <w15:chartTrackingRefBased/>
  <w15:docId w15:val="{3CA57C00-EC69-4B40-8955-2FDFAB32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6A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 Maharlooei, Mohsen</dc:creator>
  <cp:keywords/>
  <dc:description/>
  <cp:lastModifiedBy>Khosravi Maharlooei, Mohsen</cp:lastModifiedBy>
  <cp:revision>1</cp:revision>
  <dcterms:created xsi:type="dcterms:W3CDTF">2020-01-26T04:13:00Z</dcterms:created>
  <dcterms:modified xsi:type="dcterms:W3CDTF">2020-01-26T05:33:00Z</dcterms:modified>
</cp:coreProperties>
</file>