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pPr>
        <w:jc w:val="center"/>
      </w:pPr>
      <w:r>
        <w:rPr>
          <w:b/>
          <w:sz w:val="24"/>
        </w:rPr>
        <w:t>Circularity information readiness and demonstrated AI capability in architectural design</w:t>
      </w:r>
    </w:p>
    <w:p>
      <w:r>
        <w:t>This supplement documents two linked but analytically distinct evidence streams: a primary circularity-information review and a targeted supplementary AI evidence review. It provides the search records, decision boundaries, normalized-attribute dictionary, provenance audit, AI evidence codebooks, paper index, and complete capability matrix needed to audit the reported findings without redistributing copyrighted full texts.</w:t>
      </w:r>
    </w:p>
    <w:p>
      <w:pPr>
        <w:pStyle w:val="Heading1"/>
      </w:pPr>
      <w:r>
        <w:t>S1 Supplementary review methods</w:t>
      </w:r>
    </w:p>
    <w:p>
      <w:pPr>
        <w:pStyle w:val="Heading2"/>
      </w:pPr>
      <w:r>
        <w:t>S1.1 Primary review search strategy</w:t>
      </w:r>
    </w:p>
    <w:p>
      <w:r>
        <w:t>The primary review searched Scopus, Web of Science Core Collection, and IEEE Xplore using strict and controlled bridge searches. The archived exports are dated 10 July 2026. The exact query-execution date was not recoverable from the archived records. Searches covered 2010-2026, English-language articles, reviews, conference papers, and proceedings papers. Subject or category restrictions were to be applied only if term-based refinement remained too broad.</w:t>
      </w:r>
    </w:p>
    <w:p>
      <w:r>
        <w:t>The strict logic combined building circularity, assessment, building/architectural context, and AI/drawing or BIM/structured-information concepts. The bridge logic omitted the assessment block to recover records that supplied eligible circularity-information or digital-information relationships without explicit metric terminology. Strict-set overlap was removed from Scopus and Web of Science bridge exports. IEEE Xplore did not support strict-set subtraction in the interface, so the complete filtered bridge set was exported.</w:t>
      </w:r>
    </w:p>
    <w:p>
      <w:pPr>
        <w:pStyle w:val="Heading3"/>
      </w:pPr>
      <w:r>
        <w:t>Scopus S1 strict combined</w:t>
      </w:r>
    </w:p>
    <w:p>
      <w:pPr>
        <w:pStyle w:val="Query"/>
      </w:pPr>
      <w:r>
        <w:t>TITLE-ABS-KEY( ("circular economy" OR circularity OR "building circularity" OR "circular building*" OR "material circularity" OR "circular construction" OR "circular design" OR "design for disassembly" OR "design for deconstruction" OR "design for adaptability" OR "material passport*" OR "building passport*" OR "digital product passport*" OR "reuse potential" OR "material recovery") AND (indicator* OR metric* OR index OR indices OR assess* OR framework* OR score* OR scoring OR measur* OR "decision support" OR "circularity assessment" OR "circularity indicator*" OR "assessment tool*") AND (building* OR construction OR "built environment" OR architectur* OR "architectural design" OR "building design" OR "architectural drawing*" OR "construction drawing*" OR "technical drawing*" OR "floor plan*" OR "plan drawing*" OR "section drawing*" OR elevation* OR "building envelope*" OR facade* OR façade* OR "building component*" OR "building assembl*") AND ((("artificial intelligence" OR "machine learning" OR "deep learning" OR "computer vision" OR "image recognition" OR "object detection" OR "semantic segmentation" OR "instance segmentation" OR OCR OR "optical character recognition") AND ("architectural drawing*" OR "construction drawing*" OR "technical drawing*" OR "floor plan*" OR "plan drawing*" OR "section drawing*" OR elevation* OR "drawing recognition" OR "drawing understanding" OR "information extraction" OR "feature extraction" OR "plan recognition" OR "symbol detection" OR "room detection" OR "wall detection" OR "window detection" OR "door detection" OR "plan-to-BIM" OR "drawing-to-BIM" OR "automated extraction")) OR (BIM OR "building information model*" OR IFC OR "industry foundation classes" OR "data model*" OR ontolog* OR "knowledge graph*" OR "machine-readable" OR "machine readable" OR "computational design" OR "parametric design" OR "generative design" OR "design automation" OR "automated assessment")) )</w:t>
      </w:r>
    </w:p>
    <w:p>
      <w:r>
        <w:rPr>
          <w:b/>
        </w:rPr>
        <w:t xml:space="preserve">Filters. </w:t>
      </w:r>
      <w:r>
        <w:t>Years 2010–2026; English; Article, Review, Conference Paper / Proceedings Paper. Apply subject/category filters only if term-based refinement remains too large.</w:t>
      </w:r>
    </w:p>
    <w:p>
      <w:r>
        <w:rPr>
          <w:b/>
        </w:rPr>
        <w:t xml:space="preserve">Counts. </w:t>
      </w:r>
      <w:r>
        <w:t>554 raw; 462 filtered; 462 exported.</w:t>
      </w:r>
    </w:p>
    <w:p>
      <w:r>
        <w:rPr>
          <w:b/>
        </w:rPr>
        <w:t xml:space="preserve">Export. </w:t>
      </w:r>
      <w:r>
        <w:t>Scopus_New_S1_Strict.csv</w:t>
      </w:r>
    </w:p>
    <w:p>
      <w:pPr>
        <w:pStyle w:val="Heading3"/>
      </w:pPr>
      <w:r>
        <w:t>Scopus S2 controlled bridge</w:t>
      </w:r>
    </w:p>
    <w:p>
      <w:pPr>
        <w:pStyle w:val="Query"/>
      </w:pPr>
      <w:r>
        <w:t>TITLE-ABS-KEY( ("circular economy" OR circularity OR "building circularity" OR "circular building*" OR "material circularity" OR "circular construction" OR "circular design" OR "design for disassembly" OR "design for deconstruction" OR "design for adaptability" OR "material passport*" OR "building passport*" OR "digital product passport*" OR "reuse potential" OR "material recovery") AND (building* OR construction OR "built environment" OR architectur* OR "architectural design" OR "building design" OR "architectural drawing*" OR "construction drawing*" OR "technical drawing*" OR "floor plan*" OR "plan drawing*" OR "section drawing*" OR elevation* OR "building envelope*" OR facade* OR façade* OR "building component*" OR "building assembl*") AND ((("artificial intelligence" OR "machine learning" OR "deep learning" OR "computer vision" OR "image recognition" OR "object detection" OR "semantic segmentation" OR "instance segmentation" OR OCR OR "optical character recognition") AND ("architectural drawing*" OR "construction drawing*" OR "technical drawing*" OR "floor plan*" OR "plan drawing*" OR "section drawing*" OR elevation* OR "drawing recognition" OR "drawing understanding" OR "information extraction" OR "feature extraction" OR "plan recognition" OR "symbol detection" OR "room detection" OR "wall detection" OR "window detection" OR "door detection" OR "plan-to-BIM" OR "drawing-to-BIM" OR "automated extraction")) OR (BIM OR "building information model*" OR IFC OR "industry foundation classes" OR "data model*" OR ontolog* OR "knowledge graph*" OR "machine-readable" OR "machine readable" OR "computational design" OR "parametric design" OR "generative design" OR "design automation" OR "automated assessment")) )</w:t>
      </w:r>
    </w:p>
    <w:p>
      <w:r>
        <w:rPr>
          <w:b/>
        </w:rPr>
        <w:t xml:space="preserve">Filters. </w:t>
      </w:r>
      <w:r>
        <w:t>Years 2010–2026; English; Article, Review, Conference Paper / Proceedings Paper. Apply subject/category filters only if term-based refinement remains too large.</w:t>
      </w:r>
    </w:p>
    <w:p>
      <w:r>
        <w:rPr>
          <w:b/>
        </w:rPr>
        <w:t xml:space="preserve">Counts. </w:t>
      </w:r>
      <w:r>
        <w:t>830 raw; 679 filtered; 217 additional records exported after removing S1 overlap.</w:t>
      </w:r>
    </w:p>
    <w:p>
      <w:r>
        <w:rPr>
          <w:b/>
        </w:rPr>
        <w:t xml:space="preserve">Export. </w:t>
      </w:r>
      <w:r>
        <w:t>Scopus_New_S2_Bridge.csv</w:t>
      </w:r>
    </w:p>
    <w:p>
      <w:pPr>
        <w:pStyle w:val="Heading3"/>
      </w:pPr>
      <w:r>
        <w:t>Web of Science W1 strict combined</w:t>
      </w:r>
    </w:p>
    <w:p>
      <w:pPr>
        <w:pStyle w:val="Query"/>
      </w:pPr>
      <w:r>
        <w:t>TS=("circular economy" OR circularity OR "building circularity" OR "circular building*" OR "material circularity" OR "circular construction" OR "circular design" OR "design for disassembly" OR "design for deconstruction" OR "design for adaptability" OR "material passport*" OR "building passport*" OR "digital product passport*" OR "reuse potential" OR "material recovery") AND TS=(indicator* OR metric* OR index OR indices OR assess* OR framework* OR score* OR scoring OR measur* OR "decision support" OR "circularity assessment" OR "circularity indicator*" OR "assessment tool*") AND TS=(building* OR construction OR "built environment" OR architectur* OR "architectural design" OR "building design" OR "architectural drawing*" OR "construction drawing*" OR "technical drawing*" OR "floor plan*" OR "plan drawing*" OR "section drawing*" OR elevation* OR "building envelope*" OR facade* OR façade* OR "building component*" OR "building assembl*") AND TS=((("artificial intelligence" OR "machine learning" OR "deep learning" OR "computer vision" OR "image recognition" OR "object detection" OR "semantic segmentation" OR "instance segmentation" OR OCR OR "optical character recognition") AND ("architectural drawing*" OR "construction drawing*" OR "technical drawing*" OR "floor plan*" OR "plan drawing*" OR "section drawing*" OR elevation* OR "drawing recognition" OR "drawing understanding" OR "information extraction" OR "feature extraction" OR "plan recognition" OR "symbol detection" OR "room detection" OR "wall detection" OR "window detection" OR "door detection" OR "plan-to-BIM" OR "drawing-to-BIM" OR "automated extraction")) OR (BIM OR "building information model*" OR IFC OR "industry foundation classes" OR "data model*" OR ontolog* OR "knowledge graph*" OR "machine-readable" OR "machine readable" OR "computational design" OR "parametric design" OR "generative design" OR "design automation" OR "automated assessment"))</w:t>
      </w:r>
    </w:p>
    <w:p>
      <w:r>
        <w:rPr>
          <w:b/>
        </w:rPr>
        <w:t xml:space="preserve">Filters. </w:t>
      </w:r>
      <w:r>
        <w:t>Years 2010–2026; English; Article, Review, Conference Paper / Proceedings Paper. Apply subject/category filters only if term-based refinement remains too large.</w:t>
      </w:r>
    </w:p>
    <w:p>
      <w:r>
        <w:rPr>
          <w:b/>
        </w:rPr>
        <w:t xml:space="preserve">Counts. </w:t>
      </w:r>
      <w:r>
        <w:t>414 raw; 407 filtered; 407 exported.</w:t>
      </w:r>
    </w:p>
    <w:p>
      <w:r>
        <w:rPr>
          <w:b/>
        </w:rPr>
        <w:t xml:space="preserve">Export. </w:t>
      </w:r>
      <w:r>
        <w:t>WoS_New_W1_Strict.csv</w:t>
      </w:r>
    </w:p>
    <w:p>
      <w:pPr>
        <w:pStyle w:val="Heading3"/>
      </w:pPr>
      <w:r>
        <w:t>Web of Science W2 controlled bridge</w:t>
      </w:r>
    </w:p>
    <w:p>
      <w:pPr>
        <w:pStyle w:val="Query"/>
      </w:pPr>
      <w:r>
        <w:t>TS=("circular economy" OR circularity OR "building circularity" OR "circular building*" OR "material circularity" OR "circular construction" OR "circular design" OR "design for disassembly" OR "design for deconstruction" OR "design for adaptability" OR "material passport*" OR "building passport*" OR "digital product passport*" OR "reuse potential" OR "material recovery") AND TS=(building* OR construction OR "built environment" OR architectur* OR "architectural design" OR "building design" OR "architectural drawing*" OR "construction drawing*" OR "technical drawing*" OR "floor plan*" OR "plan drawing*" OR "section drawing*" OR elevation* OR "building envelope*" OR facade* OR façade* OR "building component*" OR "building assembl*") AND TS=((("artificial intelligence" OR "machine learning" OR "deep learning" OR "computer vision" OR "image recognition" OR "object detection" OR "semantic segmentation" OR "instance segmentation" OR OCR OR "optical character recognition") AND ("architectural drawing*" OR "construction drawing*" OR "technical drawing*" OR "floor plan*" OR "plan drawing*" OR "section drawing*" OR elevation* OR "drawing recognition" OR "drawing understanding" OR "information extraction" OR "feature extraction" OR "plan recognition" OR "symbol detection" OR "room detection" OR "wall detection" OR "window detection" OR "door detection" OR "plan-to-BIM" OR "drawing-to-BIM" OR "automated extraction")) OR (BIM OR "building information model*" OR IFC OR "industry foundation classes" OR "data model*" OR ontolog* OR "knowledge graph*" OR "machine-readable" OR "machine readable" OR "computational design" OR "parametric design" OR "generative design" OR "design automation" OR "automated assessment"))</w:t>
      </w:r>
    </w:p>
    <w:p>
      <w:r>
        <w:rPr>
          <w:b/>
        </w:rPr>
        <w:t xml:space="preserve">Filters. </w:t>
      </w:r>
      <w:r>
        <w:t>Years 2010–2026; English; Article, Review, Conference Paper / Proceedings Paper. Apply subject/category filters only if term-based refinement remains too large.</w:t>
      </w:r>
    </w:p>
    <w:p>
      <w:r>
        <w:rPr>
          <w:b/>
        </w:rPr>
        <w:t xml:space="preserve">Counts. </w:t>
      </w:r>
      <w:r>
        <w:t>574 raw; 558 filtered; 151 additional records exported after removing W1 overlap.</w:t>
      </w:r>
    </w:p>
    <w:p>
      <w:r>
        <w:rPr>
          <w:b/>
        </w:rPr>
        <w:t xml:space="preserve">Export. </w:t>
      </w:r>
      <w:r>
        <w:t>WoS_New_W2_Bridge.csv</w:t>
      </w:r>
    </w:p>
    <w:p>
      <w:pPr>
        <w:pStyle w:val="Heading3"/>
      </w:pPr>
      <w:r>
        <w:t>IEEE Xplore searches</w:t>
      </w:r>
    </w:p>
    <w:p>
      <w:r>
        <w:t>IEEE Xplore I1 yielded 217 raw and 203 filtered records. I2 yielded 370 raw and 322 filtered records. The exact executed IEEE Xplore strings were not recoverable from the archived records and are therefore not reconstructed here.</w:t>
      </w:r>
    </w:p>
    <w:p>
      <w:pPr>
        <w:pStyle w:val="Heading2"/>
      </w:pPr>
      <w:r>
        <w:t>S1.2 Targeted AI evidence search</w:t>
      </w:r>
    </w:p>
    <w:p>
      <w:r>
        <w:t>A targeted Scopus search investigated capability gaps identified through the primary review. Eleven finalized search families addressed direct circularity AI, design-representation extraction, external-metadata extraction, inference/completion, carbon and life-cycle assessment prediction, reuse and recovery prediction, diagnosis, material recommendation, design-action recommendation, direct circular generation/optimization, and transferable architectural generation/optimization. Filters were 2014-2026, English, and Article, Review, or Conference Paper, with no subject-area restriction. The archived log records 30 September 2026 as its plan/log date; raw exports were archived on 1 October 2026, and no separate completed-query timestamp is recorded.</w:t>
      </w:r>
    </w:p>
    <w:p>
      <w:pPr>
        <w:pStyle w:val="Heading3"/>
      </w:pPr>
      <w:r>
        <w:t>AI-S0 Direct AI + building circularity overlap</w:t>
      </w:r>
    </w:p>
    <w:p>
      <w:pPr>
        <w:pStyle w:val="Query"/>
      </w:pPr>
      <w:r>
        <w:t>TITLE-ABS-KEY( ("artificial intelligence" OR "machine learning" OR "deep learning" OR "generative AI" OR "large language model*" OR "computer vision") AND (building* OR architectur* OR "built environment") AND ("circular economy" OR "building circularity" OR "circular construction" OR "circular design" OR "design for disassembly" OR "design for deconstruction" OR "design for reuse" OR "material passport*" OR "product passport*" OR "reclaimed material*" OR "component reuse" OR "building reuse" OR "material reuse") )</w:t>
      </w:r>
    </w:p>
    <w:p>
      <w:r>
        <w:rPr>
          <w:b/>
        </w:rPr>
        <w:t xml:space="preserve">Filters. </w:t>
      </w:r>
      <w:r>
        <w:t>2014-2026; English; Article, Review, and Conference Paper; no subject-area filter.</w:t>
      </w:r>
    </w:p>
    <w:p>
      <w:r>
        <w:rPr>
          <w:b/>
        </w:rPr>
        <w:t xml:space="preserve">Counts. </w:t>
      </w:r>
      <w:r>
        <w:t>566 exported occurrences.</w:t>
      </w:r>
    </w:p>
    <w:p>
      <w:r>
        <w:rPr>
          <w:b/>
        </w:rPr>
        <w:t xml:space="preserve">Export. </w:t>
      </w:r>
      <w:r>
        <w:t>Scopus_AI_S0_Direct.csv</w:t>
      </w:r>
    </w:p>
    <w:p>
      <w:pPr>
        <w:pStyle w:val="Heading3"/>
      </w:pPr>
      <w:r>
        <w:t>AI-S1A Extract / Retrieve</w:t>
      </w:r>
    </w:p>
    <w:p>
      <w:pPr>
        <w:pStyle w:val="Query"/>
      </w:pPr>
      <w:r>
        <w:t>TITLE-ABS-KEY( ("artificial intelligence" OR "machine learning" OR "deep learning" OR "generative AI" OR "large language model*" OR "computer vision") AND ("architectural drawing*" OR "construction drawing*" OR "floor plan*" OR CAD OR BIM OR IFC OR "building information model*") AND ("information extraction" OR "semantic extraction" OR "attribute extraction" OR "property extraction" OR "object detection" OR segmentation OR "component recognition" OR "material recognition" OR "semantic enrichment" OR "BIM enrichment" OR "IFC enrichment") AND (building* OR architectur* OR construction) )</w:t>
      </w:r>
    </w:p>
    <w:p>
      <w:r>
        <w:rPr>
          <w:b/>
        </w:rPr>
        <w:t xml:space="preserve">Filters. </w:t>
      </w:r>
      <w:r>
        <w:t>2014-2026; English; Article, Review, and Conference Paper; no subject-area filter.</w:t>
      </w:r>
    </w:p>
    <w:p>
      <w:r>
        <w:rPr>
          <w:b/>
        </w:rPr>
        <w:t xml:space="preserve">Counts. </w:t>
      </w:r>
      <w:r>
        <w:t>1072 exported occurrences.</w:t>
      </w:r>
    </w:p>
    <w:p>
      <w:r>
        <w:rPr>
          <w:b/>
        </w:rPr>
        <w:t xml:space="preserve">Export. </w:t>
      </w:r>
      <w:r>
        <w:t>Scopus_AI_S1A_DesignRepresentation_Extract.csv</w:t>
      </w:r>
    </w:p>
    <w:p>
      <w:pPr>
        <w:pStyle w:val="Heading3"/>
      </w:pPr>
      <w:r>
        <w:t>AI-S1B Extract / Retrieve from external product and material metadata</w:t>
      </w:r>
    </w:p>
    <w:p>
      <w:pPr>
        <w:pStyle w:val="Query"/>
      </w:pPr>
      <w:r>
        <w:t>TITLE-ABS-KEY( ("artificial intelligence" OR "machine learning" OR "deep learning" OR "generative AI" OR "large language model*" OR "natural language processing" OR "document understanding") AND ("environmental product declaration*" OR EPD OR "material passport*" OR "digital product passport*" OR "product passport*" OR "building product*" OR "construction product*" OR "technical datasheet*" OR "product data sheet*" OR "material database*" OR "product database*" OR "manufacturer data") AND (extract* OR retrieve* OR parse* OR structur* OR standardiz* OR classify* OR "information extraction" OR "data extraction" OR "information retrieval" OR "semantic mapping") AND (building* OR construction OR architectur* OR "built environment") )</w:t>
      </w:r>
    </w:p>
    <w:p>
      <w:r>
        <w:rPr>
          <w:b/>
        </w:rPr>
        <w:t xml:space="preserve">Filters. </w:t>
      </w:r>
      <w:r>
        <w:t>2014-2026; English; Article, Review, and Conference Paper; no subject-area filter.</w:t>
      </w:r>
    </w:p>
    <w:p>
      <w:r>
        <w:rPr>
          <w:b/>
        </w:rPr>
        <w:t xml:space="preserve">Counts. </w:t>
      </w:r>
      <w:r>
        <w:t>140 exported occurrences.</w:t>
      </w:r>
    </w:p>
    <w:p>
      <w:r>
        <w:rPr>
          <w:b/>
        </w:rPr>
        <w:t xml:space="preserve">Export. </w:t>
      </w:r>
      <w:r>
        <w:t>Scopus_AI_S1B_ExternalMetadata_Extract.csv</w:t>
      </w:r>
    </w:p>
    <w:p>
      <w:pPr>
        <w:pStyle w:val="Heading3"/>
      </w:pPr>
      <w:r>
        <w:t>AI-S2 Infer / Complete</w:t>
      </w:r>
    </w:p>
    <w:p>
      <w:pPr>
        <w:pStyle w:val="Query"/>
      </w:pPr>
      <w:r>
        <w:t>TITLE-ABS-KEY( ("artificial intelligence" OR "machine learning" OR "deep learning" OR "generative AI" OR "large language model*" OR "natural language processing" OR "knowledge graph*") AND ("architectural design" OR "building design" OR BIM OR IFC OR "building information model*" OR "architectural drawing*" OR "construction drawing*") AND ("semantic enrichment" OR "BIM enrichment" OR "IFC enrichment" OR "information completion" OR "data completion" OR "missing data imputation" OR "missing information" OR "attribute prediction" OR "property prediction" OR "relationship inference" OR "component inference" OR "material inference" OR "knowledge graph completion") AND (material* OR component* OR assembl* OR connection* OR propert* OR attribute* OR relationship* OR semantic*) )</w:t>
      </w:r>
    </w:p>
    <w:p>
      <w:r>
        <w:rPr>
          <w:b/>
        </w:rPr>
        <w:t xml:space="preserve">Filters. </w:t>
      </w:r>
      <w:r>
        <w:t>2014-2026; English; Article, Review, and Conference Paper; no subject-area filter.</w:t>
      </w:r>
    </w:p>
    <w:p>
      <w:r>
        <w:rPr>
          <w:b/>
        </w:rPr>
        <w:t xml:space="preserve">Counts. </w:t>
      </w:r>
      <w:r>
        <w:t>82 exported occurrences.</w:t>
      </w:r>
    </w:p>
    <w:p>
      <w:r>
        <w:rPr>
          <w:b/>
        </w:rPr>
        <w:t xml:space="preserve">Export. </w:t>
      </w:r>
      <w:r>
        <w:t>Scopus_AI_S2_InferComplete.csv</w:t>
      </w:r>
    </w:p>
    <w:p>
      <w:pPr>
        <w:pStyle w:val="Heading3"/>
      </w:pPr>
      <w:r>
        <w:t>AI-S3A Predict / Assess embodied carbon and LCA-related outcomes during building design</w:t>
      </w:r>
    </w:p>
    <w:p>
      <w:pPr>
        <w:pStyle w:val="Query"/>
      </w:pPr>
      <w:r>
        <w:t>TITLE-ABS-KEY( ("artificial intelligence" OR "machine learning" OR "deep learning" OR "neural network*" OR "surrogate model*" OR "gradient boosting" OR "random forest") AND ("early design" OR "conceptual design" OR "schematic design" OR "building design" OR "architectural design") AND (predict* OR estimat* OR assess*) AND ("embodied carbon" OR "whole life carbon" OR "life cycle assessment" OR LCA) )</w:t>
      </w:r>
    </w:p>
    <w:p>
      <w:r>
        <w:rPr>
          <w:b/>
        </w:rPr>
        <w:t xml:space="preserve">Filters. </w:t>
      </w:r>
      <w:r>
        <w:t>2014-2026; English; Article, Review, and Conference Paper; no subject-area filter.</w:t>
      </w:r>
    </w:p>
    <w:p>
      <w:r>
        <w:rPr>
          <w:b/>
        </w:rPr>
        <w:t xml:space="preserve">Counts. </w:t>
      </w:r>
      <w:r>
        <w:t>128 exported occurrences.</w:t>
      </w:r>
    </w:p>
    <w:p>
      <w:r>
        <w:rPr>
          <w:b/>
        </w:rPr>
        <w:t xml:space="preserve">Export. </w:t>
      </w:r>
      <w:r>
        <w:t>Scopus_AI_S3A_CarbonLCA_Predict.csv</w:t>
      </w:r>
    </w:p>
    <w:p>
      <w:pPr>
        <w:pStyle w:val="Heading3"/>
      </w:pPr>
      <w:r>
        <w:t>AI-S3B Predict / Assess reuse, reusability, recovery, recycling, deconstruction, and disassembly outcomes</w:t>
      </w:r>
    </w:p>
    <w:p>
      <w:pPr>
        <w:pStyle w:val="Query"/>
      </w:pPr>
      <w:r>
        <w:t>TITLE-ABS-KEY( ("artificial intelligence" OR "machine learning" OR "deep learning" OR "neural network*" OR "surrogate model*" OR "random forest" OR "gradient boosting") AND (building* OR architectur* OR construction OR "building component*" OR "building material*") AND (predict* OR estimat* OR assess*) AND ("reuse potential" OR reusab* OR "recycling potential" OR recyclab* OR recoverab* OR "recovery potential" OR "material recovery" OR "deconstruction potential" OR "disassembly potential" OR "technical reusability" OR "component reuse") )</w:t>
      </w:r>
    </w:p>
    <w:p>
      <w:r>
        <w:rPr>
          <w:b/>
        </w:rPr>
        <w:t xml:space="preserve">Filters. </w:t>
      </w:r>
      <w:r>
        <w:t>2014-2026; English; Article, Review, and Conference Paper; no subject-area filter.</w:t>
      </w:r>
    </w:p>
    <w:p>
      <w:r>
        <w:rPr>
          <w:b/>
        </w:rPr>
        <w:t xml:space="preserve">Counts. </w:t>
      </w:r>
      <w:r>
        <w:t>623 exported occurrences.</w:t>
      </w:r>
    </w:p>
    <w:p>
      <w:r>
        <w:rPr>
          <w:b/>
        </w:rPr>
        <w:t xml:space="preserve">Export. </w:t>
      </w:r>
      <w:r>
        <w:t>Scopus_AI_S3B_ReuseRecovery_Predict.csv</w:t>
      </w:r>
    </w:p>
    <w:p>
      <w:pPr>
        <w:pStyle w:val="Heading3"/>
      </w:pPr>
      <w:r>
        <w:t>AI-S4 Diagnose drivers and contributing factors of circularity-related building outcomes using explainable/interpretable AI</w:t>
      </w:r>
    </w:p>
    <w:p>
      <w:pPr>
        <w:pStyle w:val="Query"/>
      </w:pPr>
      <w:r>
        <w:t>TITLE-ABS-KEY( ("artificial intelligence" OR "machine learning" OR "deep learning" OR "explainable AI" OR XAI OR "explainable machine learning" OR "interpretable machine learning") AND (building* OR architectur* OR construction OR "building design" OR "architectural design") AND (diagnos* OR "feature importance" OR "feature attribution" OR SHAP OR "SHAP value*" OR "model interpretation" OR "model explainability" OR "explainable prediction") AND ("embodied carbon" OR "whole life carbon" OR "life cycle assessment" OR reuse OR reusab* OR recycl* OR recyclab* OR recoverab* OR "recovery potential" OR deconstruction OR disassembly OR "reuse potential" OR "deconstruction potential" OR "disassembly potential") )</w:t>
      </w:r>
    </w:p>
    <w:p>
      <w:r>
        <w:rPr>
          <w:b/>
        </w:rPr>
        <w:t xml:space="preserve">Filters. </w:t>
      </w:r>
      <w:r>
        <w:t>2014-2026; English; Article, Review, and Conference Paper; no subject-area filter.</w:t>
      </w:r>
    </w:p>
    <w:p>
      <w:r>
        <w:rPr>
          <w:b/>
        </w:rPr>
        <w:t xml:space="preserve">Counts. </w:t>
      </w:r>
      <w:r>
        <w:t>530 exported occurrences.</w:t>
      </w:r>
    </w:p>
    <w:p>
      <w:r>
        <w:rPr>
          <w:b/>
        </w:rPr>
        <w:t xml:space="preserve">Export. </w:t>
      </w:r>
      <w:r>
        <w:t>Scopus_AI_S4_Diagnose.csv</w:t>
      </w:r>
    </w:p>
    <w:p>
      <w:pPr>
        <w:pStyle w:val="Heading3"/>
      </w:pPr>
      <w:r>
        <w:t>AI-S5A Recommend / select building materials based on circularity, carbon, reuse, recycling, or LCA criteria</w:t>
      </w:r>
    </w:p>
    <w:p>
      <w:pPr>
        <w:pStyle w:val="Query"/>
      </w:pPr>
      <w:r>
        <w:t>TITLE-ABS-KEY( ("artificial intelligence" OR "machine learning" OR "deep learning" OR "generative AI" OR "large language model*" OR "decision support") AND ("building material*" OR "construction material*" OR "architectural material*" OR "material selection") AND (recommend* OR "material recommendation*" OR "material selection" OR "decision support" OR rank* OR prioritiz*) AND ("embodied carbon" OR "life cycle assessment" OR LCA OR circular* OR reuse OR reusab* OR recycl* OR recyclab* OR "reclaimed material*" OR "design for disassembly") )</w:t>
      </w:r>
    </w:p>
    <w:p>
      <w:r>
        <w:rPr>
          <w:b/>
        </w:rPr>
        <w:t xml:space="preserve">Filters. </w:t>
      </w:r>
      <w:r>
        <w:t>2014-2026; English; Article, Review, and Conference Paper; no subject-area filter.</w:t>
      </w:r>
    </w:p>
    <w:p>
      <w:r>
        <w:rPr>
          <w:b/>
        </w:rPr>
        <w:t xml:space="preserve">Counts. </w:t>
      </w:r>
      <w:r>
        <w:t>213 exported occurrences.</w:t>
      </w:r>
    </w:p>
    <w:p>
      <w:r>
        <w:rPr>
          <w:b/>
        </w:rPr>
        <w:t xml:space="preserve">Export. </w:t>
      </w:r>
      <w:r>
        <w:t>Scopus_AI_S5A_MaterialRecommend.csv</w:t>
      </w:r>
    </w:p>
    <w:p>
      <w:pPr>
        <w:pStyle w:val="Heading3"/>
      </w:pPr>
      <w:r>
        <w:t>AI-S5B Recommend design actions, strategies, or alternatives for circularity-related building decisions</w:t>
      </w:r>
    </w:p>
    <w:p>
      <w:pPr>
        <w:pStyle w:val="Query"/>
      </w:pPr>
      <w:r>
        <w:t>TITLE-ABS-KEY( ("artificial intelligence" OR "machine learning" OR "deep learning" OR "generative AI" OR "large language model*" OR "decision support" OR "intelligent decision support") AND ("architectural design" OR "building design" OR "circular design" OR "design for disassembly" OR "design for deconstruction" OR "design for reuse") AND ("design recommendation*" OR "design suggestion*" OR "decision support" OR recommend* OR "alternative selection" OR "design option selection" OR "design strategy selection") AND (circular* OR reuse OR reusab* OR disassembly OR deconstruction OR "embodied carbon" OR "reclaimed material*" OR recycl*) )</w:t>
      </w:r>
    </w:p>
    <w:p>
      <w:r>
        <w:rPr>
          <w:b/>
        </w:rPr>
        <w:t xml:space="preserve">Filters. </w:t>
      </w:r>
      <w:r>
        <w:t>2014-2026; English; Article, Review, and Conference Paper; no subject-area filter.</w:t>
      </w:r>
    </w:p>
    <w:p>
      <w:r>
        <w:rPr>
          <w:b/>
        </w:rPr>
        <w:t xml:space="preserve">Counts. </w:t>
      </w:r>
      <w:r>
        <w:t>111 exported occurrences.</w:t>
      </w:r>
    </w:p>
    <w:p>
      <w:r>
        <w:rPr>
          <w:b/>
        </w:rPr>
        <w:t xml:space="preserve">Export. </w:t>
      </w:r>
      <w:r>
        <w:t>Scopus_AI_S5B_DesignActionRecommend.csv</w:t>
      </w:r>
    </w:p>
    <w:p>
      <w:pPr>
        <w:pStyle w:val="Heading3"/>
      </w:pPr>
      <w:r>
        <w:t>AI-S6A Generate, optimize, or rank building-design alternatives using circularity, carbon, reuse, material, or disassembly criteria</w:t>
      </w:r>
    </w:p>
    <w:p>
      <w:pPr>
        <w:pStyle w:val="Query"/>
      </w:pPr>
      <w:r>
        <w:t>TITLE-ABS-KEY( ("generative design" OR "generative AI" OR "parametric design" OR "evolutionary design" OR "genetic algorithm*" OR "evolutionary algorithm*" OR "reinforcement learning" OR "multi-objective optimization") AND ("architectural design" OR "building design" OR "building layout*" OR "building component*") AND (generat* OR "design alternative*" OR "design option*" OR rank* OR "multi-objective optimization" OR "design optimization") AND (circular* OR "embodied carbon" OR "whole life carbon" OR "life cycle assessment" OR reuse OR reusab* OR "reclaimed material*" OR disassembly OR deconstruction OR recycl* OR "material selection") )</w:t>
      </w:r>
    </w:p>
    <w:p>
      <w:r>
        <w:rPr>
          <w:b/>
        </w:rPr>
        <w:t xml:space="preserve">Filters. </w:t>
      </w:r>
      <w:r>
        <w:t>2014-2026; English; Article, Review, and Conference Paper; no subject-area filter.</w:t>
      </w:r>
    </w:p>
    <w:p>
      <w:r>
        <w:rPr>
          <w:b/>
        </w:rPr>
        <w:t xml:space="preserve">Counts. </w:t>
      </w:r>
      <w:r>
        <w:t>201 exported occurrences.</w:t>
      </w:r>
    </w:p>
    <w:p>
      <w:r>
        <w:rPr>
          <w:b/>
        </w:rPr>
        <w:t xml:space="preserve">Export. </w:t>
      </w:r>
      <w:r>
        <w:t>Scopus_AI_S6A_CircularGenerateRank.csv</w:t>
      </w:r>
    </w:p>
    <w:p>
      <w:pPr>
        <w:pStyle w:val="Heading3"/>
      </w:pPr>
      <w:r>
        <w:t>AI-S6B Transferable integrated Generate plus Rank/Optimize evidence in architectural and building design</w:t>
      </w:r>
    </w:p>
    <w:p>
      <w:pPr>
        <w:pStyle w:val="Query"/>
      </w:pPr>
      <w:r>
        <w:t>TITLE-ABS-KEY( ("artificial intelligence" OR "machine learning" OR "generative AI" OR "generative design" OR "reinforcement learning" OR "evolutionary design") AND ("architectural design" OR "building design" OR "floor plan*" OR "building layout*" OR "space layout*") AND (generat* OR "design alternative*" OR "design option*" OR "alternative generation") AND (rank* OR optimiz* OR "multi-objective optimization" OR "alternative selection" OR "design selection") AND (performance OR energy OR carbon OR material* OR cost OR daylight OR thermal OR constructability) )</w:t>
      </w:r>
    </w:p>
    <w:p>
      <w:r>
        <w:rPr>
          <w:b/>
        </w:rPr>
        <w:t xml:space="preserve">Filters. </w:t>
      </w:r>
      <w:r>
        <w:t>2014-2026; English; Article, Review, and Conference Paper; no subject-area filter.</w:t>
      </w:r>
    </w:p>
    <w:p>
      <w:r>
        <w:rPr>
          <w:b/>
        </w:rPr>
        <w:t xml:space="preserve">Counts. </w:t>
      </w:r>
      <w:r>
        <w:t>606 exported occurrences.</w:t>
      </w:r>
    </w:p>
    <w:p>
      <w:r>
        <w:rPr>
          <w:b/>
        </w:rPr>
        <w:t xml:space="preserve">Export. </w:t>
      </w:r>
      <w:r>
        <w:t>Scopus_AI_S6B_TransferableGenerateRank.csv</w:t>
      </w:r>
    </w:p>
    <w:p>
      <w:r>
        <w:t>The eleven exports contained 4,272 record occurrences in total.</w:t>
      </w:r>
    </w:p>
    <w:p>
      <w:pPr>
        <w:pStyle w:val="Heading2"/>
      </w:pPr>
      <w:r>
        <w:t>S1.3 Deduplication</w:t>
      </w:r>
    </w:p>
    <w:p>
      <w:r>
        <w:t>For the primary review, digital object identifiers (DOIs) were normalized by lowercasing and removing resolver prefixes and unnecessary punctuation. Titles were lowercased, punctuation-normalized, accent-normalized where needed, and whitespace-collapsed. Matching used DOI first and normalized title when DOI was absent or inconsistent. Strict-search records were preferred over bridge-search records, followed by metadata completeness, valid DOI, and accession data. Six exports yielded 1,762 occurrences; 674 duplicate occurrences were removed, leaving 1,088 unique records. Duplicate rows remain traceable in the archive.</w:t>
      </w:r>
    </w:p>
    <w:p>
      <w:r>
        <w:t>For the targeted AI review, matching used normalized DOI, exact normalized title, and then normalized title plus publication year and first author. Similar but uncertain candidates were retained and marked for review rather than automatically merged. The eleven exports yielded 4,272 occurrences; 404 duplicate occurrences were removed, leaving 3,868 unique records. Multi-search provenance was retained.</w:t>
      </w:r>
    </w:p>
    <w:p>
      <w:pPr>
        <w:pStyle w:val="Heading2"/>
      </w:pPr>
      <w:r>
        <w:t>S1.4 Primary title and abstract screening boundary</w:t>
      </w:r>
    </w:p>
    <w:p>
      <w:r>
        <w:t>Include required evidence for a building-circularity information contribution, an indicator/assessment/passport relationship, or an architectural drawing, CAD, BIM, IFC, or computational-information pathway useful for cross-mapping. Maybe was used when missing or ambiguous metadata prevented a defensible decision; Maybe records advanced to retrieval. Exclude required one recorded primary reason. Reviews and conceptual papers were retained when they contributed requirements, taxonomy, framework, or source evidence and were not treated as empirical AI demonstrations solely because they discussed AI. Full operational definitions and boundary examples are in Table S1.</w:t>
      </w:r>
    </w:p>
    <w:p>
      <w:pPr>
        <w:pStyle w:val="Heading2"/>
      </w:pPr>
      <w:r>
        <w:t>S1.5 Primary full-text eligibility</w:t>
      </w:r>
    </w:p>
    <w:p>
      <w:r>
        <w:t>A readable report was included when it supplied a building/component circularity requirement, assessment, source relationship, or eligible digital-information pathway. Retrieval failure was recorded separately from substantive exclusion. Reviews and conceptual papers could support taxonomy, framework, or source claims but were not treated as empirical AI evidence without an original implemented study. Of 855 reports sought, 123 were not retrieved, 732 readable reports were assessed, one was substantively excluded, and 731 were included.</w:t>
      </w:r>
    </w:p>
    <w:p>
      <w:r>
        <w:t>The included reports contributed to overlapping analytical views. The circularity-information view contained 726 reports and the digital-information view contained 720. These counts are not additive because the same report could supply both circularity requirements and digital-information relationships.</w:t>
      </w:r>
    </w:p>
    <w:p>
      <w:pPr>
        <w:pStyle w:val="Heading2"/>
      </w:pPr>
      <w:r>
        <w:t>S1.6 Targeted AI title and abstract screening</w:t>
      </w:r>
    </w:p>
    <w:p>
      <w:r>
        <w:t>Screening distinguished Include, Maybe, Background Review, and Exclude. A record did not need to use the word circularity if it demonstrated a transferable building-design AI function on a relevant variable or outcome. When uncertainty remained between Exclude and Maybe, the record advanced as Maybe. Reviews and framework papers were retained for background or citation chaining but were not counted as empirical capability evidence. The 3,868 unique records yielded 1,296 Include, 374 Maybe, 134 Background Review, and 2,064 Exclude decisions. Table S1 provides the AI1-AI8 definitions and boundary examples.</w:t>
      </w:r>
    </w:p>
    <w:p>
      <w:pPr>
        <w:pStyle w:val="Heading2"/>
      </w:pPr>
      <w:r>
        <w:t>S1.7 Targeted AI full-text selection</w:t>
      </w:r>
    </w:p>
    <w:p>
      <w:r>
        <w:t>Full-text processing was purposive because the objective was gap-directed capability synthesis rather than prevalence estimation. A 300-record high-priority queue emphasized direct circularity evidence and higher-agency functions. A separate transferable queue contained 1,370 records, from which 78 gap-targeted records were selected. The final empirical corpus contained 107 page-located papers. Target/Output relationships were separated from Input/Feature, Criterion, Design Variable, Constraint, Diagnostic Factor, Context Only, and Unclear roles. Direct evidence applied a function to a circularity-oriented target; Transferable evidence demonstrated the same target/function relationship in an adjacent building-design context.</w:t>
      </w:r>
    </w:p>
    <w:p>
      <w:pPr>
        <w:pStyle w:val="Heading2"/>
      </w:pPr>
      <w:r>
        <w:t>S1.8 Quality checks and researcher oversight</w:t>
      </w:r>
    </w:p>
    <w:p>
      <w:r>
        <w:t>Retained AI relationships include page and section locators. High-risk distinctions involving geometry and material inputs, life-cycle assessment criteria, connections, passports, prediction, diagnosis, recommendation, and integrated generation/ranking were rechecked against source materials during synthesis. Uncertain title/abstract records advanced to retrieval, and unresolved full-text roles were not promoted to target/output evidence.</w:t>
      </w:r>
    </w:p>
    <w:p>
      <w:r>
        <w:t>The archived title/abstract quality-check set contained 223 rows representing 220 of 1,088 unique records (20.2%). It emphasized uncertain decisions, missing abstracts, selected exclusions, and other high-risk records. The archived full-text quality-check set contained 93 rows representing 89 of 732 readable reports (12.2%) and included provisional Maybe decisions, the substantive exclusion, unresolved mapping groups, and a deterministic sample of the principal inclusion group. Four full-text Maybe decisions changed to Include. These records do not establish dual-independent screening, universal manual confirmation, or inter-rater reliability.</w:t>
      </w:r>
    </w:p>
    <w:p>
      <w:r>
        <w:t>Computational and language-model tools assisted preliminary screening, structured extraction, evidence organization, consistency checking, and document preparation under researcher-defined eligibility, taxonomy, provenance, function, and role rules. The archive does not establish that every record or relationship received independent manual confirmation.</w:t>
      </w:r>
    </w:p>
    <w:p>
      <w:pPr>
        <w:sectPr>
          <w:footerReference w:type="default" r:id="rId9"/>
          <w:headerReference w:type="default" r:id="rId15"/>
          <w:pgSz w:w="11906" w:h="16838"/>
          <w:pgMar w:top="1020" w:right="1134" w:bottom="1020" w:left="1134" w:header="720" w:footer="720" w:gutter="0"/>
          <w:cols w:space="720"/>
          <w:docGrid w:linePitch="360"/>
        </w:sectPr>
      </w:pPr>
    </w:p>
    <w:p>
      <w:pPr>
        <w:pStyle w:val="Heading1"/>
      </w:pPr>
      <w:r>
        <w:t>Supplementary tables</w:t>
      </w:r>
    </w:p>
    <w:p>
      <w:pPr>
        <w:pStyle w:val="Caption"/>
      </w:pPr>
      <w:r>
        <w:t>Table S1. Screening and eligibility codebook.</w:t>
      </w:r>
    </w:p>
    <w:tbl>
      <w:tblPr>
        <w:tblStyle w:val="TableGrid"/>
        <w:tblW w:type="auto" w:w="0"/>
        <w:jc w:val="center"/>
        <w:tblLayout w:type="autofit"/>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173D55"/>
            <w:vAlign w:val="center"/>
            <w:tcMar>
              <w:top w:w="90" w:type="dxa"/>
              <w:start w:w="85" w:type="dxa"/>
              <w:bottom w:w="90" w:type="dxa"/>
              <w:end w:w="85" w:type="dxa"/>
            </w:tcMar>
          </w:tcPr>
          <w:p>
            <w:pPr>
              <w:jc w:val="center"/>
            </w:pPr>
            <w:r>
              <w:rPr>
                <w:rFonts w:ascii="Arial" w:hAnsi="Arial"/>
                <w:b/>
                <w:color w:val="FFFFFF"/>
                <w:sz w:val="13"/>
              </w:rPr>
              <w:t>Stream</w:t>
            </w:r>
          </w:p>
        </w:tc>
        <w:tc>
          <w:tcPr>
            <w:tcW w:type="dxa" w:w="2542"/>
            <w:shd w:fill="173D55"/>
            <w:vAlign w:val="center"/>
            <w:tcMar>
              <w:top w:w="90" w:type="dxa"/>
              <w:start w:w="85" w:type="dxa"/>
              <w:bottom w:w="90" w:type="dxa"/>
              <w:end w:w="85" w:type="dxa"/>
            </w:tcMar>
          </w:tcPr>
          <w:p>
            <w:pPr>
              <w:jc w:val="center"/>
            </w:pPr>
            <w:r>
              <w:rPr>
                <w:rFonts w:ascii="Arial" w:hAnsi="Arial"/>
                <w:b/>
                <w:color w:val="FFFFFF"/>
                <w:sz w:val="13"/>
              </w:rPr>
              <w:t>Stage</w:t>
            </w:r>
          </w:p>
        </w:tc>
        <w:tc>
          <w:tcPr>
            <w:tcW w:type="dxa" w:w="2542"/>
            <w:shd w:fill="173D55"/>
            <w:vAlign w:val="center"/>
            <w:tcMar>
              <w:top w:w="90" w:type="dxa"/>
              <w:start w:w="85" w:type="dxa"/>
              <w:bottom w:w="90" w:type="dxa"/>
              <w:end w:w="85" w:type="dxa"/>
            </w:tcMar>
          </w:tcPr>
          <w:p>
            <w:pPr>
              <w:jc w:val="center"/>
            </w:pPr>
            <w:r>
              <w:rPr>
                <w:rFonts w:ascii="Arial" w:hAnsi="Arial"/>
                <w:b/>
                <w:color w:val="FFFFFF"/>
                <w:sz w:val="13"/>
              </w:rPr>
              <w:t>Decision/code</w:t>
            </w:r>
          </w:p>
        </w:tc>
        <w:tc>
          <w:tcPr>
            <w:tcW w:type="dxa" w:w="2542"/>
            <w:shd w:fill="173D55"/>
            <w:vAlign w:val="center"/>
            <w:tcMar>
              <w:top w:w="90" w:type="dxa"/>
              <w:start w:w="85" w:type="dxa"/>
              <w:bottom w:w="90" w:type="dxa"/>
              <w:end w:w="85" w:type="dxa"/>
            </w:tcMar>
          </w:tcPr>
          <w:p>
            <w:pPr>
              <w:jc w:val="center"/>
            </w:pPr>
            <w:r>
              <w:rPr>
                <w:rFonts w:ascii="Arial" w:hAnsi="Arial"/>
                <w:b/>
                <w:color w:val="FFFFFF"/>
                <w:sz w:val="13"/>
              </w:rPr>
              <w:t>Operational definition</w:t>
            </w:r>
          </w:p>
        </w:tc>
        <w:tc>
          <w:tcPr>
            <w:tcW w:type="dxa" w:w="2542"/>
            <w:shd w:fill="173D55"/>
            <w:vAlign w:val="center"/>
            <w:tcMar>
              <w:top w:w="90" w:type="dxa"/>
              <w:start w:w="85" w:type="dxa"/>
              <w:bottom w:w="90" w:type="dxa"/>
              <w:end w:w="85" w:type="dxa"/>
            </w:tcMar>
          </w:tcPr>
          <w:p>
            <w:pPr>
              <w:jc w:val="center"/>
            </w:pPr>
            <w:r>
              <w:rPr>
                <w:rFonts w:ascii="Arial" w:hAnsi="Arial"/>
                <w:b/>
                <w:color w:val="FFFFFF"/>
                <w:sz w:val="13"/>
              </w:rPr>
              <w:t>Boundary</w:t>
            </w:r>
          </w:p>
        </w:tc>
        <w:tc>
          <w:tcPr>
            <w:tcW w:type="dxa" w:w="2542"/>
            <w:shd w:fill="173D55"/>
            <w:vAlign w:val="center"/>
            <w:tcMar>
              <w:top w:w="90" w:type="dxa"/>
              <w:start w:w="85" w:type="dxa"/>
              <w:bottom w:w="90" w:type="dxa"/>
              <w:end w:w="85" w:type="dxa"/>
            </w:tcMar>
          </w:tcPr>
          <w:p>
            <w:pPr>
              <w:jc w:val="center"/>
            </w:pPr>
            <w:r>
              <w:rPr>
                <w:rFonts w:ascii="Arial" w:hAnsi="Arial"/>
                <w:b/>
                <w:color w:val="FFFFFF"/>
                <w:sz w:val="13"/>
              </w:rPr>
              <w:t>Example</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Include</w:t>
            </w:r>
          </w:p>
        </w:tc>
        <w:tc>
          <w:tcPr>
            <w:tcW w:type="dxa" w:w="2542"/>
            <w:vAlign w:val="top"/>
            <w:tcMar>
              <w:top w:w="75" w:type="dxa"/>
              <w:start w:w="75" w:type="dxa"/>
              <w:bottom w:w="75" w:type="dxa"/>
              <w:end w:w="75" w:type="dxa"/>
            </w:tcMar>
          </w:tcPr>
          <w:p>
            <w:pPr>
              <w:spacing w:after="30" w:line="240" w:lineRule="auto"/>
            </w:pPr>
            <w:r>
              <w:rPr>
                <w:rFonts w:ascii="Arial" w:hAnsi="Arial"/>
                <w:sz w:val="13"/>
              </w:rPr>
              <w:t>Sufficient title/abstract evidence for a circularity-information or eligible digital-information contribution.</w:t>
            </w:r>
          </w:p>
        </w:tc>
        <w:tc>
          <w:tcPr>
            <w:tcW w:type="dxa" w:w="2542"/>
            <w:vAlign w:val="top"/>
            <w:tcMar>
              <w:top w:w="75" w:type="dxa"/>
              <w:start w:w="75" w:type="dxa"/>
              <w:bottom w:w="75" w:type="dxa"/>
              <w:end w:w="75" w:type="dxa"/>
            </w:tcMar>
          </w:tcPr>
          <w:p>
            <w:pPr>
              <w:spacing w:after="30" w:line="240" w:lineRule="auto"/>
            </w:pPr>
            <w:r>
              <w:rPr>
                <w:rFonts w:ascii="Arial" w:hAnsi="Arial"/>
                <w:sz w:val="13"/>
              </w:rPr>
              <w:t>Advance to retrieval.</w:t>
            </w:r>
          </w:p>
        </w:tc>
        <w:tc>
          <w:tcPr>
            <w:tcW w:type="dxa" w:w="2542"/>
            <w:vAlign w:val="top"/>
            <w:tcMar>
              <w:top w:w="75" w:type="dxa"/>
              <w:start w:w="75" w:type="dxa"/>
              <w:bottom w:w="75" w:type="dxa"/>
              <w:end w:w="75" w:type="dxa"/>
            </w:tcMar>
          </w:tcPr>
          <w:p>
            <w:pPr>
              <w:spacing w:after="30" w:line="240" w:lineRule="auto"/>
            </w:pPr>
            <w:r>
              <w:rPr>
                <w:rFonts w:ascii="Arial" w:hAnsi="Arial"/>
                <w:sz w:val="13"/>
              </w:rPr>
              <w:t>A building material-passport framework or a floor-plan recognition study with a defensible mapping role.</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Maybe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Plausible relevance, but building scale, method, input/output, or design relevance cannot be resolved from 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Advance to retrieval rather than exclude.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A short BIM and circular-construction abstract with an unclear implemented method.</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Exclude</w:t>
            </w:r>
          </w:p>
        </w:tc>
        <w:tc>
          <w:tcPr>
            <w:tcW w:type="dxa" w:w="2542"/>
            <w:vAlign w:val="top"/>
            <w:tcMar>
              <w:top w:w="75" w:type="dxa"/>
              <w:start w:w="75" w:type="dxa"/>
              <w:bottom w:w="75" w:type="dxa"/>
              <w:end w:w="75" w:type="dxa"/>
            </w:tcMar>
          </w:tcPr>
          <w:p>
            <w:pPr>
              <w:spacing w:after="30" w:line="240" w:lineRule="auto"/>
            </w:pPr>
            <w:r>
              <w:rPr>
                <w:rFonts w:ascii="Arial" w:hAnsi="Arial"/>
                <w:sz w:val="13"/>
              </w:rPr>
              <w:t>The record clearly fails the documented eligibility boundary.</w:t>
            </w:r>
          </w:p>
        </w:tc>
        <w:tc>
          <w:tcPr>
            <w:tcW w:type="dxa" w:w="2542"/>
            <w:vAlign w:val="top"/>
            <w:tcMar>
              <w:top w:w="75" w:type="dxa"/>
              <w:start w:w="75" w:type="dxa"/>
              <w:bottom w:w="75" w:type="dxa"/>
              <w:end w:w="75" w:type="dxa"/>
            </w:tcMar>
          </w:tcPr>
          <w:p>
            <w:pPr>
              <w:spacing w:after="30" w:line="240" w:lineRule="auto"/>
            </w:pPr>
            <w:r>
              <w:rPr>
                <w:rFonts w:ascii="Arial" w:hAnsi="Arial"/>
                <w:sz w:val="13"/>
              </w:rPr>
              <w:t>Assign one primary E-code.</w:t>
            </w:r>
          </w:p>
        </w:tc>
        <w:tc>
          <w:tcPr>
            <w:tcW w:type="dxa" w:w="2542"/>
            <w:vAlign w:val="top"/>
            <w:tcMar>
              <w:top w:w="75" w:type="dxa"/>
              <w:start w:w="75" w:type="dxa"/>
              <w:bottom w:w="75" w:type="dxa"/>
              <w:end w:w="75" w:type="dxa"/>
            </w:tcMar>
          </w:tcPr>
          <w:p>
            <w:pPr>
              <w:spacing w:after="30" w:line="240" w:lineRule="auto"/>
            </w:pPr>
            <w:r>
              <w:rPr>
                <w:rFonts w:ascii="Arial" w:hAnsi="Arial"/>
                <w:sz w:val="13"/>
              </w:rPr>
              <w:t>Municipal recycling policy with no building, component, or design-information relationship.</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E1</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No building, construction, or architecture relationship.</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Exclude only when substantive AEC context is absent.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Non-AEC industrial process study.</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E2</w:t>
            </w:r>
          </w:p>
        </w:tc>
        <w:tc>
          <w:tcPr>
            <w:tcW w:type="dxa" w:w="2542"/>
            <w:vAlign w:val="top"/>
            <w:tcMar>
              <w:top w:w="75" w:type="dxa"/>
              <w:start w:w="75" w:type="dxa"/>
              <w:bottom w:w="75" w:type="dxa"/>
              <w:end w:w="75" w:type="dxa"/>
            </w:tcMar>
          </w:tcPr>
          <w:p>
            <w:pPr>
              <w:spacing w:after="30" w:line="240" w:lineRule="auto"/>
            </w:pPr>
            <w:r>
              <w:rPr>
                <w:rFonts w:ascii="Arial" w:hAnsi="Arial"/>
                <w:sz w:val="13"/>
              </w:rPr>
              <w:t>Neither circularity nor an eligible AI/drawing-information mapping relationship.</w:t>
            </w:r>
          </w:p>
        </w:tc>
        <w:tc>
          <w:tcPr>
            <w:tcW w:type="dxa" w:w="2542"/>
            <w:vAlign w:val="top"/>
            <w:tcMar>
              <w:top w:w="75" w:type="dxa"/>
              <w:start w:w="75" w:type="dxa"/>
              <w:bottom w:w="75" w:type="dxa"/>
              <w:end w:w="75" w:type="dxa"/>
            </w:tcMar>
          </w:tcPr>
          <w:p>
            <w:pPr>
              <w:spacing w:after="30" w:line="240" w:lineRule="auto"/>
            </w:pPr>
            <w:r>
              <w:rPr>
                <w:rFonts w:ascii="Arial" w:hAnsi="Arial"/>
                <w:sz w:val="13"/>
              </w:rPr>
              <w:t>Exclude when both evidence streams are absent.</w:t>
            </w:r>
          </w:p>
        </w:tc>
        <w:tc>
          <w:tcPr>
            <w:tcW w:type="dxa" w:w="2542"/>
            <w:vAlign w:val="top"/>
            <w:tcMar>
              <w:top w:w="75" w:type="dxa"/>
              <w:start w:w="75" w:type="dxa"/>
              <w:bottom w:w="75" w:type="dxa"/>
              <w:end w:w="75" w:type="dxa"/>
            </w:tcMar>
          </w:tcPr>
          <w:p>
            <w:pPr>
              <w:spacing w:after="30" w:line="240" w:lineRule="auto"/>
            </w:pPr>
            <w:r>
              <w:rPr>
                <w:rFonts w:ascii="Arial" w:hAnsi="Arial"/>
                <w:sz w:val="13"/>
              </w:rPr>
              <w:t>Generic building topic with no circularity or information-extraction relevance.</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E3</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No indicator, assessment, framework, extraction method, or relevant tool.</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Exclude when no usable analytical contribution is visible.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Descriptive commentary without an assessment or extraction contribution.</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E4</w:t>
            </w:r>
          </w:p>
        </w:tc>
        <w:tc>
          <w:tcPr>
            <w:tcW w:type="dxa" w:w="2542"/>
            <w:vAlign w:val="top"/>
            <w:tcMar>
              <w:top w:w="75" w:type="dxa"/>
              <w:start w:w="75" w:type="dxa"/>
              <w:bottom w:w="75" w:type="dxa"/>
              <w:end w:w="75" w:type="dxa"/>
            </w:tcMar>
          </w:tcPr>
          <w:p>
            <w:pPr>
              <w:spacing w:after="30" w:line="240" w:lineRule="auto"/>
            </w:pPr>
            <w:r>
              <w:rPr>
                <w:rFonts w:ascii="Arial" w:hAnsi="Arial"/>
                <w:sz w:val="13"/>
              </w:rPr>
              <w:t>No relevant AI, computational, or digital-information relationship and no eligible circularity mapping role.</w:t>
            </w:r>
          </w:p>
        </w:tc>
        <w:tc>
          <w:tcPr>
            <w:tcW w:type="dxa" w:w="2542"/>
            <w:vAlign w:val="top"/>
            <w:tcMar>
              <w:top w:w="75" w:type="dxa"/>
              <w:start w:w="75" w:type="dxa"/>
              <w:bottom w:w="75" w:type="dxa"/>
              <w:end w:w="75" w:type="dxa"/>
            </w:tcMar>
          </w:tcPr>
          <w:p>
            <w:pPr>
              <w:spacing w:after="30" w:line="240" w:lineRule="auto"/>
            </w:pPr>
            <w:r>
              <w:rPr>
                <w:rFonts w:ascii="Arial" w:hAnsi="Arial"/>
                <w:sz w:val="13"/>
              </w:rPr>
              <w:t>Exclude only after checking both streams.</w:t>
            </w:r>
          </w:p>
        </w:tc>
        <w:tc>
          <w:tcPr>
            <w:tcW w:type="dxa" w:w="2542"/>
            <w:vAlign w:val="top"/>
            <w:tcMar>
              <w:top w:w="75" w:type="dxa"/>
              <w:start w:w="75" w:type="dxa"/>
              <w:bottom w:w="75" w:type="dxa"/>
              <w:end w:w="75" w:type="dxa"/>
            </w:tcMar>
          </w:tcPr>
          <w:p>
            <w:pPr>
              <w:spacing w:after="30" w:line="240" w:lineRule="auto"/>
            </w:pPr>
            <w:r>
              <w:rPr>
                <w:rFonts w:ascii="Arial" w:hAnsi="Arial"/>
                <w:sz w:val="13"/>
              </w:rPr>
              <w:t>Ordinary calculation without circularity-information mapping relevance.</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E5</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No usable design-information or design-decision connection.</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Exclude management-only material lacking information relevance.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Organizational adoption study without an attribute/source relationship.</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E6</w:t>
            </w:r>
          </w:p>
        </w:tc>
        <w:tc>
          <w:tcPr>
            <w:tcW w:type="dxa" w:w="2542"/>
            <w:vAlign w:val="top"/>
            <w:tcMar>
              <w:top w:w="75" w:type="dxa"/>
              <w:start w:w="75" w:type="dxa"/>
              <w:bottom w:w="75" w:type="dxa"/>
              <w:end w:w="75" w:type="dxa"/>
            </w:tcMar>
          </w:tcPr>
          <w:p>
            <w:pPr>
              <w:spacing w:after="30" w:line="240" w:lineRule="auto"/>
            </w:pPr>
            <w:r>
              <w:rPr>
                <w:rFonts w:ascii="Arial" w:hAnsi="Arial"/>
                <w:sz w:val="13"/>
              </w:rPr>
              <w:t>Urban, regional, policy, or macro scale only.</w:t>
            </w:r>
          </w:p>
        </w:tc>
        <w:tc>
          <w:tcPr>
            <w:tcW w:type="dxa" w:w="2542"/>
            <w:vAlign w:val="top"/>
            <w:tcMar>
              <w:top w:w="75" w:type="dxa"/>
              <w:start w:w="75" w:type="dxa"/>
              <w:bottom w:w="75" w:type="dxa"/>
              <w:end w:w="75" w:type="dxa"/>
            </w:tcMar>
          </w:tcPr>
          <w:p>
            <w:pPr>
              <w:spacing w:after="30" w:line="240" w:lineRule="auto"/>
            </w:pPr>
            <w:r>
              <w:rPr>
                <w:rFonts w:ascii="Arial" w:hAnsi="Arial"/>
                <w:sz w:val="13"/>
              </w:rPr>
              <w:t>Exclude when building/component/system evidence cannot be separated.</w:t>
            </w:r>
          </w:p>
        </w:tc>
        <w:tc>
          <w:tcPr>
            <w:tcW w:type="dxa" w:w="2542"/>
            <w:vAlign w:val="top"/>
            <w:tcMar>
              <w:top w:w="75" w:type="dxa"/>
              <w:start w:w="75" w:type="dxa"/>
              <w:bottom w:w="75" w:type="dxa"/>
              <w:end w:w="75" w:type="dxa"/>
            </w:tcMar>
          </w:tcPr>
          <w:p>
            <w:pPr>
              <w:spacing w:after="30" w:line="240" w:lineRule="auto"/>
            </w:pPr>
            <w:r>
              <w:rPr>
                <w:rFonts w:ascii="Arial" w:hAnsi="Arial"/>
                <w:sz w:val="13"/>
              </w:rPr>
              <w:t>City-level circularity index only.</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E7</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Waste management only without design, indicator, or component-recovery relevance.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Do not use when the paper links waste to building design or recovery information.</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Collection logistics without a building-design information relationship.</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E8</w:t>
            </w:r>
          </w:p>
        </w:tc>
        <w:tc>
          <w:tcPr>
            <w:tcW w:type="dxa" w:w="2542"/>
            <w:vAlign w:val="top"/>
            <w:tcMar>
              <w:top w:w="75" w:type="dxa"/>
              <w:start w:w="75" w:type="dxa"/>
              <w:bottom w:w="75" w:type="dxa"/>
              <w:end w:w="75" w:type="dxa"/>
            </w:tcMar>
          </w:tcPr>
          <w:p>
            <w:pPr>
              <w:spacing w:after="30" w:line="240" w:lineRule="auto"/>
            </w:pPr>
            <w:r>
              <w:rPr>
                <w:rFonts w:ascii="Arial" w:hAnsi="Arial"/>
                <w:sz w:val="13"/>
              </w:rPr>
              <w:t>Duplicate occurrence.</w:t>
            </w:r>
          </w:p>
        </w:tc>
        <w:tc>
          <w:tcPr>
            <w:tcW w:type="dxa" w:w="2542"/>
            <w:vAlign w:val="top"/>
            <w:tcMar>
              <w:top w:w="75" w:type="dxa"/>
              <w:start w:w="75" w:type="dxa"/>
              <w:bottom w:w="75" w:type="dxa"/>
              <w:end w:w="75" w:type="dxa"/>
            </w:tcMar>
          </w:tcPr>
          <w:p>
            <w:pPr>
              <w:spacing w:after="30" w:line="240" w:lineRule="auto"/>
            </w:pPr>
            <w:r>
              <w:rPr>
                <w:rFonts w:ascii="Arial" w:hAnsi="Arial"/>
                <w:sz w:val="13"/>
              </w:rPr>
              <w:t>Remove after DOI/title matching while retaining provenance.</w:t>
            </w:r>
          </w:p>
        </w:tc>
        <w:tc>
          <w:tcPr>
            <w:tcW w:type="dxa" w:w="2542"/>
            <w:vAlign w:val="top"/>
            <w:tcMar>
              <w:top w:w="75" w:type="dxa"/>
              <w:start w:w="75" w:type="dxa"/>
              <w:bottom w:w="75" w:type="dxa"/>
              <w:end w:w="75" w:type="dxa"/>
            </w:tcMar>
          </w:tcPr>
          <w:p>
            <w:pPr>
              <w:spacing w:after="30" w:line="240" w:lineRule="auto"/>
            </w:pPr>
            <w:r>
              <w:rPr>
                <w:rFonts w:ascii="Arial" w:hAnsi="Arial"/>
                <w:sz w:val="13"/>
              </w:rPr>
              <w:t>Same DOI retrieved from strict and bridge searches.</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E9</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Inaccessible or unusable title/abstract metadata.</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Use only when no meaningful screening evidence is available.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Record lacking a usable title and abstract.</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E10</w:t>
            </w:r>
          </w:p>
        </w:tc>
        <w:tc>
          <w:tcPr>
            <w:tcW w:type="dxa" w:w="2542"/>
            <w:vAlign w:val="top"/>
            <w:tcMar>
              <w:top w:w="75" w:type="dxa"/>
              <w:start w:w="75" w:type="dxa"/>
              <w:bottom w:w="75" w:type="dxa"/>
              <w:end w:w="75" w:type="dxa"/>
            </w:tcMar>
          </w:tcPr>
          <w:p>
            <w:pPr>
              <w:spacing w:after="30" w:line="240" w:lineRule="auto"/>
            </w:pPr>
            <w:r>
              <w:rPr>
                <w:rFonts w:ascii="Arial" w:hAnsi="Arial"/>
                <w:sz w:val="13"/>
              </w:rPr>
              <w:t>Other stated reason.</w:t>
            </w:r>
          </w:p>
        </w:tc>
        <w:tc>
          <w:tcPr>
            <w:tcW w:type="dxa" w:w="2542"/>
            <w:vAlign w:val="top"/>
            <w:tcMar>
              <w:top w:w="75" w:type="dxa"/>
              <w:start w:w="75" w:type="dxa"/>
              <w:bottom w:w="75" w:type="dxa"/>
              <w:end w:w="75" w:type="dxa"/>
            </w:tcMar>
          </w:tcPr>
          <w:p>
            <w:pPr>
              <w:spacing w:after="30" w:line="240" w:lineRule="auto"/>
            </w:pPr>
            <w:r>
              <w:rPr>
                <w:rFonts w:ascii="Arial" w:hAnsi="Arial"/>
                <w:sz w:val="13"/>
              </w:rPr>
              <w:t>Record the reason explicitly.</w:t>
            </w:r>
          </w:p>
        </w:tc>
        <w:tc>
          <w:tcPr>
            <w:tcW w:type="dxa" w:w="2542"/>
            <w:vAlign w:val="top"/>
            <w:tcMar>
              <w:top w:w="75" w:type="dxa"/>
              <w:start w:w="75" w:type="dxa"/>
              <w:bottom w:w="75" w:type="dxa"/>
              <w:end w:w="75" w:type="dxa"/>
            </w:tcMar>
          </w:tcPr>
          <w:p>
            <w:pPr>
              <w:spacing w:after="30" w:line="240" w:lineRule="auto"/>
            </w:pPr>
            <w:r>
              <w:rPr>
                <w:rFonts w:ascii="Arial" w:hAnsi="Arial"/>
                <w:sz w:val="13"/>
              </w:rPr>
              <w:t>Ineligible language or document type where documented.</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Include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Readable report supplies a building/component circularity requirement, assessment, source relationship, or eligible digital-information pathway.</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Retain for the relevant analytical view(s).</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Indicator method with coded inputs or a BIM extraction method that can be cross-mapped.</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tcPr>
          <w:p>
            <w:pPr>
              <w:spacing w:after="30" w:line="240" w:lineRule="auto"/>
            </w:pPr>
            <w:r>
              <w:rPr>
                <w:rFonts w:ascii="Arial" w:hAnsi="Arial"/>
                <w:sz w:val="13"/>
              </w:rPr>
              <w:t>FT1</w:t>
            </w:r>
          </w:p>
        </w:tc>
        <w:tc>
          <w:tcPr>
            <w:tcW w:type="dxa" w:w="2542"/>
            <w:vAlign w:val="top"/>
            <w:tcMar>
              <w:top w:w="75" w:type="dxa"/>
              <w:start w:w="75" w:type="dxa"/>
              <w:bottom w:w="75" w:type="dxa"/>
              <w:end w:w="75" w:type="dxa"/>
            </w:tcMar>
          </w:tcPr>
          <w:p>
            <w:pPr>
              <w:spacing w:after="30" w:line="240" w:lineRule="auto"/>
            </w:pPr>
            <w:r>
              <w:rPr>
                <w:rFonts w:ascii="Arial" w:hAnsi="Arial"/>
                <w:sz w:val="13"/>
              </w:rPr>
              <w:t>Full text not retrieved.</w:t>
            </w:r>
          </w:p>
        </w:tc>
        <w:tc>
          <w:tcPr>
            <w:tcW w:type="dxa" w:w="2542"/>
            <w:vAlign w:val="top"/>
            <w:tcMar>
              <w:top w:w="75" w:type="dxa"/>
              <w:start w:w="75" w:type="dxa"/>
              <w:bottom w:w="75" w:type="dxa"/>
              <w:end w:w="75" w:type="dxa"/>
            </w:tcMar>
          </w:tcPr>
          <w:p>
            <w:pPr>
              <w:spacing w:after="30" w:line="240" w:lineRule="auto"/>
            </w:pPr>
            <w:r>
              <w:rPr>
                <w:rFonts w:ascii="Arial" w:hAnsi="Arial"/>
                <w:sz w:val="13"/>
              </w:rPr>
              <w:t>Record separately from substantive exclusion.</w:t>
            </w:r>
          </w:p>
        </w:tc>
        <w:tc>
          <w:tcPr>
            <w:tcW w:type="dxa" w:w="2542"/>
            <w:vAlign w:val="top"/>
            <w:tcMar>
              <w:top w:w="75" w:type="dxa"/>
              <w:start w:w="75" w:type="dxa"/>
              <w:bottom w:w="75" w:type="dxa"/>
              <w:end w:w="75" w:type="dxa"/>
            </w:tcMar>
          </w:tcPr>
          <w:p>
            <w:pPr>
              <w:spacing w:after="30" w:line="240" w:lineRule="auto"/>
            </w:pPr>
            <w:r>
              <w:rPr>
                <w:rFonts w:ascii="Arial" w:hAnsi="Arial"/>
                <w:sz w:val="13"/>
              </w:rPr>
              <w:t>Report sought but unavailable through lawful access.</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FT2</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Not substantively building/AEC relevant after full-text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Substantive exclusion.</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Manufacturing-only study without transferable building information.</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tcPr>
          <w:p>
            <w:pPr>
              <w:spacing w:after="30" w:line="240" w:lineRule="auto"/>
            </w:pPr>
            <w:r>
              <w:rPr>
                <w:rFonts w:ascii="Arial" w:hAnsi="Arial"/>
                <w:sz w:val="13"/>
              </w:rPr>
              <w:t>FT3-FT8</w:t>
            </w:r>
          </w:p>
        </w:tc>
        <w:tc>
          <w:tcPr>
            <w:tcW w:type="dxa" w:w="2542"/>
            <w:vAlign w:val="top"/>
            <w:tcMar>
              <w:top w:w="75" w:type="dxa"/>
              <w:start w:w="75" w:type="dxa"/>
              <w:bottom w:w="75" w:type="dxa"/>
              <w:end w:w="75" w:type="dxa"/>
            </w:tcMar>
          </w:tcPr>
          <w:p>
            <w:pPr>
              <w:spacing w:after="30" w:line="240" w:lineRule="auto"/>
            </w:pPr>
            <w:r>
              <w:rPr>
                <w:rFonts w:ascii="Arial" w:hAnsi="Arial"/>
                <w:sz w:val="13"/>
              </w:rPr>
              <w:t>No qualifying circularity, assessment, computational-information, design, recovery, or building-scale contribution under the recorded code.</w:t>
            </w:r>
          </w:p>
        </w:tc>
        <w:tc>
          <w:tcPr>
            <w:tcW w:type="dxa" w:w="2542"/>
            <w:vAlign w:val="top"/>
            <w:tcMar>
              <w:top w:w="75" w:type="dxa"/>
              <w:start w:w="75" w:type="dxa"/>
              <w:bottom w:w="75" w:type="dxa"/>
              <w:end w:w="75" w:type="dxa"/>
            </w:tcMar>
          </w:tcPr>
          <w:p>
            <w:pPr>
              <w:spacing w:after="30" w:line="240" w:lineRule="auto"/>
            </w:pPr>
            <w:r>
              <w:rPr>
                <w:rFonts w:ascii="Arial" w:hAnsi="Arial"/>
                <w:sz w:val="13"/>
              </w:rPr>
              <w:t>Use the specific archived reason.</w:t>
            </w:r>
          </w:p>
        </w:tc>
        <w:tc>
          <w:tcPr>
            <w:tcW w:type="dxa" w:w="2542"/>
            <w:vAlign w:val="top"/>
            <w:tcMar>
              <w:top w:w="75" w:type="dxa"/>
              <w:start w:w="75" w:type="dxa"/>
              <w:bottom w:w="75" w:type="dxa"/>
              <w:end w:w="75" w:type="dxa"/>
            </w:tcMar>
          </w:tcPr>
          <w:p>
            <w:pPr>
              <w:spacing w:after="30" w:line="240" w:lineRule="auto"/>
            </w:pPr>
            <w:r>
              <w:rPr>
                <w:rFonts w:ascii="Arial" w:hAnsi="Arial"/>
                <w:sz w:val="13"/>
              </w:rPr>
              <w:t>Urban/macro-only report (FT8).</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FT9</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Background review only and unsuitable for the claimed empirical relationship.</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May remain contextual but not empirical evidence.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Broad review without an original implementation.</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tcPr>
          <w:p>
            <w:pPr>
              <w:spacing w:after="30" w:line="240" w:lineRule="auto"/>
            </w:pPr>
            <w:r>
              <w:rPr>
                <w:rFonts w:ascii="Arial" w:hAnsi="Arial"/>
                <w:sz w:val="13"/>
              </w:rPr>
              <w:t>FT10</w:t>
            </w:r>
          </w:p>
        </w:tc>
        <w:tc>
          <w:tcPr>
            <w:tcW w:type="dxa" w:w="2542"/>
            <w:vAlign w:val="top"/>
            <w:tcMar>
              <w:top w:w="75" w:type="dxa"/>
              <w:start w:w="75" w:type="dxa"/>
              <w:bottom w:w="75" w:type="dxa"/>
              <w:end w:w="75" w:type="dxa"/>
            </w:tcMar>
          </w:tcPr>
          <w:p>
            <w:pPr>
              <w:spacing w:after="30" w:line="240" w:lineRule="auto"/>
            </w:pPr>
            <w:r>
              <w:rPr>
                <w:rFonts w:ascii="Arial" w:hAnsi="Arial"/>
                <w:sz w:val="13"/>
              </w:rPr>
              <w:t>Duplicate or superseded report.</w:t>
            </w:r>
          </w:p>
        </w:tc>
        <w:tc>
          <w:tcPr>
            <w:tcW w:type="dxa" w:w="2542"/>
            <w:vAlign w:val="top"/>
            <w:tcMar>
              <w:top w:w="75" w:type="dxa"/>
              <w:start w:w="75" w:type="dxa"/>
              <w:bottom w:w="75" w:type="dxa"/>
              <w:end w:w="75" w:type="dxa"/>
            </w:tcMar>
          </w:tcPr>
          <w:p>
            <w:pPr>
              <w:spacing w:after="30" w:line="240" w:lineRule="auto"/>
            </w:pPr>
            <w:r>
              <w:rPr>
                <w:rFonts w:ascii="Arial" w:hAnsi="Arial"/>
                <w:sz w:val="13"/>
              </w:rPr>
              <w:t>Retain the more complete study representation.</w:t>
            </w:r>
          </w:p>
        </w:tc>
        <w:tc>
          <w:tcPr>
            <w:tcW w:type="dxa" w:w="2542"/>
            <w:vAlign w:val="top"/>
            <w:tcMar>
              <w:top w:w="75" w:type="dxa"/>
              <w:start w:w="75" w:type="dxa"/>
              <w:bottom w:w="75" w:type="dxa"/>
              <w:end w:w="75" w:type="dxa"/>
            </w:tcMar>
          </w:tcPr>
          <w:p>
            <w:pPr>
              <w:spacing w:after="30" w:line="240" w:lineRule="auto"/>
            </w:pPr>
            <w:r>
              <w:rPr>
                <w:rFonts w:ascii="Arial" w:hAnsi="Arial"/>
                <w:sz w:val="13"/>
              </w:rPr>
              <w:t>Conference abstract superseded by a complete article.</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FT11</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Insufficient methodological detail for computational-readiness coding.</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Exclude from the affected analytical claim.</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Method/output remains unresolved after reading.</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tcPr>
          <w:p>
            <w:pPr>
              <w:spacing w:after="30" w:line="240" w:lineRule="auto"/>
            </w:pPr>
            <w:r>
              <w:rPr>
                <w:rFonts w:ascii="Arial" w:hAnsi="Arial"/>
                <w:sz w:val="13"/>
              </w:rPr>
              <w:t>FT12</w:t>
            </w:r>
          </w:p>
        </w:tc>
        <w:tc>
          <w:tcPr>
            <w:tcW w:type="dxa" w:w="2542"/>
            <w:vAlign w:val="top"/>
            <w:tcMar>
              <w:top w:w="75" w:type="dxa"/>
              <w:start w:w="75" w:type="dxa"/>
              <w:bottom w:w="75" w:type="dxa"/>
              <w:end w:w="75" w:type="dxa"/>
            </w:tcMar>
          </w:tcPr>
          <w:p>
            <w:pPr>
              <w:spacing w:after="30" w:line="240" w:lineRule="auto"/>
            </w:pPr>
            <w:r>
              <w:rPr>
                <w:rFonts w:ascii="Arial" w:hAnsi="Arial"/>
                <w:sz w:val="13"/>
              </w:rPr>
              <w:t>AI or drawing-extraction report with no direct circularity connection.</w:t>
            </w:r>
          </w:p>
        </w:tc>
        <w:tc>
          <w:tcPr>
            <w:tcW w:type="dxa" w:w="2542"/>
            <w:vAlign w:val="top"/>
            <w:tcMar>
              <w:top w:w="75" w:type="dxa"/>
              <w:start w:w="75" w:type="dxa"/>
              <w:bottom w:w="75" w:type="dxa"/>
              <w:end w:w="75" w:type="dxa"/>
            </w:tcMar>
          </w:tcPr>
          <w:p>
            <w:pPr>
              <w:spacing w:after="30" w:line="240" w:lineRule="auto"/>
            </w:pPr>
            <w:r>
              <w:rPr>
                <w:rFonts w:ascii="Arial" w:hAnsi="Arial"/>
                <w:sz w:val="13"/>
              </w:rPr>
              <w:t>Eligible only where the transferability rule supports mapping; otherwise exclude from the primary claim.</w:t>
            </w:r>
          </w:p>
        </w:tc>
        <w:tc>
          <w:tcPr>
            <w:tcW w:type="dxa" w:w="2542"/>
            <w:vAlign w:val="top"/>
            <w:tcMar>
              <w:top w:w="75" w:type="dxa"/>
              <w:start w:w="75" w:type="dxa"/>
              <w:bottom w:w="75" w:type="dxa"/>
              <w:end w:w="75" w:type="dxa"/>
            </w:tcMar>
          </w:tcPr>
          <w:p>
            <w:pPr>
              <w:spacing w:after="30" w:line="240" w:lineRule="auto"/>
            </w:pPr>
            <w:r>
              <w:rPr>
                <w:rFonts w:ascii="Arial" w:hAnsi="Arial"/>
                <w:sz w:val="13"/>
              </w:rPr>
              <w:t>Unrelated visual recognition workflow.</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Primary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FT13</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Circularity metric report without direct drawing, AI, BIM, or computational connection.</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May remain in the circularity-information 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Metric definition used for attribute mapping only.</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Include</w:t>
            </w:r>
          </w:p>
        </w:tc>
        <w:tc>
          <w:tcPr>
            <w:tcW w:type="dxa" w:w="2542"/>
            <w:vAlign w:val="top"/>
            <w:tcMar>
              <w:top w:w="75" w:type="dxa"/>
              <w:start w:w="75" w:type="dxa"/>
              <w:bottom w:w="75" w:type="dxa"/>
              <w:end w:w="75" w:type="dxa"/>
            </w:tcMar>
          </w:tcPr>
          <w:p>
            <w:pPr>
              <w:spacing w:after="30" w:line="240" w:lineRule="auto"/>
            </w:pPr>
            <w:r>
              <w:rPr>
                <w:rFonts w:ascii="Arial" w:hAnsi="Arial"/>
                <w:sz w:val="13"/>
              </w:rPr>
              <w:t>Credible empirical or applied evidence potentially relevant to at least one AI function and circularity/building-design attribute.</w:t>
            </w:r>
          </w:p>
        </w:tc>
        <w:tc>
          <w:tcPr>
            <w:tcW w:type="dxa" w:w="2542"/>
            <w:vAlign w:val="top"/>
            <w:tcMar>
              <w:top w:w="75" w:type="dxa"/>
              <w:start w:w="75" w:type="dxa"/>
              <w:bottom w:w="75" w:type="dxa"/>
              <w:end w:w="75" w:type="dxa"/>
            </w:tcMar>
          </w:tcPr>
          <w:p>
            <w:pPr>
              <w:spacing w:after="30" w:line="240" w:lineRule="auto"/>
            </w:pPr>
            <w:r>
              <w:rPr>
                <w:rFonts w:ascii="Arial" w:hAnsi="Arial"/>
                <w:sz w:val="13"/>
              </w:rPr>
              <w:t>Advance to selective full-text consideration.</w:t>
            </w:r>
          </w:p>
        </w:tc>
        <w:tc>
          <w:tcPr>
            <w:tcW w:type="dxa" w:w="2542"/>
            <w:vAlign w:val="top"/>
            <w:tcMar>
              <w:top w:w="75" w:type="dxa"/>
              <w:start w:w="75" w:type="dxa"/>
              <w:bottom w:w="75" w:type="dxa"/>
              <w:end w:w="75" w:type="dxa"/>
            </w:tcMar>
          </w:tcPr>
          <w:p>
            <w:pPr>
              <w:spacing w:after="30" w:line="240" w:lineRule="auto"/>
            </w:pPr>
            <w:r>
              <w:rPr>
                <w:rFonts w:ascii="Arial" w:hAnsi="Arial"/>
                <w:sz w:val="13"/>
              </w:rPr>
              <w:t>Early-design embodied-carbon prediction.</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Maybe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Potentially relevant but the AI method, target/output, AEC context, or attribute role remains uncertain.</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Prefer Maybe to exclusion when uncertainty is material.</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Optimization abstract that does not reveal whether alternatives are generated.</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Background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Review, framework, or perspective useful for context or citation chaining but not primary empirical evidence.</w:t>
            </w:r>
          </w:p>
        </w:tc>
        <w:tc>
          <w:tcPr>
            <w:tcW w:type="dxa" w:w="2542"/>
            <w:vAlign w:val="top"/>
            <w:tcMar>
              <w:top w:w="75" w:type="dxa"/>
              <w:start w:w="75" w:type="dxa"/>
              <w:bottom w:w="75" w:type="dxa"/>
              <w:end w:w="75" w:type="dxa"/>
            </w:tcMar>
          </w:tcPr>
          <w:p>
            <w:pPr>
              <w:spacing w:after="30" w:line="240" w:lineRule="auto"/>
            </w:pPr>
            <w:r>
              <w:rPr>
                <w:rFonts w:ascii="Arial" w:hAnsi="Arial"/>
                <w:sz w:val="13"/>
              </w:rPr>
              <w:t>Do not count as an empirical AI relationship.</w:t>
            </w:r>
          </w:p>
        </w:tc>
        <w:tc>
          <w:tcPr>
            <w:tcW w:type="dxa" w:w="2542"/>
            <w:vAlign w:val="top"/>
            <w:tcMar>
              <w:top w:w="75" w:type="dxa"/>
              <w:start w:w="75" w:type="dxa"/>
              <w:bottom w:w="75" w:type="dxa"/>
              <w:end w:w="75" w:type="dxa"/>
            </w:tcMar>
          </w:tcPr>
          <w:p>
            <w:pPr>
              <w:spacing w:after="30" w:line="240" w:lineRule="auto"/>
            </w:pPr>
            <w:r>
              <w:rPr>
                <w:rFonts w:ascii="Arial" w:hAnsi="Arial"/>
                <w:sz w:val="13"/>
              </w:rPr>
              <w:t>Review of digital technologies for circular construction.</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AI1</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Not building/AEC relevant.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Requires absence of substantive AEC context.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Product optimization outside the built environment.</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AI2</w:t>
            </w:r>
          </w:p>
        </w:tc>
        <w:tc>
          <w:tcPr>
            <w:tcW w:type="dxa" w:w="2542"/>
            <w:vAlign w:val="top"/>
            <w:tcMar>
              <w:top w:w="75" w:type="dxa"/>
              <w:start w:w="75" w:type="dxa"/>
              <w:bottom w:w="75" w:type="dxa"/>
              <w:end w:w="75" w:type="dxa"/>
            </w:tcMar>
          </w:tcPr>
          <w:p>
            <w:pPr>
              <w:spacing w:after="30" w:line="240" w:lineRule="auto"/>
            </w:pPr>
            <w:r>
              <w:rPr>
                <w:rFonts w:ascii="Arial" w:hAnsi="Arial"/>
                <w:sz w:val="13"/>
              </w:rPr>
              <w:t>No relevant AI/ML/intelligent computational method.</w:t>
            </w:r>
          </w:p>
        </w:tc>
        <w:tc>
          <w:tcPr>
            <w:tcW w:type="dxa" w:w="2542"/>
            <w:vAlign w:val="top"/>
            <w:tcMar>
              <w:top w:w="75" w:type="dxa"/>
              <w:start w:w="75" w:type="dxa"/>
              <w:bottom w:w="75" w:type="dxa"/>
              <w:end w:w="75" w:type="dxa"/>
            </w:tcMar>
          </w:tcPr>
          <w:p>
            <w:pPr>
              <w:spacing w:after="30" w:line="240" w:lineRule="auto"/>
            </w:pPr>
            <w:r>
              <w:rPr>
                <w:rFonts w:ascii="Arial" w:hAnsi="Arial"/>
                <w:sz w:val="13"/>
              </w:rPr>
              <w:t>Ordinary deterministic calculation alone is insufficient.</w:t>
            </w:r>
          </w:p>
        </w:tc>
        <w:tc>
          <w:tcPr>
            <w:tcW w:type="dxa" w:w="2542"/>
            <w:vAlign w:val="top"/>
            <w:tcMar>
              <w:top w:w="75" w:type="dxa"/>
              <w:start w:w="75" w:type="dxa"/>
              <w:bottom w:w="75" w:type="dxa"/>
              <w:end w:w="75" w:type="dxa"/>
            </w:tcMar>
          </w:tcPr>
          <w:p>
            <w:pPr>
              <w:spacing w:after="30" w:line="240" w:lineRule="auto"/>
            </w:pPr>
            <w:r>
              <w:rPr>
                <w:rFonts w:ascii="Arial" w:hAnsi="Arial"/>
                <w:sz w:val="13"/>
              </w:rPr>
              <w:t>Static spreadsheet calculation without an eligible decision-support workflow.</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AI3</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No relevant circularity attribute or transferable building-design variable/outcome.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Do not use merely because circularity terminology is absent.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AI on a building topic unrelated to the 48 attributes or functions.</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AI4</w:t>
            </w:r>
          </w:p>
        </w:tc>
        <w:tc>
          <w:tcPr>
            <w:tcW w:type="dxa" w:w="2542"/>
            <w:vAlign w:val="top"/>
            <w:tcMar>
              <w:top w:w="75" w:type="dxa"/>
              <w:start w:w="75" w:type="dxa"/>
              <w:bottom w:w="75" w:type="dxa"/>
              <w:end w:w="75" w:type="dxa"/>
            </w:tcMar>
          </w:tcPr>
          <w:p>
            <w:pPr>
              <w:spacing w:after="30" w:line="240" w:lineRule="auto"/>
            </w:pPr>
            <w:r>
              <w:rPr>
                <w:rFonts w:ascii="Arial" w:hAnsi="Arial"/>
                <w:sz w:val="13"/>
              </w:rPr>
              <w:t>Construction management/logistics only with no design-information relevance.</w:t>
            </w:r>
          </w:p>
        </w:tc>
        <w:tc>
          <w:tcPr>
            <w:tcW w:type="dxa" w:w="2542"/>
            <w:vAlign w:val="top"/>
            <w:tcMar>
              <w:top w:w="75" w:type="dxa"/>
              <w:start w:w="75" w:type="dxa"/>
              <w:bottom w:w="75" w:type="dxa"/>
              <w:end w:w="75" w:type="dxa"/>
            </w:tcMar>
          </w:tcPr>
          <w:p>
            <w:pPr>
              <w:spacing w:after="30" w:line="240" w:lineRule="auto"/>
            </w:pPr>
            <w:r>
              <w:rPr>
                <w:rFonts w:ascii="Arial" w:hAnsi="Arial"/>
                <w:sz w:val="13"/>
              </w:rPr>
              <w:t>Exclude when no target attribute or architect-facing information relationship exists.</w:t>
            </w:r>
          </w:p>
        </w:tc>
        <w:tc>
          <w:tcPr>
            <w:tcW w:type="dxa" w:w="2542"/>
            <w:vAlign w:val="top"/>
            <w:tcMar>
              <w:top w:w="75" w:type="dxa"/>
              <w:start w:w="75" w:type="dxa"/>
              <w:bottom w:w="75" w:type="dxa"/>
              <w:end w:w="75" w:type="dxa"/>
            </w:tcMar>
          </w:tcPr>
          <w:p>
            <w:pPr>
              <w:spacing w:after="30" w:line="240" w:lineRule="auto"/>
            </w:pPr>
            <w:r>
              <w:rPr>
                <w:rFonts w:ascii="Arial" w:hAnsi="Arial"/>
                <w:sz w:val="13"/>
              </w:rPr>
              <w:t>Crew scheduling only.</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AI5</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Generic sustainability/performance only with no relevant target input/output.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Do not use for embodied carbon, LCA, reuse, materials, BIM/IFC, disassembly, or other explicit targets.</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Thermal comfort optimization with no transferable target.</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AI6</w:t>
            </w:r>
          </w:p>
        </w:tc>
        <w:tc>
          <w:tcPr>
            <w:tcW w:type="dxa" w:w="2542"/>
            <w:vAlign w:val="top"/>
            <w:tcMar>
              <w:top w:w="75" w:type="dxa"/>
              <w:start w:w="75" w:type="dxa"/>
              <w:bottom w:w="75" w:type="dxa"/>
              <w:end w:w="75" w:type="dxa"/>
            </w:tcMar>
          </w:tcPr>
          <w:p>
            <w:pPr>
              <w:spacing w:after="30" w:line="240" w:lineRule="auto"/>
            </w:pPr>
            <w:r>
              <w:rPr>
                <w:rFonts w:ascii="Arial" w:hAnsi="Arial"/>
                <w:sz w:val="13"/>
              </w:rPr>
              <w:t>Review/background only.</w:t>
            </w:r>
          </w:p>
        </w:tc>
        <w:tc>
          <w:tcPr>
            <w:tcW w:type="dxa" w:w="2542"/>
            <w:vAlign w:val="top"/>
            <w:tcMar>
              <w:top w:w="75" w:type="dxa"/>
              <w:start w:w="75" w:type="dxa"/>
              <w:bottom w:w="75" w:type="dxa"/>
              <w:end w:w="75" w:type="dxa"/>
            </w:tcMar>
          </w:tcPr>
          <w:p>
            <w:pPr>
              <w:spacing w:after="30" w:line="240" w:lineRule="auto"/>
            </w:pPr>
            <w:r>
              <w:rPr>
                <w:rFonts w:ascii="Arial" w:hAnsi="Arial"/>
                <w:sz w:val="13"/>
              </w:rPr>
              <w:t>Normally classify as Background Review rather than empirical evidence.</w:t>
            </w:r>
          </w:p>
        </w:tc>
        <w:tc>
          <w:tcPr>
            <w:tcW w:type="dxa" w:w="2542"/>
            <w:vAlign w:val="top"/>
            <w:tcMar>
              <w:top w:w="75" w:type="dxa"/>
              <w:start w:w="75" w:type="dxa"/>
              <w:bottom w:w="75" w:type="dxa"/>
              <w:end w:w="75" w:type="dxa"/>
            </w:tcMar>
          </w:tcPr>
          <w:p>
            <w:pPr>
              <w:spacing w:after="30" w:line="240" w:lineRule="auto"/>
            </w:pPr>
            <w:r>
              <w:rPr>
                <w:rFonts w:ascii="Arial" w:hAnsi="Arial"/>
                <w:sz w:val="13"/>
              </w:rPr>
              <w:t>Systematic review without an original implemented study.</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AI7</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Duplicate.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Handled during deduplication.</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Same DOI across search families.</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AI8</w:t>
            </w:r>
          </w:p>
        </w:tc>
        <w:tc>
          <w:tcPr>
            <w:tcW w:type="dxa" w:w="2542"/>
            <w:vAlign w:val="top"/>
            <w:tcMar>
              <w:top w:w="75" w:type="dxa"/>
              <w:start w:w="75" w:type="dxa"/>
              <w:bottom w:w="75" w:type="dxa"/>
              <w:end w:w="75" w:type="dxa"/>
            </w:tcMar>
          </w:tcPr>
          <w:p>
            <w:pPr>
              <w:spacing w:after="30" w:line="240" w:lineRule="auto"/>
            </w:pPr>
            <w:r>
              <w:rPr>
                <w:rFonts w:ascii="Arial" w:hAnsi="Arial"/>
                <w:sz w:val="13"/>
              </w:rPr>
              <w:t>Insufficient usable information.</w:t>
            </w:r>
          </w:p>
        </w:tc>
        <w:tc>
          <w:tcPr>
            <w:tcW w:type="dxa" w:w="2542"/>
            <w:vAlign w:val="top"/>
            <w:tcMar>
              <w:top w:w="75" w:type="dxa"/>
              <w:start w:w="75" w:type="dxa"/>
              <w:bottom w:w="75" w:type="dxa"/>
              <w:end w:w="75" w:type="dxa"/>
            </w:tcMar>
          </w:tcPr>
          <w:p>
            <w:pPr>
              <w:spacing w:after="30" w:line="240" w:lineRule="auto"/>
            </w:pPr>
            <w:r>
              <w:rPr>
                <w:rFonts w:ascii="Arial" w:hAnsi="Arial"/>
                <w:sz w:val="13"/>
              </w:rPr>
              <w:t>Do not use solely because an abstract is short; use Maybe if relevance remains plausible.</w:t>
            </w:r>
          </w:p>
        </w:tc>
        <w:tc>
          <w:tcPr>
            <w:tcW w:type="dxa" w:w="2542"/>
            <w:vAlign w:val="top"/>
            <w:tcMar>
              <w:top w:w="75" w:type="dxa"/>
              <w:start w:w="75" w:type="dxa"/>
              <w:bottom w:w="75" w:type="dxa"/>
              <w:end w:w="75" w:type="dxa"/>
            </w:tcMar>
          </w:tcPr>
          <w:p>
            <w:pPr>
              <w:spacing w:after="30" w:line="240" w:lineRule="auto"/>
            </w:pPr>
            <w:r>
              <w:rPr>
                <w:rFonts w:ascii="Arial" w:hAnsi="Arial"/>
                <w:sz w:val="13"/>
              </w:rPr>
              <w:t>Unidentifiable record without usable metadata.</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Include</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Full text verifies an implemented target/output or clearly relevant supporting-role relationship for the targeted capability question.</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Retain page/section locators.</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AI extracts recycled-content fields from EPDs.</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tcPr>
          <w:p>
            <w:pPr>
              <w:spacing w:after="30" w:line="240" w:lineRule="auto"/>
            </w:pPr>
            <w:r>
              <w:rPr>
                <w:rFonts w:ascii="Arial" w:hAnsi="Arial"/>
                <w:sz w:val="13"/>
              </w:rPr>
              <w:t>Maybe</w:t>
            </w:r>
          </w:p>
        </w:tc>
        <w:tc>
          <w:tcPr>
            <w:tcW w:type="dxa" w:w="2542"/>
            <w:vAlign w:val="top"/>
            <w:tcMar>
              <w:top w:w="75" w:type="dxa"/>
              <w:start w:w="75" w:type="dxa"/>
              <w:bottom w:w="75" w:type="dxa"/>
              <w:end w:w="75" w:type="dxa"/>
            </w:tcMar>
          </w:tcPr>
          <w:p>
            <w:pPr>
              <w:spacing w:after="30" w:line="240" w:lineRule="auto"/>
            </w:pPr>
            <w:r>
              <w:rPr>
                <w:rFonts w:ascii="Arial" w:hAnsi="Arial"/>
                <w:sz w:val="13"/>
              </w:rPr>
              <w:t>Available full text remains genuinely ambiguous about method, target, role, or stage.</w:t>
            </w:r>
          </w:p>
        </w:tc>
        <w:tc>
          <w:tcPr>
            <w:tcW w:type="dxa" w:w="2542"/>
            <w:vAlign w:val="top"/>
            <w:tcMar>
              <w:top w:w="75" w:type="dxa"/>
              <w:start w:w="75" w:type="dxa"/>
              <w:bottom w:w="75" w:type="dxa"/>
              <w:end w:w="75" w:type="dxa"/>
            </w:tcMar>
          </w:tcPr>
          <w:p>
            <w:pPr>
              <w:spacing w:after="30" w:line="240" w:lineRule="auto"/>
            </w:pPr>
            <w:r>
              <w:rPr>
                <w:rFonts w:ascii="Arial" w:hAnsi="Arial"/>
                <w:sz w:val="13"/>
              </w:rPr>
              <w:t>Do not promote to verified evidence.</w:t>
            </w:r>
          </w:p>
        </w:tc>
        <w:tc>
          <w:tcPr>
            <w:tcW w:type="dxa" w:w="2542"/>
            <w:vAlign w:val="top"/>
            <w:tcMar>
              <w:top w:w="75" w:type="dxa"/>
              <w:start w:w="75" w:type="dxa"/>
              <w:bottom w:w="75" w:type="dxa"/>
              <w:end w:w="75" w:type="dxa"/>
            </w:tcMar>
          </w:tcPr>
          <w:p>
            <w:pPr>
              <w:spacing w:after="30" w:line="240" w:lineRule="auto"/>
            </w:pPr>
            <w:r>
              <w:rPr>
                <w:rFonts w:ascii="Arial" w:hAnsi="Arial"/>
                <w:sz w:val="13"/>
              </w:rPr>
              <w:t>Hybrid optimization workflow with unresolved generation step.</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Background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Useful for context but not a primary empirical relationship.</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Excluded from the 107 empirical-paper capability ledger.</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Architecture-AI review.</w:t>
            </w:r>
          </w:p>
        </w:tc>
      </w:tr>
      <w:tr>
        <w:trPr>
          <w:cantSplit/>
        </w:trPr>
        <w:tc>
          <w:tcPr>
            <w:tcW w:type="dxa" w:w="2542"/>
            <w:vAlign w:val="top"/>
            <w:tcMar>
              <w:top w:w="75" w:type="dxa"/>
              <w:start w:w="75" w:type="dxa"/>
              <w:bottom w:w="75" w:type="dxa"/>
              <w:end w:w="75" w:type="dxa"/>
            </w:tcMar>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tcPr>
          <w:p>
            <w:pPr>
              <w:spacing w:after="30" w:line="240" w:lineRule="auto"/>
            </w:pPr>
            <w:r>
              <w:rPr>
                <w:rFonts w:ascii="Arial" w:hAnsi="Arial"/>
                <w:sz w:val="13"/>
              </w:rPr>
              <w:t>FT-AI1 / T2-FT1</w:t>
            </w:r>
          </w:p>
        </w:tc>
        <w:tc>
          <w:tcPr>
            <w:tcW w:type="dxa" w:w="2542"/>
            <w:vAlign w:val="top"/>
            <w:tcMar>
              <w:top w:w="75" w:type="dxa"/>
              <w:start w:w="75" w:type="dxa"/>
              <w:bottom w:w="75" w:type="dxa"/>
              <w:end w:w="75" w:type="dxa"/>
            </w:tcMar>
          </w:tcPr>
          <w:p>
            <w:pPr>
              <w:spacing w:after="30" w:line="240" w:lineRule="auto"/>
            </w:pPr>
            <w:r>
              <w:rPr>
                <w:rFonts w:ascii="Arial" w:hAnsi="Arial"/>
                <w:sz w:val="13"/>
              </w:rPr>
              <w:t>Full text not retrieved.</w:t>
            </w:r>
          </w:p>
        </w:tc>
        <w:tc>
          <w:tcPr>
            <w:tcW w:type="dxa" w:w="2542"/>
            <w:vAlign w:val="top"/>
            <w:tcMar>
              <w:top w:w="75" w:type="dxa"/>
              <w:start w:w="75" w:type="dxa"/>
              <w:bottom w:w="75" w:type="dxa"/>
              <w:end w:w="75" w:type="dxa"/>
            </w:tcMar>
          </w:tcPr>
          <w:p>
            <w:pPr>
              <w:spacing w:after="30" w:line="240" w:lineRule="auto"/>
            </w:pPr>
            <w:r>
              <w:rPr>
                <w:rFonts w:ascii="Arial" w:hAnsi="Arial"/>
                <w:sz w:val="13"/>
              </w:rPr>
              <w:t>No evidence inferred from title/abstract.</w:t>
            </w:r>
          </w:p>
        </w:tc>
        <w:tc>
          <w:tcPr>
            <w:tcW w:type="dxa" w:w="2542"/>
            <w:vAlign w:val="top"/>
            <w:tcMar>
              <w:top w:w="75" w:type="dxa"/>
              <w:start w:w="75" w:type="dxa"/>
              <w:bottom w:w="75" w:type="dxa"/>
              <w:end w:w="75" w:type="dxa"/>
            </w:tcMar>
          </w:tcPr>
          <w:p>
            <w:pPr>
              <w:spacing w:after="30" w:line="240" w:lineRule="auto"/>
            </w:pPr>
            <w:r>
              <w:rPr>
                <w:rFonts w:ascii="Arial" w:hAnsi="Arial"/>
                <w:sz w:val="13"/>
              </w:rPr>
              <w:t>Paywalled paper without authorized access.</w:t>
            </w:r>
          </w:p>
        </w:tc>
      </w:tr>
      <w:tr>
        <w:trPr>
          <w:cantSplit/>
        </w:trPr>
        <w:tc>
          <w:tcPr>
            <w:tcW w:type="dxa" w:w="2542"/>
            <w:vAlign w:val="top"/>
            <w:tcMar>
              <w:top w:w="75" w:type="dxa"/>
              <w:start w:w="75" w:type="dxa"/>
              <w:bottom w:w="75" w:type="dxa"/>
              <w:end w:w="75" w:type="dxa"/>
            </w:tcMar>
            <w:shd w:fill="EDF3F5"/>
          </w:tcPr>
          <w:p>
            <w:pPr>
              <w:spacing w:after="30" w:line="240" w:lineRule="auto"/>
            </w:pPr>
            <w:r>
              <w:rPr>
                <w:rFonts w:ascii="Arial" w:hAnsi="Arial"/>
                <w:sz w:val="13"/>
              </w:rPr>
              <w:t>Targeted AI review</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Full text</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FT-AI2-FT-AI10 / T2-FT2-T2-FT10</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Recorded substantive reason: wrong domain, no eligible AI, no usable relationship, generic performance, management-only scope, review-only, duplicate, unclear workflow, or stated other reason.</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Use one primary code and explanation.</w:t>
            </w:r>
          </w:p>
        </w:tc>
        <w:tc>
          <w:tcPr>
            <w:tcW w:type="dxa" w:w="2542"/>
            <w:vAlign w:val="top"/>
            <w:tcMar>
              <w:top w:w="75" w:type="dxa"/>
              <w:start w:w="75" w:type="dxa"/>
              <w:bottom w:w="75" w:type="dxa"/>
              <w:end w:w="75" w:type="dxa"/>
            </w:tcMar>
            <w:shd w:fill="EDF3F5"/>
          </w:tcPr>
          <w:p>
            <w:pPr>
              <w:spacing w:after="30" w:line="240" w:lineRule="auto"/>
            </w:pPr>
            <w:r>
              <w:rPr>
                <w:rFonts w:ascii="Arial" w:hAnsi="Arial"/>
                <w:sz w:val="13"/>
              </w:rPr>
              <w:t>Optimization-only paper that does not address a targeted gap.</w:t>
            </w:r>
          </w:p>
        </w:tc>
      </w:tr>
    </w:tbl>
    <w:p/>
    <w:p>
      <w:pPr>
        <w:pStyle w:val="Caption"/>
      </w:pPr>
      <w:r>
        <w:t>Table S2. Ten-study evidence comparison.</w:t>
      </w:r>
    </w:p>
    <w:tbl>
      <w:tblPr>
        <w:tblStyle w:val="TableGrid"/>
        <w:tblW w:type="auto" w:w="0"/>
        <w:jc w:val="center"/>
        <w:tblLayout w:type="autofit"/>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173D55"/>
            <w:vAlign w:val="center"/>
            <w:tcMar>
              <w:top w:w="90" w:type="dxa"/>
              <w:start w:w="85" w:type="dxa"/>
              <w:bottom w:w="90" w:type="dxa"/>
              <w:end w:w="85" w:type="dxa"/>
            </w:tcMar>
          </w:tcPr>
          <w:p>
            <w:pPr>
              <w:jc w:val="center"/>
            </w:pPr>
            <w:r>
              <w:rPr>
                <w:rFonts w:ascii="Arial" w:hAnsi="Arial"/>
                <w:b/>
                <w:color w:val="FFFFFF"/>
                <w:sz w:val="13"/>
              </w:rPr>
              <w:t>Study</w:t>
            </w:r>
          </w:p>
        </w:tc>
        <w:tc>
          <w:tcPr>
            <w:tcW w:type="dxa" w:w="2179"/>
            <w:shd w:fill="173D55"/>
            <w:vAlign w:val="center"/>
            <w:tcMar>
              <w:top w:w="90" w:type="dxa"/>
              <w:start w:w="85" w:type="dxa"/>
              <w:bottom w:w="90" w:type="dxa"/>
              <w:end w:w="85" w:type="dxa"/>
            </w:tcMar>
          </w:tcPr>
          <w:p>
            <w:pPr>
              <w:jc w:val="center"/>
            </w:pPr>
            <w:r>
              <w:rPr>
                <w:rFonts w:ascii="Arial" w:hAnsi="Arial"/>
                <w:b/>
                <w:color w:val="FFFFFF"/>
                <w:sz w:val="13"/>
              </w:rPr>
              <w:t>DOI</w:t>
            </w:r>
          </w:p>
        </w:tc>
        <w:tc>
          <w:tcPr>
            <w:tcW w:type="dxa" w:w="2179"/>
            <w:shd w:fill="173D55"/>
            <w:vAlign w:val="center"/>
            <w:tcMar>
              <w:top w:w="90" w:type="dxa"/>
              <w:start w:w="85" w:type="dxa"/>
              <w:bottom w:w="90" w:type="dxa"/>
              <w:end w:w="85" w:type="dxa"/>
            </w:tcMar>
          </w:tcPr>
          <w:p>
            <w:pPr>
              <w:jc w:val="center"/>
            </w:pPr>
            <w:r>
              <w:rPr>
                <w:rFonts w:ascii="Arial" w:hAnsi="Arial"/>
                <w:b/>
                <w:color w:val="FFFFFF"/>
                <w:sz w:val="13"/>
              </w:rPr>
              <w:t>Source/project state</w:t>
            </w:r>
          </w:p>
        </w:tc>
        <w:tc>
          <w:tcPr>
            <w:tcW w:type="dxa" w:w="2179"/>
            <w:shd w:fill="173D55"/>
            <w:vAlign w:val="center"/>
            <w:tcMar>
              <w:top w:w="90" w:type="dxa"/>
              <w:start w:w="85" w:type="dxa"/>
              <w:bottom w:w="90" w:type="dxa"/>
              <w:end w:w="85" w:type="dxa"/>
            </w:tcMar>
          </w:tcPr>
          <w:p>
            <w:pPr>
              <w:jc w:val="center"/>
            </w:pPr>
            <w:r>
              <w:rPr>
                <w:rFonts w:ascii="Arial" w:hAnsi="Arial"/>
                <w:b/>
                <w:color w:val="FFFFFF"/>
                <w:sz w:val="13"/>
              </w:rPr>
              <w:t>Implemented task</w:t>
            </w:r>
          </w:p>
        </w:tc>
        <w:tc>
          <w:tcPr>
            <w:tcW w:type="dxa" w:w="2179"/>
            <w:shd w:fill="173D55"/>
            <w:vAlign w:val="center"/>
            <w:tcMar>
              <w:top w:w="90" w:type="dxa"/>
              <w:start w:w="85" w:type="dxa"/>
              <w:bottom w:w="90" w:type="dxa"/>
              <w:end w:w="85" w:type="dxa"/>
            </w:tcMar>
          </w:tcPr>
          <w:p>
            <w:pPr>
              <w:jc w:val="center"/>
            </w:pPr>
            <w:r>
              <w:rPr>
                <w:rFonts w:ascii="Arial" w:hAnsi="Arial"/>
                <w:b/>
                <w:color w:val="FFFFFF"/>
                <w:sz w:val="13"/>
              </w:rPr>
              <w:t>Target/output and result</w:t>
            </w:r>
          </w:p>
        </w:tc>
        <w:tc>
          <w:tcPr>
            <w:tcW w:type="dxa" w:w="2179"/>
            <w:shd w:fill="173D55"/>
            <w:vAlign w:val="center"/>
            <w:tcMar>
              <w:top w:w="90" w:type="dxa"/>
              <w:start w:w="85" w:type="dxa"/>
              <w:bottom w:w="90" w:type="dxa"/>
              <w:end w:w="85" w:type="dxa"/>
            </w:tcMar>
          </w:tcPr>
          <w:p>
            <w:pPr>
              <w:jc w:val="center"/>
            </w:pPr>
            <w:r>
              <w:rPr>
                <w:rFonts w:ascii="Arial" w:hAnsi="Arial"/>
                <w:b/>
                <w:color w:val="FFFFFF"/>
                <w:sz w:val="13"/>
              </w:rPr>
              <w:t>Architectural meaning</w:t>
            </w:r>
          </w:p>
        </w:tc>
        <w:tc>
          <w:tcPr>
            <w:tcW w:type="dxa" w:w="2179"/>
            <w:shd w:fill="173D55"/>
            <w:vAlign w:val="center"/>
            <w:tcMar>
              <w:top w:w="90" w:type="dxa"/>
              <w:start w:w="85" w:type="dxa"/>
              <w:bottom w:w="90" w:type="dxa"/>
              <w:end w:w="85" w:type="dxa"/>
            </w:tcMar>
          </w:tcPr>
          <w:p>
            <w:pPr>
              <w:jc w:val="center"/>
            </w:pPr>
            <w:r>
              <w:rPr>
                <w:rFonts w:ascii="Arial" w:hAnsi="Arial"/>
                <w:b/>
                <w:color w:val="FFFFFF"/>
                <w:sz w:val="13"/>
              </w:rPr>
              <w:t>Boundary</w:t>
            </w:r>
          </w:p>
        </w:tc>
      </w:tr>
      <w:tr>
        <w:trPr>
          <w:cantSplit/>
        </w:trPr>
        <w:tc>
          <w:tcPr>
            <w:tcW w:type="dxa" w:w="2179"/>
            <w:vAlign w:val="top"/>
            <w:tcMar>
              <w:top w:w="75" w:type="dxa"/>
              <w:start w:w="75" w:type="dxa"/>
              <w:bottom w:w="75" w:type="dxa"/>
              <w:end w:w="75" w:type="dxa"/>
            </w:tcMar>
          </w:tcPr>
          <w:p>
            <w:pPr>
              <w:spacing w:after="30" w:line="240" w:lineRule="auto"/>
            </w:pPr>
            <w:r>
              <w:rPr>
                <w:rFonts w:ascii="Arial" w:hAnsi="Arial"/>
                <w:sz w:val="13"/>
              </w:rPr>
              <w:t>Akanbi et al. (2019)</w:t>
            </w:r>
          </w:p>
        </w:tc>
        <w:tc>
          <w:tcPr>
            <w:tcW w:type="dxa" w:w="2179"/>
            <w:vAlign w:val="top"/>
            <w:tcMar>
              <w:top w:w="75" w:type="dxa"/>
              <w:start w:w="75" w:type="dxa"/>
              <w:bottom w:w="75" w:type="dxa"/>
              <w:end w:w="75" w:type="dxa"/>
            </w:tcMar>
          </w:tcPr>
          <w:p>
            <w:pPr>
              <w:spacing w:after="30" w:line="240" w:lineRule="auto"/>
            </w:pPr>
            <w:r>
              <w:rPr>
                <w:rFonts w:ascii="Arial" w:hAnsi="Arial"/>
                <w:sz w:val="13"/>
              </w:rPr>
              <w:t>10.1016/j.jclepro.2019.03.172</w:t>
            </w:r>
          </w:p>
        </w:tc>
        <w:tc>
          <w:tcPr>
            <w:tcW w:type="dxa" w:w="2179"/>
            <w:vAlign w:val="top"/>
            <w:tcMar>
              <w:top w:w="75" w:type="dxa"/>
              <w:start w:w="75" w:type="dxa"/>
              <w:bottom w:w="75" w:type="dxa"/>
              <w:end w:w="75" w:type="dxa"/>
            </w:tcMar>
          </w:tcPr>
          <w:p>
            <w:pPr>
              <w:spacing w:after="30" w:line="240" w:lineRule="auto"/>
            </w:pPr>
            <w:r>
              <w:rPr>
                <w:rFonts w:ascii="Arial" w:hAnsi="Arial"/>
                <w:sz w:val="13"/>
              </w:rPr>
              <w:t>Revit building-design scenarios</w:t>
            </w:r>
          </w:p>
        </w:tc>
        <w:tc>
          <w:tcPr>
            <w:tcW w:type="dxa" w:w="2179"/>
            <w:vAlign w:val="top"/>
            <w:tcMar>
              <w:top w:w="75" w:type="dxa"/>
              <w:start w:w="75" w:type="dxa"/>
              <w:bottom w:w="75" w:type="dxa"/>
              <w:end w:w="75" w:type="dxa"/>
            </w:tcMar>
          </w:tcPr>
          <w:p>
            <w:pPr>
              <w:spacing w:after="30" w:line="240" w:lineRule="auto"/>
            </w:pPr>
            <w:r>
              <w:rPr>
                <w:rFonts w:ascii="Arial" w:hAnsi="Arial"/>
                <w:sz w:val="13"/>
              </w:rPr>
              <w:t>BIM-linked whole-life and deconstruction analytics</w:t>
            </w:r>
          </w:p>
        </w:tc>
        <w:tc>
          <w:tcPr>
            <w:tcW w:type="dxa" w:w="2179"/>
            <w:vAlign w:val="top"/>
            <w:tcMar>
              <w:top w:w="75" w:type="dxa"/>
              <w:start w:w="75" w:type="dxa"/>
              <w:bottom w:w="75" w:type="dxa"/>
              <w:end w:w="75" w:type="dxa"/>
            </w:tcMar>
          </w:tcPr>
          <w:p>
            <w:pPr>
              <w:spacing w:after="30" w:line="240" w:lineRule="auto"/>
            </w:pPr>
            <w:r>
              <w:rPr>
                <w:rFonts w:ascii="Arial" w:hAnsi="Arial"/>
                <w:sz w:val="13"/>
              </w:rPr>
              <w:t>Performance, element deconstruction, and design advice tested on three scenarios</w:t>
            </w:r>
          </w:p>
        </w:tc>
        <w:tc>
          <w:tcPr>
            <w:tcW w:type="dxa" w:w="2179"/>
            <w:vAlign w:val="top"/>
            <w:tcMar>
              <w:top w:w="75" w:type="dxa"/>
              <w:start w:w="75" w:type="dxa"/>
              <w:bottom w:w="75" w:type="dxa"/>
              <w:end w:w="75" w:type="dxa"/>
            </w:tcMar>
          </w:tcPr>
          <w:p>
            <w:pPr>
              <w:spacing w:after="30" w:line="240" w:lineRule="auto"/>
            </w:pPr>
            <w:r>
              <w:rPr>
                <w:rFonts w:ascii="Arial" w:hAnsi="Arial"/>
                <w:sz w:val="13"/>
              </w:rPr>
              <w:t>Inspect how modeled assembly choices affect later disassembly</w:t>
            </w:r>
          </w:p>
        </w:tc>
        <w:tc>
          <w:tcPr>
            <w:tcW w:type="dxa" w:w="2179"/>
            <w:vAlign w:val="top"/>
            <w:tcMar>
              <w:top w:w="75" w:type="dxa"/>
              <w:start w:w="75" w:type="dxa"/>
              <w:bottom w:w="75" w:type="dxa"/>
              <w:end w:w="75" w:type="dxa"/>
            </w:tcMar>
          </w:tcPr>
          <w:p>
            <w:pPr>
              <w:spacing w:after="30" w:line="240" w:lineRule="auto"/>
            </w:pPr>
            <w:r>
              <w:rPr>
                <w:rFonts w:ascii="Arial" w:hAnsi="Arial"/>
                <w:sz w:val="13"/>
              </w:rPr>
              <w:t>Weighted factors and future conditions remain modeled assumptions</w:t>
            </w:r>
          </w:p>
        </w:tc>
      </w:tr>
      <w:tr>
        <w:trPr>
          <w:cantSplit/>
        </w:trPr>
        <w:tc>
          <w:tcPr>
            <w:tcW w:type="dxa" w:w="2179"/>
            <w:vAlign w:val="top"/>
            <w:tcMar>
              <w:top w:w="75" w:type="dxa"/>
              <w:start w:w="75" w:type="dxa"/>
              <w:bottom w:w="75" w:type="dxa"/>
              <w:end w:w="75" w:type="dxa"/>
            </w:tcMar>
            <w:shd w:fill="EDF3F5"/>
          </w:tcPr>
          <w:p>
            <w:pPr>
              <w:spacing w:after="30" w:line="240" w:lineRule="auto"/>
            </w:pPr>
            <w:r>
              <w:rPr>
                <w:rFonts w:ascii="Arial" w:hAnsi="Arial"/>
                <w:sz w:val="13"/>
              </w:rPr>
              <w:t>Honic et al. (2021)</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10.1016/j.jclepro.2021.128702</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Existing building, pre-demolition audit</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Passport and hazardous-material assessment</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Material quantities and hazardous content documented for end-of-life action</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Plan demolition, recovery, and special handling</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Retrospective source; does not prove original early-design availability</w:t>
            </w:r>
          </w:p>
        </w:tc>
      </w:tr>
      <w:tr>
        <w:trPr>
          <w:cantSplit/>
        </w:trPr>
        <w:tc>
          <w:tcPr>
            <w:tcW w:type="dxa" w:w="2179"/>
            <w:vAlign w:val="top"/>
            <w:tcMar>
              <w:top w:w="75" w:type="dxa"/>
              <w:start w:w="75" w:type="dxa"/>
              <w:bottom w:w="75" w:type="dxa"/>
              <w:end w:w="75" w:type="dxa"/>
            </w:tcMar>
          </w:tcPr>
          <w:p>
            <w:pPr>
              <w:spacing w:after="30" w:line="240" w:lineRule="auto"/>
            </w:pPr>
            <w:r>
              <w:rPr>
                <w:rFonts w:ascii="Arial" w:hAnsi="Arial"/>
                <w:sz w:val="13"/>
              </w:rPr>
              <w:t>Lauble et al. (2025)</w:t>
            </w:r>
          </w:p>
        </w:tc>
        <w:tc>
          <w:tcPr>
            <w:tcW w:type="dxa" w:w="2179"/>
            <w:vAlign w:val="top"/>
            <w:tcMar>
              <w:top w:w="75" w:type="dxa"/>
              <w:start w:w="75" w:type="dxa"/>
              <w:bottom w:w="75" w:type="dxa"/>
              <w:end w:w="75" w:type="dxa"/>
            </w:tcMar>
          </w:tcPr>
          <w:p>
            <w:pPr>
              <w:spacing w:after="30" w:line="240" w:lineRule="auto"/>
            </w:pPr>
            <w:r>
              <w:rPr>
                <w:rFonts w:ascii="Arial" w:hAnsi="Arial"/>
                <w:sz w:val="13"/>
              </w:rPr>
              <w:t>10.1088/1755-1315/1546/1/012076</w:t>
            </w:r>
          </w:p>
        </w:tc>
        <w:tc>
          <w:tcPr>
            <w:tcW w:type="dxa" w:w="2179"/>
            <w:vAlign w:val="top"/>
            <w:tcMar>
              <w:top w:w="75" w:type="dxa"/>
              <w:start w:w="75" w:type="dxa"/>
              <w:bottom w:w="75" w:type="dxa"/>
              <w:end w:w="75" w:type="dxa"/>
            </w:tcMar>
          </w:tcPr>
          <w:p>
            <w:pPr>
              <w:spacing w:after="30" w:line="240" w:lineRule="auto"/>
            </w:pPr>
            <w:r>
              <w:rPr>
                <w:rFonts w:ascii="Arial" w:hAnsi="Arial"/>
                <w:sz w:val="13"/>
              </w:rPr>
              <w:t>Existing-building documents</w:t>
            </w:r>
          </w:p>
        </w:tc>
        <w:tc>
          <w:tcPr>
            <w:tcW w:type="dxa" w:w="2179"/>
            <w:vAlign w:val="top"/>
            <w:tcMar>
              <w:top w:w="75" w:type="dxa"/>
              <w:start w:w="75" w:type="dxa"/>
              <w:bottom w:w="75" w:type="dxa"/>
              <w:end w:w="75" w:type="dxa"/>
            </w:tcMar>
          </w:tcPr>
          <w:p>
            <w:pPr>
              <w:spacing w:after="30" w:line="240" w:lineRule="auto"/>
            </w:pPr>
            <w:r>
              <w:rPr>
                <w:rFonts w:ascii="Arial" w:hAnsi="Arial"/>
                <w:sz w:val="13"/>
              </w:rPr>
              <w:t>CV/OCR/NLP extraction and passport population</w:t>
            </w:r>
          </w:p>
        </w:tc>
        <w:tc>
          <w:tcPr>
            <w:tcW w:type="dxa" w:w="2179"/>
            <w:vAlign w:val="top"/>
            <w:tcMar>
              <w:top w:w="75" w:type="dxa"/>
              <w:start w:w="75" w:type="dxa"/>
              <w:bottom w:w="75" w:type="dxa"/>
              <w:end w:w="75" w:type="dxa"/>
            </w:tcMar>
          </w:tcPr>
          <w:p>
            <w:pPr>
              <w:spacing w:after="30" w:line="240" w:lineRule="auto"/>
            </w:pPr>
            <w:r>
              <w:rPr>
                <w:rFonts w:ascii="Arial" w:hAnsi="Arial"/>
                <w:sz w:val="13"/>
              </w:rPr>
              <w:t>Components, geometry, volume, and material labels structured for a passport</w:t>
            </w:r>
          </w:p>
        </w:tc>
        <w:tc>
          <w:tcPr>
            <w:tcW w:type="dxa" w:w="2179"/>
            <w:vAlign w:val="top"/>
            <w:tcMar>
              <w:top w:w="75" w:type="dxa"/>
              <w:start w:w="75" w:type="dxa"/>
              <w:bottom w:w="75" w:type="dxa"/>
              <w:end w:w="75" w:type="dxa"/>
            </w:tcMar>
          </w:tcPr>
          <w:p>
            <w:pPr>
              <w:spacing w:after="30" w:line="240" w:lineRule="auto"/>
            </w:pPr>
            <w:r>
              <w:rPr>
                <w:rFonts w:ascii="Arial" w:hAnsi="Arial"/>
                <w:sz w:val="13"/>
              </w:rPr>
              <w:t>Build an intervention inventory</w:t>
            </w:r>
          </w:p>
        </w:tc>
        <w:tc>
          <w:tcPr>
            <w:tcW w:type="dxa" w:w="2179"/>
            <w:vAlign w:val="top"/>
            <w:tcMar>
              <w:top w:w="75" w:type="dxa"/>
              <w:start w:w="75" w:type="dxa"/>
              <w:bottom w:w="75" w:type="dxa"/>
              <w:end w:w="75" w:type="dxa"/>
            </w:tcMar>
          </w:tcPr>
          <w:p>
            <w:pPr>
              <w:spacing w:after="30" w:line="240" w:lineRule="auto"/>
            </w:pPr>
            <w:r>
              <w:rPr>
                <w:rFonts w:ascii="Arial" w:hAnsi="Arial"/>
                <w:sz w:val="13"/>
              </w:rPr>
              <w:t>Reconstruction from stock documents, not original design evidence</w:t>
            </w:r>
          </w:p>
        </w:tc>
      </w:tr>
      <w:tr>
        <w:trPr>
          <w:cantSplit/>
        </w:trPr>
        <w:tc>
          <w:tcPr>
            <w:tcW w:type="dxa" w:w="2179"/>
            <w:vAlign w:val="top"/>
            <w:tcMar>
              <w:top w:w="75" w:type="dxa"/>
              <w:start w:w="75" w:type="dxa"/>
              <w:bottom w:w="75" w:type="dxa"/>
              <w:end w:w="75" w:type="dxa"/>
            </w:tcMar>
            <w:shd w:fill="EDF3F5"/>
          </w:tcPr>
          <w:p>
            <w:pPr>
              <w:spacing w:after="30" w:line="240" w:lineRule="auto"/>
            </w:pPr>
            <w:r>
              <w:rPr>
                <w:rFonts w:ascii="Arial" w:hAnsi="Arial"/>
                <w:sz w:val="13"/>
              </w:rPr>
              <w:t>Vergés et al. (2026)</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10.1016/j.eiar.2025.108243</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8,463 product EPDs</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LLM extraction to structured fields</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Product, impact, composition, recycled content, service-life, transport, waste, and end-of-life data; missing fields returned as null</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Compare declared product evidence</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Product-specific and standard-dependent; EPD must exist</w:t>
            </w:r>
          </w:p>
        </w:tc>
      </w:tr>
      <w:tr>
        <w:trPr>
          <w:cantSplit/>
        </w:trPr>
        <w:tc>
          <w:tcPr>
            <w:tcW w:type="dxa" w:w="2179"/>
            <w:vAlign w:val="top"/>
            <w:tcMar>
              <w:top w:w="75" w:type="dxa"/>
              <w:start w:w="75" w:type="dxa"/>
              <w:bottom w:w="75" w:type="dxa"/>
              <w:end w:w="75" w:type="dxa"/>
            </w:tcMar>
          </w:tcPr>
          <w:p>
            <w:pPr>
              <w:spacing w:after="30" w:line="240" w:lineRule="auto"/>
            </w:pPr>
            <w:r>
              <w:rPr>
                <w:rFonts w:ascii="Arial" w:hAnsi="Arial"/>
                <w:sz w:val="13"/>
              </w:rPr>
              <w:t>Forth and De Wolf (2026)</w:t>
            </w:r>
          </w:p>
        </w:tc>
        <w:tc>
          <w:tcPr>
            <w:tcW w:type="dxa" w:w="2179"/>
            <w:vAlign w:val="top"/>
            <w:tcMar>
              <w:top w:w="75" w:type="dxa"/>
              <w:start w:w="75" w:type="dxa"/>
              <w:bottom w:w="75" w:type="dxa"/>
              <w:end w:w="75" w:type="dxa"/>
            </w:tcMar>
          </w:tcPr>
          <w:p>
            <w:pPr>
              <w:spacing w:after="30" w:line="240" w:lineRule="auto"/>
            </w:pPr>
            <w:r>
              <w:rPr>
                <w:rFonts w:ascii="Arial" w:hAnsi="Arial"/>
                <w:sz w:val="13"/>
              </w:rPr>
              <w:t>10.1016/j.jobe.2026.115417</w:t>
            </w:r>
          </w:p>
        </w:tc>
        <w:tc>
          <w:tcPr>
            <w:tcW w:type="dxa" w:w="2179"/>
            <w:vAlign w:val="top"/>
            <w:tcMar>
              <w:top w:w="75" w:type="dxa"/>
              <w:start w:w="75" w:type="dxa"/>
              <w:bottom w:w="75" w:type="dxa"/>
              <w:end w:w="75" w:type="dxa"/>
            </w:tcMar>
          </w:tcPr>
          <w:p>
            <w:pPr>
              <w:spacing w:after="30" w:line="240" w:lineRule="auto"/>
            </w:pPr>
            <w:r>
              <w:rPr>
                <w:rFonts w:ascii="Arial" w:hAnsi="Arial"/>
                <w:sz w:val="13"/>
              </w:rPr>
              <w:t>Three architectural BIM/IFC cases</w:t>
            </w:r>
          </w:p>
        </w:tc>
        <w:tc>
          <w:tcPr>
            <w:tcW w:type="dxa" w:w="2179"/>
            <w:vAlign w:val="top"/>
            <w:tcMar>
              <w:top w:w="75" w:type="dxa"/>
              <w:start w:w="75" w:type="dxa"/>
              <w:bottom w:w="75" w:type="dxa"/>
              <w:end w:w="75" w:type="dxa"/>
            </w:tcMar>
          </w:tcPr>
          <w:p>
            <w:pPr>
              <w:spacing w:after="30" w:line="240" w:lineRule="auto"/>
            </w:pPr>
            <w:r>
              <w:rPr>
                <w:rFonts w:ascii="Arial" w:hAnsi="Arial"/>
                <w:sz w:val="13"/>
              </w:rPr>
              <w:t>Semantic graph enrichment</w:t>
            </w:r>
          </w:p>
        </w:tc>
        <w:tc>
          <w:tcPr>
            <w:tcW w:type="dxa" w:w="2179"/>
            <w:vAlign w:val="top"/>
            <w:tcMar>
              <w:top w:w="75" w:type="dxa"/>
              <w:start w:w="75" w:type="dxa"/>
              <w:bottom w:w="75" w:type="dxa"/>
              <w:end w:w="75" w:type="dxa"/>
            </w:tcMar>
          </w:tcPr>
          <w:p>
            <w:pPr>
              <w:spacing w:after="30" w:line="240" w:lineRule="auto"/>
            </w:pPr>
            <w:r>
              <w:rPr>
                <w:rFonts w:ascii="Arial" w:hAnsi="Arial"/>
                <w:sz w:val="13"/>
              </w:rPr>
              <w:t>Connection and disassembly properties enriched; BCI within 1.5% of manual results</w:t>
            </w:r>
          </w:p>
        </w:tc>
        <w:tc>
          <w:tcPr>
            <w:tcW w:type="dxa" w:w="2179"/>
            <w:vAlign w:val="top"/>
            <w:tcMar>
              <w:top w:w="75" w:type="dxa"/>
              <w:start w:w="75" w:type="dxa"/>
              <w:bottom w:w="75" w:type="dxa"/>
              <w:end w:w="75" w:type="dxa"/>
            </w:tcMar>
          </w:tcPr>
          <w:p>
            <w:pPr>
              <w:spacing w:after="30" w:line="240" w:lineRule="auto"/>
            </w:pPr>
            <w:r>
              <w:rPr>
                <w:rFonts w:ascii="Arial" w:hAnsi="Arial"/>
                <w:sz w:val="13"/>
              </w:rPr>
              <w:t>Inspect missing connection semantics during design</w:t>
            </w:r>
          </w:p>
        </w:tc>
        <w:tc>
          <w:tcPr>
            <w:tcW w:type="dxa" w:w="2179"/>
            <w:vAlign w:val="top"/>
            <w:tcMar>
              <w:top w:w="75" w:type="dxa"/>
              <w:start w:w="75" w:type="dxa"/>
              <w:bottom w:w="75" w:type="dxa"/>
              <w:end w:w="75" w:type="dxa"/>
            </w:tcMar>
          </w:tcPr>
          <w:p>
            <w:pPr>
              <w:spacing w:after="30" w:line="240" w:lineRule="auto"/>
            </w:pPr>
            <w:r>
              <w:rPr>
                <w:rFonts w:ascii="Arial" w:hAnsi="Arial"/>
                <w:sz w:val="13"/>
              </w:rPr>
              <w:t>Low archetype-match accuracy required source review; no reversible/permanent inference</w:t>
            </w:r>
          </w:p>
        </w:tc>
      </w:tr>
      <w:tr>
        <w:trPr>
          <w:cantSplit/>
        </w:trPr>
        <w:tc>
          <w:tcPr>
            <w:tcW w:type="dxa" w:w="2179"/>
            <w:vAlign w:val="top"/>
            <w:tcMar>
              <w:top w:w="75" w:type="dxa"/>
              <w:start w:w="75" w:type="dxa"/>
              <w:bottom w:w="75" w:type="dxa"/>
              <w:end w:w="75" w:type="dxa"/>
            </w:tcMar>
            <w:shd w:fill="EDF3F5"/>
          </w:tcPr>
          <w:p>
            <w:pPr>
              <w:spacing w:after="30" w:line="240" w:lineRule="auto"/>
            </w:pPr>
            <w:r>
              <w:rPr>
                <w:rFonts w:ascii="Arial" w:hAnsi="Arial"/>
                <w:sz w:val="13"/>
              </w:rPr>
              <w:t>Rakhshan et al. (2021)</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10.1016/j.jobe.2021.102791</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Expert reuse questionnaire</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Supervised reusability prediction and factor analysis</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Technical reuse potential and influential component factors</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Review conditions that could limit future reuse</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Future condition and demand remain uncertain</w:t>
            </w:r>
          </w:p>
        </w:tc>
      </w:tr>
      <w:tr>
        <w:trPr>
          <w:cantSplit/>
        </w:trPr>
        <w:tc>
          <w:tcPr>
            <w:tcW w:type="dxa" w:w="2179"/>
            <w:vAlign w:val="top"/>
            <w:tcMar>
              <w:top w:w="75" w:type="dxa"/>
              <w:start w:w="75" w:type="dxa"/>
              <w:bottom w:w="75" w:type="dxa"/>
              <w:end w:w="75" w:type="dxa"/>
            </w:tcMar>
          </w:tcPr>
          <w:p>
            <w:pPr>
              <w:spacing w:after="30" w:line="240" w:lineRule="auto"/>
            </w:pPr>
            <w:r>
              <w:rPr>
                <w:rFonts w:ascii="Arial" w:hAnsi="Arial"/>
                <w:sz w:val="13"/>
              </w:rPr>
              <w:t>Iqbal et al. (2025)</w:t>
            </w:r>
          </w:p>
        </w:tc>
        <w:tc>
          <w:tcPr>
            <w:tcW w:type="dxa" w:w="2179"/>
            <w:vAlign w:val="top"/>
            <w:tcMar>
              <w:top w:w="75" w:type="dxa"/>
              <w:start w:w="75" w:type="dxa"/>
              <w:bottom w:w="75" w:type="dxa"/>
              <w:end w:w="75" w:type="dxa"/>
            </w:tcMar>
          </w:tcPr>
          <w:p>
            <w:pPr>
              <w:spacing w:after="30" w:line="240" w:lineRule="auto"/>
            </w:pPr>
            <w:r>
              <w:rPr>
                <w:rFonts w:ascii="Arial" w:hAnsi="Arial"/>
                <w:sz w:val="13"/>
              </w:rPr>
              <w:t>10.1016/j.mlwa.2025.100760</w:t>
            </w:r>
          </w:p>
        </w:tc>
        <w:tc>
          <w:tcPr>
            <w:tcW w:type="dxa" w:w="2179"/>
            <w:vAlign w:val="top"/>
            <w:tcMar>
              <w:top w:w="75" w:type="dxa"/>
              <w:start w:w="75" w:type="dxa"/>
              <w:bottom w:w="75" w:type="dxa"/>
              <w:end w:w="75" w:type="dxa"/>
            </w:tcMar>
          </w:tcPr>
          <w:p>
            <w:pPr>
              <w:spacing w:after="30" w:line="240" w:lineRule="auto"/>
            </w:pPr>
            <w:r>
              <w:rPr>
                <w:rFonts w:ascii="Arial" w:hAnsi="Arial"/>
                <w:sz w:val="13"/>
              </w:rPr>
              <w:t>Preliminary reinforced-concrete dataset</w:t>
            </w:r>
          </w:p>
        </w:tc>
        <w:tc>
          <w:tcPr>
            <w:tcW w:type="dxa" w:w="2179"/>
            <w:vAlign w:val="top"/>
            <w:tcMar>
              <w:top w:w="75" w:type="dxa"/>
              <w:start w:w="75" w:type="dxa"/>
              <w:bottom w:w="75" w:type="dxa"/>
              <w:end w:w="75" w:type="dxa"/>
            </w:tcMar>
          </w:tcPr>
          <w:p>
            <w:pPr>
              <w:spacing w:after="30" w:line="240" w:lineRule="auto"/>
            </w:pPr>
            <w:r>
              <w:rPr>
                <w:rFonts w:ascii="Arial" w:hAnsi="Arial"/>
                <w:sz w:val="13"/>
              </w:rPr>
              <w:t>Prediction, XAI, counterfactual search</w:t>
            </w:r>
          </w:p>
        </w:tc>
        <w:tc>
          <w:tcPr>
            <w:tcW w:type="dxa" w:w="2179"/>
            <w:vAlign w:val="top"/>
            <w:tcMar>
              <w:top w:w="75" w:type="dxa"/>
              <w:start w:w="75" w:type="dxa"/>
              <w:bottom w:w="75" w:type="dxa"/>
              <w:end w:w="75" w:type="dxa"/>
            </w:tcMar>
          </w:tcPr>
          <w:p>
            <w:pPr>
              <w:spacing w:after="30" w:line="240" w:lineRule="auto"/>
            </w:pPr>
            <w:r>
              <w:rPr>
                <w:rFonts w:ascii="Arial" w:hAnsi="Arial"/>
                <w:sz w:val="13"/>
              </w:rPr>
              <w:t>Carbon, energy, and cost predictions; model attributions; predefined 10%-20% counterfactual reductions</w:t>
            </w:r>
          </w:p>
        </w:tc>
        <w:tc>
          <w:tcPr>
            <w:tcW w:type="dxa" w:w="2179"/>
            <w:vAlign w:val="top"/>
            <w:tcMar>
              <w:top w:w="75" w:type="dxa"/>
              <w:start w:w="75" w:type="dxa"/>
              <w:bottom w:w="75" w:type="dxa"/>
              <w:end w:w="75" w:type="dxa"/>
            </w:tcMar>
          </w:tcPr>
          <w:p>
            <w:pPr>
              <w:spacing w:after="30" w:line="240" w:lineRule="auto"/>
            </w:pPr>
            <w:r>
              <w:rPr>
                <w:rFonts w:ascii="Arial" w:hAnsi="Arial"/>
                <w:sz w:val="13"/>
              </w:rPr>
              <w:t>Compare changeable quantities and logistics assumptions</w:t>
            </w:r>
          </w:p>
        </w:tc>
        <w:tc>
          <w:tcPr>
            <w:tcW w:type="dxa" w:w="2179"/>
            <w:vAlign w:val="top"/>
            <w:tcMar>
              <w:top w:w="75" w:type="dxa"/>
              <w:start w:w="75" w:type="dxa"/>
              <w:bottom w:w="75" w:type="dxa"/>
              <w:end w:w="75" w:type="dxa"/>
            </w:tcMar>
          </w:tcPr>
          <w:p>
            <w:pPr>
              <w:spacing w:after="30" w:line="240" w:lineRule="auto"/>
            </w:pPr>
            <w:r>
              <w:rPr>
                <w:rFonts w:ascii="Arial" w:hAnsi="Arial"/>
                <w:sz w:val="13"/>
              </w:rPr>
              <w:t>Supplied data, predictive association, and bounded design variables; no product-level selection</w:t>
            </w:r>
          </w:p>
        </w:tc>
      </w:tr>
      <w:tr>
        <w:trPr>
          <w:cantSplit/>
        </w:trPr>
        <w:tc>
          <w:tcPr>
            <w:tcW w:type="dxa" w:w="2179"/>
            <w:vAlign w:val="top"/>
            <w:tcMar>
              <w:top w:w="75" w:type="dxa"/>
              <w:start w:w="75" w:type="dxa"/>
              <w:bottom w:w="75" w:type="dxa"/>
              <w:end w:w="75" w:type="dxa"/>
            </w:tcMar>
            <w:shd w:fill="EDF3F5"/>
          </w:tcPr>
          <w:p>
            <w:pPr>
              <w:spacing w:after="30" w:line="240" w:lineRule="auto"/>
            </w:pPr>
            <w:r>
              <w:rPr>
                <w:rFonts w:ascii="Arial" w:hAnsi="Arial"/>
                <w:sz w:val="13"/>
              </w:rPr>
              <w:t>Stellmacher et al. (2025a, 2025b)</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10.35490/ec3.2025.236; 10.14455/isec.2025.12(1).con-08</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EPDs and product documents</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LLM extraction, knowledge graph, GraphRAG queries</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Structured JSON, requirement matches, context-sensitive product responses</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Retrieve evidence and compare candidate products</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Related prototypes, limited independent evaluation, and product-selection timing unresolved</w:t>
            </w:r>
          </w:p>
        </w:tc>
      </w:tr>
      <w:tr>
        <w:trPr>
          <w:cantSplit/>
        </w:trPr>
        <w:tc>
          <w:tcPr>
            <w:tcW w:type="dxa" w:w="2179"/>
            <w:vAlign w:val="top"/>
            <w:tcMar>
              <w:top w:w="75" w:type="dxa"/>
              <w:start w:w="75" w:type="dxa"/>
              <w:bottom w:w="75" w:type="dxa"/>
              <w:end w:w="75" w:type="dxa"/>
            </w:tcMar>
          </w:tcPr>
          <w:p>
            <w:pPr>
              <w:spacing w:after="30" w:line="240" w:lineRule="auto"/>
            </w:pPr>
            <w:r>
              <w:rPr>
                <w:rFonts w:ascii="Arial" w:hAnsi="Arial"/>
                <w:sz w:val="13"/>
              </w:rPr>
              <w:t>Xiang et al. (2024)</w:t>
            </w:r>
          </w:p>
        </w:tc>
        <w:tc>
          <w:tcPr>
            <w:tcW w:type="dxa" w:w="2179"/>
            <w:vAlign w:val="top"/>
            <w:tcMar>
              <w:top w:w="75" w:type="dxa"/>
              <w:start w:w="75" w:type="dxa"/>
              <w:bottom w:w="75" w:type="dxa"/>
              <w:end w:w="75" w:type="dxa"/>
            </w:tcMar>
          </w:tcPr>
          <w:p>
            <w:pPr>
              <w:spacing w:after="30" w:line="240" w:lineRule="auto"/>
            </w:pPr>
            <w:r>
              <w:rPr>
                <w:rFonts w:ascii="Arial" w:hAnsi="Arial"/>
                <w:sz w:val="13"/>
              </w:rPr>
              <w:t>10.1016/j.dibe.2024.100413</w:t>
            </w:r>
          </w:p>
        </w:tc>
        <w:tc>
          <w:tcPr>
            <w:tcW w:type="dxa" w:w="2179"/>
            <w:vAlign w:val="top"/>
            <w:tcMar>
              <w:top w:w="75" w:type="dxa"/>
              <w:start w:w="75" w:type="dxa"/>
              <w:bottom w:w="75" w:type="dxa"/>
              <w:end w:w="75" w:type="dxa"/>
            </w:tcMar>
          </w:tcPr>
          <w:p>
            <w:pPr>
              <w:spacing w:after="30" w:line="240" w:lineRule="auto"/>
            </w:pPr>
            <w:r>
              <w:rPr>
                <w:rFonts w:ascii="Arial" w:hAnsi="Arial"/>
                <w:sz w:val="13"/>
              </w:rPr>
              <w:t>Parametric prefabricated design</w:t>
            </w:r>
          </w:p>
        </w:tc>
        <w:tc>
          <w:tcPr>
            <w:tcW w:type="dxa" w:w="2179"/>
            <w:vAlign w:val="top"/>
            <w:tcMar>
              <w:top w:w="75" w:type="dxa"/>
              <w:start w:w="75" w:type="dxa"/>
              <w:bottom w:w="75" w:type="dxa"/>
              <w:end w:w="75" w:type="dxa"/>
            </w:tcMar>
          </w:tcPr>
          <w:p>
            <w:pPr>
              <w:spacing w:after="30" w:line="240" w:lineRule="auto"/>
            </w:pPr>
            <w:r>
              <w:rPr>
                <w:rFonts w:ascii="Arial" w:hAnsi="Arial"/>
                <w:sz w:val="13"/>
              </w:rPr>
              <w:t>Integrated generation, carbon calculation, and GA optimization</w:t>
            </w:r>
          </w:p>
        </w:tc>
        <w:tc>
          <w:tcPr>
            <w:tcW w:type="dxa" w:w="2179"/>
            <w:vAlign w:val="top"/>
            <w:tcMar>
              <w:top w:w="75" w:type="dxa"/>
              <w:start w:w="75" w:type="dxa"/>
              <w:bottom w:w="75" w:type="dxa"/>
              <w:end w:w="75" w:type="dxa"/>
            </w:tcMar>
          </w:tcPr>
          <w:p>
            <w:pPr>
              <w:spacing w:after="30" w:line="240" w:lineRule="auto"/>
            </w:pPr>
            <w:r>
              <w:rPr>
                <w:rFonts w:ascii="Arial" w:hAnsi="Arial"/>
                <w:sz w:val="13"/>
              </w:rPr>
              <w:t>Alternatives reduced overall carbon by 10.51% relative to standardization-only case</w:t>
            </w:r>
          </w:p>
        </w:tc>
        <w:tc>
          <w:tcPr>
            <w:tcW w:type="dxa" w:w="2179"/>
            <w:vAlign w:val="top"/>
            <w:tcMar>
              <w:top w:w="75" w:type="dxa"/>
              <w:start w:w="75" w:type="dxa"/>
              <w:bottom w:w="75" w:type="dxa"/>
              <w:end w:w="75" w:type="dxa"/>
            </w:tcMar>
          </w:tcPr>
          <w:p>
            <w:pPr>
              <w:spacing w:after="30" w:line="240" w:lineRule="auto"/>
            </w:pPr>
            <w:r>
              <w:rPr>
                <w:rFonts w:ascii="Arial" w:hAnsi="Arial"/>
                <w:sz w:val="13"/>
              </w:rPr>
              <w:t>Compare formwork, element, and standardization decisions</w:t>
            </w:r>
          </w:p>
        </w:tc>
        <w:tc>
          <w:tcPr>
            <w:tcW w:type="dxa" w:w="2179"/>
            <w:vAlign w:val="top"/>
            <w:tcMar>
              <w:top w:w="75" w:type="dxa"/>
              <w:start w:w="75" w:type="dxa"/>
              <w:bottom w:w="75" w:type="dxa"/>
              <w:end w:w="75" w:type="dxa"/>
            </w:tcMar>
          </w:tcPr>
          <w:p>
            <w:pPr>
              <w:spacing w:after="30" w:line="240" w:lineRule="auto"/>
            </w:pPr>
            <w:r>
              <w:rPr>
                <w:rFonts w:ascii="Arial" w:hAnsi="Arial"/>
                <w:sz w:val="13"/>
              </w:rPr>
              <w:t>Carbon-standardization objective is narrower than circularity and subject to model constraints</w:t>
            </w:r>
          </w:p>
        </w:tc>
      </w:tr>
      <w:tr>
        <w:trPr>
          <w:cantSplit/>
        </w:trPr>
        <w:tc>
          <w:tcPr>
            <w:tcW w:type="dxa" w:w="2179"/>
            <w:vAlign w:val="top"/>
            <w:tcMar>
              <w:top w:w="75" w:type="dxa"/>
              <w:start w:w="75" w:type="dxa"/>
              <w:bottom w:w="75" w:type="dxa"/>
              <w:end w:w="75" w:type="dxa"/>
            </w:tcMar>
            <w:shd w:fill="EDF3F5"/>
          </w:tcPr>
          <w:p>
            <w:pPr>
              <w:spacing w:after="30" w:line="240" w:lineRule="auto"/>
            </w:pPr>
            <w:r>
              <w:rPr>
                <w:rFonts w:ascii="Arial" w:hAnsi="Arial"/>
                <w:sz w:val="13"/>
              </w:rPr>
              <w:t>Mirzaei et al. (2025)</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10.22260/isarc2025/0094</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Reused-steel inventory and parametric model</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Generation and NSGA-II optimization</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Reused-component topology and geometry generated and optimized</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Adapt structural design to available reclaimed stock</w:t>
            </w:r>
          </w:p>
        </w:tc>
        <w:tc>
          <w:tcPr>
            <w:tcW w:type="dxa" w:w="2179"/>
            <w:vAlign w:val="top"/>
            <w:tcMar>
              <w:top w:w="75" w:type="dxa"/>
              <w:start w:w="75" w:type="dxa"/>
              <w:bottom w:w="75" w:type="dxa"/>
              <w:end w:w="75" w:type="dxa"/>
            </w:tcMar>
            <w:shd w:fill="EDF3F5"/>
          </w:tcPr>
          <w:p>
            <w:pPr>
              <w:spacing w:after="30" w:line="240" w:lineRule="auto"/>
            </w:pPr>
            <w:r>
              <w:rPr>
                <w:rFonts w:ascii="Arial" w:hAnsi="Arial"/>
                <w:sz w:val="13"/>
              </w:rPr>
              <w:t>Inventory, certification, and constructability conditions govern transfer</w:t>
            </w:r>
          </w:p>
        </w:tc>
      </w:tr>
    </w:tbl>
    <w:p/>
    <w:p>
      <w:pPr>
        <w:pStyle w:val="Caption"/>
      </w:pPr>
      <w:r>
        <w:t>Table S3. Complete normalized-attribute dictionary.</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94"/>
            <w:shd w:fill="173D55"/>
            <w:vAlign w:val="center"/>
            <w:tcMar>
              <w:top w:w="90" w:type="dxa"/>
              <w:start w:w="85" w:type="dxa"/>
              <w:bottom w:w="90" w:type="dxa"/>
              <w:end w:w="85" w:type="dxa"/>
            </w:tcMar>
          </w:tcPr>
          <w:p>
            <w:pPr>
              <w:jc w:val="center"/>
            </w:pPr>
            <w:r>
              <w:rPr>
                <w:rFonts w:ascii="Arial" w:hAnsi="Arial"/>
                <w:b/>
                <w:color w:val="FFFFFF"/>
                <w:sz w:val="13"/>
              </w:rPr>
              <w:t>ID</w:t>
            </w:r>
          </w:p>
        </w:tc>
        <w:tc>
          <w:tcPr>
            <w:tcW w:type="dxa" w:w="1694"/>
            <w:shd w:fill="173D55"/>
            <w:vAlign w:val="center"/>
            <w:tcMar>
              <w:top w:w="90" w:type="dxa"/>
              <w:start w:w="85" w:type="dxa"/>
              <w:bottom w:w="90" w:type="dxa"/>
              <w:end w:w="85" w:type="dxa"/>
            </w:tcMar>
          </w:tcPr>
          <w:p>
            <w:pPr>
              <w:jc w:val="center"/>
            </w:pPr>
            <w:r>
              <w:rPr>
                <w:rFonts w:ascii="Arial" w:hAnsi="Arial"/>
                <w:b/>
                <w:color w:val="FFFFFF"/>
                <w:sz w:val="13"/>
              </w:rPr>
              <w:t>Family</w:t>
            </w:r>
          </w:p>
        </w:tc>
        <w:tc>
          <w:tcPr>
            <w:tcW w:type="dxa" w:w="1694"/>
            <w:shd w:fill="173D55"/>
            <w:vAlign w:val="center"/>
            <w:tcMar>
              <w:top w:w="90" w:type="dxa"/>
              <w:start w:w="85" w:type="dxa"/>
              <w:bottom w:w="90" w:type="dxa"/>
              <w:end w:w="85" w:type="dxa"/>
            </w:tcMar>
          </w:tcPr>
          <w:p>
            <w:pPr>
              <w:jc w:val="center"/>
            </w:pPr>
            <w:r>
              <w:rPr>
                <w:rFonts w:ascii="Arial" w:hAnsi="Arial"/>
                <w:b/>
                <w:color w:val="FFFFFF"/>
                <w:sz w:val="13"/>
              </w:rPr>
              <w:t>Attribute</w:t>
            </w:r>
          </w:p>
        </w:tc>
        <w:tc>
          <w:tcPr>
            <w:tcW w:type="dxa" w:w="1694"/>
            <w:shd w:fill="173D55"/>
            <w:vAlign w:val="center"/>
            <w:tcMar>
              <w:top w:w="90" w:type="dxa"/>
              <w:start w:w="85" w:type="dxa"/>
              <w:bottom w:w="90" w:type="dxa"/>
              <w:end w:w="85" w:type="dxa"/>
            </w:tcMar>
          </w:tcPr>
          <w:p>
            <w:pPr>
              <w:jc w:val="center"/>
            </w:pPr>
            <w:r>
              <w:rPr>
                <w:rFonts w:ascii="Arial" w:hAnsi="Arial"/>
                <w:b/>
                <w:color w:val="FFFFFF"/>
                <w:sz w:val="13"/>
              </w:rPr>
              <w:t>Information meaning</w:t>
            </w:r>
          </w:p>
        </w:tc>
        <w:tc>
          <w:tcPr>
            <w:tcW w:type="dxa" w:w="1694"/>
            <w:shd w:fill="173D55"/>
            <w:vAlign w:val="center"/>
            <w:tcMar>
              <w:top w:w="90" w:type="dxa"/>
              <w:start w:w="85" w:type="dxa"/>
              <w:bottom w:w="90" w:type="dxa"/>
              <w:end w:w="85" w:type="dxa"/>
            </w:tcMar>
          </w:tcPr>
          <w:p>
            <w:pPr>
              <w:jc w:val="center"/>
            </w:pPr>
            <w:r>
              <w:rPr>
                <w:rFonts w:ascii="Arial" w:hAnsi="Arial"/>
                <w:b/>
                <w:color w:val="FFFFFF"/>
                <w:sz w:val="13"/>
              </w:rPr>
              <w:t>Original terminology</w:t>
            </w:r>
          </w:p>
        </w:tc>
        <w:tc>
          <w:tcPr>
            <w:tcW w:type="dxa" w:w="1694"/>
            <w:shd w:fill="173D55"/>
            <w:vAlign w:val="center"/>
            <w:tcMar>
              <w:top w:w="90" w:type="dxa"/>
              <w:start w:w="85" w:type="dxa"/>
              <w:bottom w:w="90" w:type="dxa"/>
              <w:end w:w="85" w:type="dxa"/>
            </w:tcMar>
          </w:tcPr>
          <w:p>
            <w:pPr>
              <w:jc w:val="center"/>
            </w:pPr>
            <w:r>
              <w:rPr>
                <w:rFonts w:ascii="Arial" w:hAnsi="Arial"/>
                <w:b/>
                <w:color w:val="FFFFFF"/>
                <w:sz w:val="13"/>
              </w:rPr>
              <w:t>Frequency n</w:t>
            </w:r>
          </w:p>
        </w:tc>
        <w:tc>
          <w:tcPr>
            <w:tcW w:type="dxa" w:w="1694"/>
            <w:shd w:fill="173D55"/>
            <w:vAlign w:val="center"/>
            <w:tcMar>
              <w:top w:w="90" w:type="dxa"/>
              <w:start w:w="85" w:type="dxa"/>
              <w:bottom w:w="90" w:type="dxa"/>
              <w:end w:w="85" w:type="dxa"/>
            </w:tcMar>
          </w:tcPr>
          <w:p>
            <w:pPr>
              <w:jc w:val="center"/>
            </w:pPr>
            <w:r>
              <w:rPr>
                <w:rFonts w:ascii="Arial" w:hAnsi="Arial"/>
                <w:b/>
                <w:color w:val="FFFFFF"/>
                <w:sz w:val="13"/>
              </w:rPr>
              <w:t>Readiness</w:t>
            </w:r>
          </w:p>
        </w:tc>
        <w:tc>
          <w:tcPr>
            <w:tcW w:type="dxa" w:w="1694"/>
            <w:shd w:fill="173D55"/>
            <w:vAlign w:val="center"/>
            <w:tcMar>
              <w:top w:w="90" w:type="dxa"/>
              <w:start w:w="85" w:type="dxa"/>
              <w:bottom w:w="90" w:type="dxa"/>
              <w:end w:w="85" w:type="dxa"/>
            </w:tcMar>
          </w:tcPr>
          <w:p>
            <w:pPr>
              <w:jc w:val="center"/>
            </w:pPr>
            <w:r>
              <w:rPr>
                <w:rFonts w:ascii="Arial" w:hAnsi="Arial"/>
                <w:b/>
                <w:color w:val="FFFFFF"/>
                <w:sz w:val="13"/>
              </w:rPr>
              <w:t>Provenance basis</w:t>
            </w:r>
          </w:p>
        </w:tc>
        <w:tc>
          <w:tcPr>
            <w:tcW w:type="dxa" w:w="1694"/>
            <w:shd w:fill="173D55"/>
            <w:vAlign w:val="center"/>
            <w:tcMar>
              <w:top w:w="90" w:type="dxa"/>
              <w:start w:w="85" w:type="dxa"/>
              <w:bottom w:w="90" w:type="dxa"/>
              <w:end w:w="85" w:type="dxa"/>
            </w:tcMar>
          </w:tcPr>
          <w:p>
            <w:pPr>
              <w:jc w:val="center"/>
            </w:pPr>
            <w:r>
              <w:rPr>
                <w:rFonts w:ascii="Arial" w:hAnsi="Arial"/>
                <w:b/>
                <w:color w:val="FFFFFF"/>
                <w:sz w:val="13"/>
              </w:rPr>
              <w:t>Notes</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ATT-01</w:t>
            </w:r>
          </w:p>
        </w:tc>
        <w:tc>
          <w:tcPr>
            <w:tcW w:type="dxa" w:w="1694"/>
            <w:vAlign w:val="top"/>
            <w:tcMar>
              <w:top w:w="75" w:type="dxa"/>
              <w:start w:w="75" w:type="dxa"/>
              <w:bottom w:w="75" w:type="dxa"/>
              <w:end w:w="75" w:type="dxa"/>
            </w:tcMar>
          </w:tcPr>
          <w:p>
            <w:pPr>
              <w:spacing w:after="30" w:line="240" w:lineRule="auto"/>
            </w:pPr>
            <w:r>
              <w:rPr>
                <w:rFonts w:ascii="Arial" w:hAnsi="Arial"/>
                <w:sz w:val="13"/>
              </w:rPr>
              <w:t>Connections and interfaces</w:t>
            </w:r>
          </w:p>
        </w:tc>
        <w:tc>
          <w:tcPr>
            <w:tcW w:type="dxa" w:w="1694"/>
            <w:vAlign w:val="top"/>
            <w:tcMar>
              <w:top w:w="75" w:type="dxa"/>
              <w:start w:w="75" w:type="dxa"/>
              <w:bottom w:w="75" w:type="dxa"/>
              <w:end w:w="75" w:type="dxa"/>
            </w:tcMar>
          </w:tcPr>
          <w:p>
            <w:pPr>
              <w:spacing w:after="30" w:line="240" w:lineRule="auto"/>
            </w:pPr>
            <w:r>
              <w:rPr>
                <w:rFonts w:ascii="Arial" w:hAnsi="Arial"/>
                <w:sz w:val="13"/>
              </w:rPr>
              <w:t>accessibility</w:t>
            </w:r>
          </w:p>
        </w:tc>
        <w:tc>
          <w:tcPr>
            <w:tcW w:type="dxa" w:w="1694"/>
            <w:vAlign w:val="top"/>
            <w:tcMar>
              <w:top w:w="75" w:type="dxa"/>
              <w:start w:w="75" w:type="dxa"/>
              <w:bottom w:w="75" w:type="dxa"/>
              <w:end w:w="75" w:type="dxa"/>
            </w:tcMar>
          </w:tcPr>
          <w:p>
            <w:pPr>
              <w:spacing w:after="30" w:line="240" w:lineRule="auto"/>
            </w:pPr>
            <w:r>
              <w:rPr>
                <w:rFonts w:ascii="Arial" w:hAnsi="Arial"/>
                <w:sz w:val="13"/>
              </w:rPr>
              <w:t>Physical or visual access needed to inspect, service, remove, or separate a component.</w:t>
            </w:r>
          </w:p>
        </w:tc>
        <w:tc>
          <w:tcPr>
            <w:tcW w:type="dxa" w:w="1694"/>
            <w:vAlign w:val="top"/>
            <w:tcMar>
              <w:top w:w="75" w:type="dxa"/>
              <w:start w:w="75" w:type="dxa"/>
              <w:bottom w:w="75" w:type="dxa"/>
              <w:end w:w="75" w:type="dxa"/>
            </w:tcMar>
          </w:tcPr>
          <w:p>
            <w:pPr>
              <w:spacing w:after="30" w:line="240" w:lineRule="auto"/>
            </w:pPr>
            <w:r>
              <w:rPr>
                <w:rFonts w:ascii="Arial" w:hAnsi="Arial"/>
                <w:sz w:val="13"/>
              </w:rPr>
              <w:t>accessibility</w:t>
            </w:r>
          </w:p>
        </w:tc>
        <w:tc>
          <w:tcPr>
            <w:tcW w:type="dxa" w:w="1694"/>
            <w:vAlign w:val="top"/>
            <w:tcMar>
              <w:top w:w="75" w:type="dxa"/>
              <w:start w:w="75" w:type="dxa"/>
              <w:bottom w:w="75" w:type="dxa"/>
              <w:end w:w="75" w:type="dxa"/>
            </w:tcMar>
          </w:tcPr>
          <w:p>
            <w:pPr>
              <w:spacing w:after="30" w:line="240" w:lineRule="auto"/>
            </w:pPr>
            <w:r>
              <w:rPr>
                <w:rFonts w:ascii="Arial" w:hAnsi="Arial"/>
                <w:sz w:val="13"/>
              </w:rPr>
              <w:t>316</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ATT-02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Design adaptability and standardization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adaptability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Capacity of a building, system, or component to accommodate future change.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adaptability; Adaptability/flexibility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251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ATT-03</w:t>
            </w:r>
          </w:p>
        </w:tc>
        <w:tc>
          <w:tcPr>
            <w:tcW w:type="dxa" w:w="1694"/>
            <w:vAlign w:val="top"/>
            <w:tcMar>
              <w:top w:w="75" w:type="dxa"/>
              <w:start w:w="75" w:type="dxa"/>
              <w:bottom w:w="75" w:type="dxa"/>
              <w:end w:w="75" w:type="dxa"/>
            </w:tcMar>
          </w:tcPr>
          <w:p>
            <w:pPr>
              <w:spacing w:after="30" w:line="240" w:lineRule="auto"/>
            </w:pPr>
            <w:r>
              <w:rPr>
                <w:rFonts w:ascii="Arial" w:hAnsi="Arial"/>
                <w:sz w:val="13"/>
              </w:rPr>
              <w:t>Geometry and spatial definition</w:t>
            </w:r>
          </w:p>
        </w:tc>
        <w:tc>
          <w:tcPr>
            <w:tcW w:type="dxa" w:w="1694"/>
            <w:vAlign w:val="top"/>
            <w:tcMar>
              <w:top w:w="75" w:type="dxa"/>
              <w:start w:w="75" w:type="dxa"/>
              <w:bottom w:w="75" w:type="dxa"/>
              <w:end w:w="75" w:type="dxa"/>
            </w:tcMar>
          </w:tcPr>
          <w:p>
            <w:pPr>
              <w:spacing w:after="30" w:line="240" w:lineRule="auto"/>
            </w:pPr>
            <w:r>
              <w:rPr>
                <w:rFonts w:ascii="Arial" w:hAnsi="Arial"/>
                <w:sz w:val="13"/>
              </w:rPr>
              <w:t>area</w:t>
            </w:r>
          </w:p>
        </w:tc>
        <w:tc>
          <w:tcPr>
            <w:tcW w:type="dxa" w:w="1694"/>
            <w:vAlign w:val="top"/>
            <w:tcMar>
              <w:top w:w="75" w:type="dxa"/>
              <w:start w:w="75" w:type="dxa"/>
              <w:bottom w:w="75" w:type="dxa"/>
              <w:end w:w="75" w:type="dxa"/>
            </w:tcMar>
          </w:tcPr>
          <w:p>
            <w:pPr>
              <w:spacing w:after="30" w:line="240" w:lineRule="auto"/>
            </w:pPr>
            <w:r>
              <w:rPr>
                <w:rFonts w:ascii="Arial" w:hAnsi="Arial"/>
                <w:sz w:val="13"/>
              </w:rPr>
              <w:t>Plan, surface, gross, net, or component area used in a circularity calculation.</w:t>
            </w:r>
          </w:p>
        </w:tc>
        <w:tc>
          <w:tcPr>
            <w:tcW w:type="dxa" w:w="1694"/>
            <w:vAlign w:val="top"/>
            <w:tcMar>
              <w:top w:w="75" w:type="dxa"/>
              <w:start w:w="75" w:type="dxa"/>
              <w:bottom w:w="75" w:type="dxa"/>
              <w:end w:w="75" w:type="dxa"/>
            </w:tcMar>
          </w:tcPr>
          <w:p>
            <w:pPr>
              <w:spacing w:after="30" w:line="240" w:lineRule="auto"/>
            </w:pPr>
            <w:r>
              <w:rPr>
                <w:rFonts w:ascii="Arial" w:hAnsi="Arial"/>
                <w:sz w:val="13"/>
              </w:rPr>
              <w:t>area; Area and volume</w:t>
            </w:r>
          </w:p>
        </w:tc>
        <w:tc>
          <w:tcPr>
            <w:tcW w:type="dxa" w:w="1694"/>
            <w:vAlign w:val="top"/>
            <w:tcMar>
              <w:top w:w="75" w:type="dxa"/>
              <w:start w:w="75" w:type="dxa"/>
              <w:bottom w:w="75" w:type="dxa"/>
              <w:end w:w="75" w:type="dxa"/>
            </w:tcMar>
          </w:tcPr>
          <w:p>
            <w:pPr>
              <w:spacing w:after="30" w:line="240" w:lineRule="auto"/>
            </w:pPr>
            <w:r>
              <w:rPr>
                <w:rFonts w:ascii="Arial" w:hAnsi="Arial"/>
                <w:sz w:val="13"/>
              </w:rPr>
              <w:t>482</w:t>
            </w:r>
          </w:p>
        </w:tc>
        <w:tc>
          <w:tcPr>
            <w:tcW w:type="dxa" w:w="1694"/>
            <w:vAlign w:val="top"/>
            <w:tcMar>
              <w:top w:w="75" w:type="dxa"/>
              <w:start w:w="75" w:type="dxa"/>
              <w:bottom w:w="75" w:type="dxa"/>
              <w:end w:w="75" w:type="dxa"/>
            </w:tcMar>
          </w:tcPr>
          <w:p>
            <w:pPr>
              <w:spacing w:after="30" w:line="240" w:lineRule="auto"/>
            </w:pPr>
            <w:r>
              <w:rPr>
                <w:rFonts w:ascii="Arial" w:hAnsi="Arial"/>
                <w:sz w:val="13"/>
              </w:rPr>
              <w:t>Core</w:t>
            </w:r>
          </w:p>
        </w:tc>
        <w:tc>
          <w:tcPr>
            <w:tcW w:type="dxa" w:w="1694"/>
            <w:vAlign w:val="top"/>
            <w:tcMar>
              <w:top w:w="75" w:type="dxa"/>
              <w:start w:w="75" w:type="dxa"/>
              <w:bottom w:w="75" w:type="dxa"/>
              <w:end w:w="75" w:type="dxa"/>
            </w:tcMar>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ATT-04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Component and assembly definition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assembly sequence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Order in which components are assembled, removed, or disassembled.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assembly sequence; Disassembly/deconstruction potential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43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ATT-05</w:t>
            </w:r>
          </w:p>
        </w:tc>
        <w:tc>
          <w:tcPr>
            <w:tcW w:type="dxa" w:w="1694"/>
            <w:vAlign w:val="top"/>
            <w:tcMar>
              <w:top w:w="75" w:type="dxa"/>
              <w:start w:w="75" w:type="dxa"/>
              <w:bottom w:w="75" w:type="dxa"/>
              <w:end w:w="75" w:type="dxa"/>
            </w:tcMar>
          </w:tcPr>
          <w:p>
            <w:pPr>
              <w:spacing w:after="30" w:line="240" w:lineRule="auto"/>
            </w:pPr>
            <w:r>
              <w:rPr>
                <w:rFonts w:ascii="Arial" w:hAnsi="Arial"/>
                <w:sz w:val="13"/>
              </w:rPr>
              <w:t>Quantity and mass</w:t>
            </w:r>
          </w:p>
        </w:tc>
        <w:tc>
          <w:tcPr>
            <w:tcW w:type="dxa" w:w="1694"/>
            <w:vAlign w:val="top"/>
            <w:tcMar>
              <w:top w:w="75" w:type="dxa"/>
              <w:start w:w="75" w:type="dxa"/>
              <w:bottom w:w="75" w:type="dxa"/>
              <w:end w:w="75" w:type="dxa"/>
            </w:tcMar>
          </w:tcPr>
          <w:p>
            <w:pPr>
              <w:spacing w:after="30" w:line="240" w:lineRule="auto"/>
            </w:pPr>
            <w:r>
              <w:rPr>
                <w:rFonts w:ascii="Arial" w:hAnsi="Arial"/>
                <w:sz w:val="13"/>
              </w:rPr>
              <w:t>component count</w:t>
            </w:r>
          </w:p>
        </w:tc>
        <w:tc>
          <w:tcPr>
            <w:tcW w:type="dxa" w:w="1694"/>
            <w:vAlign w:val="top"/>
            <w:tcMar>
              <w:top w:w="75" w:type="dxa"/>
              <w:start w:w="75" w:type="dxa"/>
              <w:bottom w:w="75" w:type="dxa"/>
              <w:end w:w="75" w:type="dxa"/>
            </w:tcMar>
          </w:tcPr>
          <w:p>
            <w:pPr>
              <w:spacing w:after="30" w:line="240" w:lineRule="auto"/>
            </w:pPr>
            <w:r>
              <w:rPr>
                <w:rFonts w:ascii="Arial" w:hAnsi="Arial"/>
                <w:sz w:val="13"/>
              </w:rPr>
              <w:t>Number of components or repeated elements required by an assessment.</w:t>
            </w:r>
          </w:p>
        </w:tc>
        <w:tc>
          <w:tcPr>
            <w:tcW w:type="dxa" w:w="1694"/>
            <w:vAlign w:val="top"/>
            <w:tcMar>
              <w:top w:w="75" w:type="dxa"/>
              <w:start w:w="75" w:type="dxa"/>
              <w:bottom w:w="75" w:type="dxa"/>
              <w:end w:w="75" w:type="dxa"/>
            </w:tcMar>
          </w:tcPr>
          <w:p>
            <w:pPr>
              <w:spacing w:after="30" w:line="240" w:lineRule="auto"/>
            </w:pPr>
            <w:r>
              <w:rPr>
                <w:rFonts w:ascii="Arial" w:hAnsi="Arial"/>
                <w:sz w:val="13"/>
              </w:rPr>
              <w:t>component count; Material and component quantities</w:t>
            </w:r>
          </w:p>
        </w:tc>
        <w:tc>
          <w:tcPr>
            <w:tcW w:type="dxa" w:w="1694"/>
            <w:vAlign w:val="top"/>
            <w:tcMar>
              <w:top w:w="75" w:type="dxa"/>
              <w:start w:w="75" w:type="dxa"/>
              <w:bottom w:w="75" w:type="dxa"/>
              <w:end w:w="75" w:type="dxa"/>
            </w:tcMar>
          </w:tcPr>
          <w:p>
            <w:pPr>
              <w:spacing w:after="30" w:line="240" w:lineRule="auto"/>
            </w:pPr>
            <w:r>
              <w:rPr>
                <w:rFonts w:ascii="Arial" w:hAnsi="Arial"/>
                <w:sz w:val="13"/>
              </w:rPr>
              <w:t>103</w:t>
            </w:r>
          </w:p>
        </w:tc>
        <w:tc>
          <w:tcPr>
            <w:tcW w:type="dxa" w:w="1694"/>
            <w:vAlign w:val="top"/>
            <w:tcMar>
              <w:top w:w="75" w:type="dxa"/>
              <w:start w:w="75" w:type="dxa"/>
              <w:bottom w:w="75" w:type="dxa"/>
              <w:end w:w="75" w:type="dxa"/>
            </w:tcMar>
          </w:tcPr>
          <w:p>
            <w:pPr>
              <w:spacing w:after="30" w:line="240" w:lineRule="auto"/>
            </w:pPr>
            <w:r>
              <w:rPr>
                <w:rFonts w:ascii="Arial" w:hAnsi="Arial"/>
                <w:sz w:val="13"/>
              </w:rPr>
              <w:t>Core</w:t>
            </w:r>
          </w:p>
        </w:tc>
        <w:tc>
          <w:tcPr>
            <w:tcW w:type="dxa" w:w="1694"/>
            <w:vAlign w:val="top"/>
            <w:tcMar>
              <w:top w:w="75" w:type="dxa"/>
              <w:start w:w="75" w:type="dxa"/>
              <w:bottom w:w="75" w:type="dxa"/>
              <w:end w:w="75" w:type="dxa"/>
            </w:tcMar>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Component and assembly definition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component identity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Generic or specific identification of a building component or element type.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component identity; Component identity/type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45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ATT-07</w:t>
            </w:r>
          </w:p>
        </w:tc>
        <w:tc>
          <w:tcPr>
            <w:tcW w:type="dxa" w:w="1694"/>
            <w:vAlign w:val="top"/>
            <w:tcMar>
              <w:top w:w="75" w:type="dxa"/>
              <w:start w:w="75" w:type="dxa"/>
              <w:bottom w:w="75" w:type="dxa"/>
              <w:end w:w="75" w:type="dxa"/>
            </w:tcMar>
          </w:tcPr>
          <w:p>
            <w:pPr>
              <w:spacing w:after="30" w:line="240" w:lineRule="auto"/>
            </w:pPr>
            <w:r>
              <w:rPr>
                <w:rFonts w:ascii="Arial" w:hAnsi="Arial"/>
                <w:sz w:val="13"/>
              </w:rPr>
              <w:t>Component and assembly definition</w:t>
            </w:r>
          </w:p>
        </w:tc>
        <w:tc>
          <w:tcPr>
            <w:tcW w:type="dxa" w:w="1694"/>
            <w:vAlign w:val="top"/>
            <w:tcMar>
              <w:top w:w="75" w:type="dxa"/>
              <w:start w:w="75" w:type="dxa"/>
              <w:bottom w:w="75" w:type="dxa"/>
              <w:end w:w="75" w:type="dxa"/>
            </w:tcMar>
          </w:tcPr>
          <w:p>
            <w:pPr>
              <w:spacing w:after="30" w:line="240" w:lineRule="auto"/>
            </w:pPr>
            <w:r>
              <w:rPr>
                <w:rFonts w:ascii="Arial" w:hAnsi="Arial"/>
                <w:sz w:val="13"/>
              </w:rPr>
              <w:t>component relationships</w:t>
            </w:r>
          </w:p>
        </w:tc>
        <w:tc>
          <w:tcPr>
            <w:tcW w:type="dxa" w:w="1694"/>
            <w:vAlign w:val="top"/>
            <w:tcMar>
              <w:top w:w="75" w:type="dxa"/>
              <w:start w:w="75" w:type="dxa"/>
              <w:bottom w:w="75" w:type="dxa"/>
              <w:end w:w="75" w:type="dxa"/>
            </w:tcMar>
          </w:tcPr>
          <w:p>
            <w:pPr>
              <w:spacing w:after="30" w:line="240" w:lineRule="auto"/>
            </w:pPr>
            <w:r>
              <w:rPr>
                <w:rFonts w:ascii="Arial" w:hAnsi="Arial"/>
                <w:sz w:val="13"/>
              </w:rPr>
              <w:t>Adjacency, containment, support, connectivity, or assembly relationships among components.</w:t>
            </w:r>
          </w:p>
        </w:tc>
        <w:tc>
          <w:tcPr>
            <w:tcW w:type="dxa" w:w="1694"/>
            <w:vAlign w:val="top"/>
            <w:tcMar>
              <w:top w:w="75" w:type="dxa"/>
              <w:start w:w="75" w:type="dxa"/>
              <w:bottom w:w="75" w:type="dxa"/>
              <w:end w:w="75" w:type="dxa"/>
            </w:tcMar>
          </w:tcPr>
          <w:p>
            <w:pPr>
              <w:spacing w:after="30" w:line="240" w:lineRule="auto"/>
            </w:pPr>
            <w:r>
              <w:rPr>
                <w:rFonts w:ascii="Arial" w:hAnsi="Arial"/>
                <w:sz w:val="13"/>
              </w:rPr>
              <w:t>component relationships; Spatial/component relationships</w:t>
            </w:r>
          </w:p>
        </w:tc>
        <w:tc>
          <w:tcPr>
            <w:tcW w:type="dxa" w:w="1694"/>
            <w:vAlign w:val="top"/>
            <w:tcMar>
              <w:top w:w="75" w:type="dxa"/>
              <w:start w:w="75" w:type="dxa"/>
              <w:bottom w:w="75" w:type="dxa"/>
              <w:end w:w="75" w:type="dxa"/>
            </w:tcMar>
          </w:tcPr>
          <w:p>
            <w:pPr>
              <w:spacing w:after="30" w:line="240" w:lineRule="auto"/>
            </w:pPr>
            <w:r>
              <w:rPr>
                <w:rFonts w:ascii="Arial" w:hAnsi="Arial"/>
                <w:sz w:val="13"/>
              </w:rPr>
              <w:t>476</w:t>
            </w:r>
          </w:p>
        </w:tc>
        <w:tc>
          <w:tcPr>
            <w:tcW w:type="dxa" w:w="1694"/>
            <w:vAlign w:val="top"/>
            <w:tcMar>
              <w:top w:w="75" w:type="dxa"/>
              <w:start w:w="75" w:type="dxa"/>
              <w:bottom w:w="75" w:type="dxa"/>
              <w:end w:w="75" w:type="dxa"/>
            </w:tcMar>
          </w:tcPr>
          <w:p>
            <w:pPr>
              <w:spacing w:after="30" w:line="240" w:lineRule="auto"/>
            </w:pPr>
            <w:r>
              <w:rPr>
                <w:rFonts w:ascii="Arial" w:hAnsi="Arial"/>
                <w:sz w:val="13"/>
              </w:rPr>
              <w:t>Core</w:t>
            </w:r>
          </w:p>
        </w:tc>
        <w:tc>
          <w:tcPr>
            <w:tcW w:type="dxa" w:w="1694"/>
            <w:vAlign w:val="top"/>
            <w:tcMar>
              <w:top w:w="75" w:type="dxa"/>
              <w:start w:w="75" w:type="dxa"/>
              <w:bottom w:w="75" w:type="dxa"/>
              <w:end w:w="75" w:type="dxa"/>
            </w:tcMar>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ATT-08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Connections and interfaces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connection type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Generic or detailed means by which components are joined.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connection type; Connection type/fasteners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363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ATT-09</w:t>
            </w:r>
          </w:p>
        </w:tc>
        <w:tc>
          <w:tcPr>
            <w:tcW w:type="dxa" w:w="1694"/>
            <w:vAlign w:val="top"/>
            <w:tcMar>
              <w:top w:w="75" w:type="dxa"/>
              <w:start w:w="75" w:type="dxa"/>
              <w:bottom w:w="75" w:type="dxa"/>
              <w:end w:w="75" w:type="dxa"/>
            </w:tcMar>
          </w:tcPr>
          <w:p>
            <w:pPr>
              <w:spacing w:after="30" w:line="240" w:lineRule="auto"/>
            </w:pPr>
            <w:r>
              <w:rPr>
                <w:rFonts w:ascii="Arial" w:hAnsi="Arial"/>
                <w:sz w:val="13"/>
              </w:rPr>
              <w:t>Disassembly and deconstruction</w:t>
            </w:r>
          </w:p>
        </w:tc>
        <w:tc>
          <w:tcPr>
            <w:tcW w:type="dxa" w:w="1694"/>
            <w:vAlign w:val="top"/>
            <w:tcMar>
              <w:top w:w="75" w:type="dxa"/>
              <w:start w:w="75" w:type="dxa"/>
              <w:bottom w:w="75" w:type="dxa"/>
              <w:end w:w="75" w:type="dxa"/>
            </w:tcMar>
          </w:tcPr>
          <w:p>
            <w:pPr>
              <w:spacing w:after="30" w:line="240" w:lineRule="auto"/>
            </w:pPr>
            <w:r>
              <w:rPr>
                <w:rFonts w:ascii="Arial" w:hAnsi="Arial"/>
                <w:sz w:val="13"/>
              </w:rPr>
              <w:t>deconstruction potential</w:t>
            </w:r>
          </w:p>
        </w:tc>
        <w:tc>
          <w:tcPr>
            <w:tcW w:type="dxa" w:w="1694"/>
            <w:vAlign w:val="top"/>
            <w:tcMar>
              <w:top w:w="75" w:type="dxa"/>
              <w:start w:w="75" w:type="dxa"/>
              <w:bottom w:w="75" w:type="dxa"/>
              <w:end w:w="75" w:type="dxa"/>
            </w:tcMar>
          </w:tcPr>
          <w:p>
            <w:pPr>
              <w:spacing w:after="30" w:line="240" w:lineRule="auto"/>
            </w:pPr>
            <w:r>
              <w:rPr>
                <w:rFonts w:ascii="Arial" w:hAnsi="Arial"/>
                <w:sz w:val="13"/>
              </w:rPr>
              <w:t>Potential for planned dismantling or selective deconstruction rather than destructive demolition.</w:t>
            </w:r>
          </w:p>
        </w:tc>
        <w:tc>
          <w:tcPr>
            <w:tcW w:type="dxa" w:w="1694"/>
            <w:vAlign w:val="top"/>
            <w:tcMar>
              <w:top w:w="75" w:type="dxa"/>
              <w:start w:w="75" w:type="dxa"/>
              <w:bottom w:w="75" w:type="dxa"/>
              <w:end w:w="75" w:type="dxa"/>
            </w:tcMar>
          </w:tcPr>
          <w:p>
            <w:pPr>
              <w:spacing w:after="30" w:line="240" w:lineRule="auto"/>
            </w:pPr>
            <w:r>
              <w:rPr>
                <w:rFonts w:ascii="Arial" w:hAnsi="Arial"/>
                <w:sz w:val="13"/>
              </w:rPr>
              <w:t>deconstruction potential; Disassembly/deconstruction potential</w:t>
            </w:r>
          </w:p>
        </w:tc>
        <w:tc>
          <w:tcPr>
            <w:tcW w:type="dxa" w:w="1694"/>
            <w:vAlign w:val="top"/>
            <w:tcMar>
              <w:top w:w="75" w:type="dxa"/>
              <w:start w:w="75" w:type="dxa"/>
              <w:bottom w:w="75" w:type="dxa"/>
              <w:end w:w="75" w:type="dxa"/>
            </w:tcMar>
          </w:tcPr>
          <w:p>
            <w:pPr>
              <w:spacing w:after="30" w:line="240" w:lineRule="auto"/>
            </w:pPr>
            <w:r>
              <w:rPr>
                <w:rFonts w:ascii="Arial" w:hAnsi="Arial"/>
                <w:sz w:val="13"/>
              </w:rPr>
              <w:t>312</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ATT-10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Geometry and spatial definition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dimensions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Linear dimensions, thicknesses, spans, or sizes used in a circularity calculation.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dimensions; Geometry and dimensions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532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ATT-11</w:t>
            </w:r>
          </w:p>
        </w:tc>
        <w:tc>
          <w:tcPr>
            <w:tcW w:type="dxa" w:w="1694"/>
            <w:vAlign w:val="top"/>
            <w:tcMar>
              <w:top w:w="75" w:type="dxa"/>
              <w:start w:w="75" w:type="dxa"/>
              <w:bottom w:w="75" w:type="dxa"/>
              <w:end w:w="75" w:type="dxa"/>
            </w:tcMar>
          </w:tcPr>
          <w:p>
            <w:pPr>
              <w:spacing w:after="30" w:line="240" w:lineRule="auto"/>
            </w:pPr>
            <w:r>
              <w:rPr>
                <w:rFonts w:ascii="Arial" w:hAnsi="Arial"/>
                <w:sz w:val="13"/>
              </w:rPr>
              <w:t>Disassembly and deconstruction</w:t>
            </w:r>
          </w:p>
        </w:tc>
        <w:tc>
          <w:tcPr>
            <w:tcW w:type="dxa" w:w="1694"/>
            <w:vAlign w:val="top"/>
            <w:tcMar>
              <w:top w:w="75" w:type="dxa"/>
              <w:start w:w="75" w:type="dxa"/>
              <w:bottom w:w="75" w:type="dxa"/>
              <w:end w:w="75" w:type="dxa"/>
            </w:tcMar>
          </w:tcPr>
          <w:p>
            <w:pPr>
              <w:spacing w:after="30" w:line="240" w:lineRule="auto"/>
            </w:pPr>
            <w:r>
              <w:rPr>
                <w:rFonts w:ascii="Arial" w:hAnsi="Arial"/>
                <w:sz w:val="13"/>
              </w:rPr>
              <w:t>disassembly potential</w:t>
            </w:r>
          </w:p>
        </w:tc>
        <w:tc>
          <w:tcPr>
            <w:tcW w:type="dxa" w:w="1694"/>
            <w:vAlign w:val="top"/>
            <w:tcMar>
              <w:top w:w="75" w:type="dxa"/>
              <w:start w:w="75" w:type="dxa"/>
              <w:bottom w:w="75" w:type="dxa"/>
              <w:end w:w="75" w:type="dxa"/>
            </w:tcMar>
          </w:tcPr>
          <w:p>
            <w:pPr>
              <w:spacing w:after="30" w:line="240" w:lineRule="auto"/>
            </w:pPr>
            <w:r>
              <w:rPr>
                <w:rFonts w:ascii="Arial" w:hAnsi="Arial"/>
                <w:sz w:val="13"/>
              </w:rPr>
              <w:t>Potential to separate components without destructive loss of function or value.</w:t>
            </w:r>
          </w:p>
        </w:tc>
        <w:tc>
          <w:tcPr>
            <w:tcW w:type="dxa" w:w="1694"/>
            <w:vAlign w:val="top"/>
            <w:tcMar>
              <w:top w:w="75" w:type="dxa"/>
              <w:start w:w="75" w:type="dxa"/>
              <w:bottom w:w="75" w:type="dxa"/>
              <w:end w:w="75" w:type="dxa"/>
            </w:tcMar>
          </w:tcPr>
          <w:p>
            <w:pPr>
              <w:spacing w:after="30" w:line="240" w:lineRule="auto"/>
            </w:pPr>
            <w:r>
              <w:rPr>
                <w:rFonts w:ascii="Arial" w:hAnsi="Arial"/>
                <w:sz w:val="13"/>
              </w:rPr>
              <w:t>disassembly potential; Disassembly/deconstruction potential</w:t>
            </w:r>
          </w:p>
        </w:tc>
        <w:tc>
          <w:tcPr>
            <w:tcW w:type="dxa" w:w="1694"/>
            <w:vAlign w:val="top"/>
            <w:tcMar>
              <w:top w:w="75" w:type="dxa"/>
              <w:start w:w="75" w:type="dxa"/>
              <w:bottom w:w="75" w:type="dxa"/>
              <w:end w:w="75" w:type="dxa"/>
            </w:tcMar>
          </w:tcPr>
          <w:p>
            <w:pPr>
              <w:spacing w:after="30" w:line="240" w:lineRule="auto"/>
            </w:pPr>
            <w:r>
              <w:rPr>
                <w:rFonts w:ascii="Arial" w:hAnsi="Arial"/>
                <w:sz w:val="13"/>
              </w:rPr>
              <w:t>193</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ATT-12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Supply, take-back, and market conditions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economic value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Current cost, residual value, or economic quantity used in a circularity assessment.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economic value; Economic/market value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557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Requirement known, provenance weak</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 least one implementation was detected, but source and timing reporting are insufficient.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ATT-13</w:t>
            </w:r>
          </w:p>
        </w:tc>
        <w:tc>
          <w:tcPr>
            <w:tcW w:type="dxa" w:w="1694"/>
            <w:vAlign w:val="top"/>
            <w:tcMar>
              <w:top w:w="75" w:type="dxa"/>
              <w:start w:w="75" w:type="dxa"/>
              <w:bottom w:w="75" w:type="dxa"/>
              <w:end w:w="75" w:type="dxa"/>
            </w:tcMar>
          </w:tcPr>
          <w:p>
            <w:pPr>
              <w:spacing w:after="30" w:line="240" w:lineRule="auto"/>
            </w:pPr>
            <w:r>
              <w:rPr>
                <w:rFonts w:ascii="Arial" w:hAnsi="Arial"/>
                <w:sz w:val="13"/>
              </w:rPr>
              <w:t>Environmental and resource flows</w:t>
            </w:r>
          </w:p>
        </w:tc>
        <w:tc>
          <w:tcPr>
            <w:tcW w:type="dxa" w:w="1694"/>
            <w:vAlign w:val="top"/>
            <w:tcMar>
              <w:top w:w="75" w:type="dxa"/>
              <w:start w:w="75" w:type="dxa"/>
              <w:bottom w:w="75" w:type="dxa"/>
              <w:end w:w="75" w:type="dxa"/>
            </w:tcMar>
          </w:tcPr>
          <w:p>
            <w:pPr>
              <w:spacing w:after="30" w:line="240" w:lineRule="auto"/>
            </w:pPr>
            <w:r>
              <w:rPr>
                <w:rFonts w:ascii="Arial" w:hAnsi="Arial"/>
                <w:sz w:val="13"/>
              </w:rPr>
              <w:t>embodied carbon</w:t>
            </w:r>
          </w:p>
        </w:tc>
        <w:tc>
          <w:tcPr>
            <w:tcW w:type="dxa" w:w="1694"/>
            <w:vAlign w:val="top"/>
            <w:tcMar>
              <w:top w:w="75" w:type="dxa"/>
              <w:start w:w="75" w:type="dxa"/>
              <w:bottom w:w="75" w:type="dxa"/>
              <w:end w:w="75" w:type="dxa"/>
            </w:tcMar>
          </w:tcPr>
          <w:p>
            <w:pPr>
              <w:spacing w:after="30" w:line="240" w:lineRule="auto"/>
            </w:pPr>
            <w:r>
              <w:rPr>
                <w:rFonts w:ascii="Arial" w:hAnsi="Arial"/>
                <w:sz w:val="13"/>
              </w:rPr>
              <w:t>Embodied greenhouse-gas impact associated with materials, products, or assemblies.</w:t>
            </w:r>
          </w:p>
        </w:tc>
        <w:tc>
          <w:tcPr>
            <w:tcW w:type="dxa" w:w="1694"/>
            <w:vAlign w:val="top"/>
            <w:tcMar>
              <w:top w:w="75" w:type="dxa"/>
              <w:start w:w="75" w:type="dxa"/>
              <w:bottom w:w="75" w:type="dxa"/>
              <w:end w:w="75" w:type="dxa"/>
            </w:tcMar>
          </w:tcPr>
          <w:p>
            <w:pPr>
              <w:spacing w:after="30" w:line="240" w:lineRule="auto"/>
            </w:pPr>
            <w:r>
              <w:rPr>
                <w:rFonts w:ascii="Arial" w:hAnsi="Arial"/>
                <w:sz w:val="13"/>
              </w:rPr>
              <w:t>embodied carbon; LCA/embodied impacts</w:t>
            </w:r>
          </w:p>
        </w:tc>
        <w:tc>
          <w:tcPr>
            <w:tcW w:type="dxa" w:w="1694"/>
            <w:vAlign w:val="top"/>
            <w:tcMar>
              <w:top w:w="75" w:type="dxa"/>
              <w:start w:w="75" w:type="dxa"/>
              <w:bottom w:w="75" w:type="dxa"/>
              <w:end w:w="75" w:type="dxa"/>
            </w:tcMar>
          </w:tcPr>
          <w:p>
            <w:pPr>
              <w:spacing w:after="30" w:line="240" w:lineRule="auto"/>
            </w:pPr>
            <w:r>
              <w:rPr>
                <w:rFonts w:ascii="Arial" w:hAnsi="Arial"/>
                <w:sz w:val="13"/>
              </w:rPr>
              <w:t>362</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ATT-14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Scenario and expert inputs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expert judgment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Human interpretation, weighting, or decision input required by an assessment.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expert judgment; Scenario/expert assumptions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250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Scenario-dependent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The attribute can be operationalized, but its value remains conditional on future conditions, assumptions, or judgment.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ATT-15</w:t>
            </w:r>
          </w:p>
        </w:tc>
        <w:tc>
          <w:tcPr>
            <w:tcW w:type="dxa" w:w="1694"/>
            <w:vAlign w:val="top"/>
            <w:tcMar>
              <w:top w:w="75" w:type="dxa"/>
              <w:start w:w="75" w:type="dxa"/>
              <w:bottom w:w="75" w:type="dxa"/>
              <w:end w:w="75" w:type="dxa"/>
            </w:tcMar>
          </w:tcPr>
          <w:p>
            <w:pPr>
              <w:spacing w:after="30" w:line="240" w:lineRule="auto"/>
            </w:pPr>
            <w:r>
              <w:rPr>
                <w:rFonts w:ascii="Arial" w:hAnsi="Arial"/>
                <w:sz w:val="13"/>
              </w:rPr>
              <w:t>Design adaptability and standardization</w:t>
            </w:r>
          </w:p>
        </w:tc>
        <w:tc>
          <w:tcPr>
            <w:tcW w:type="dxa" w:w="1694"/>
            <w:vAlign w:val="top"/>
            <w:tcMar>
              <w:top w:w="75" w:type="dxa"/>
              <w:start w:w="75" w:type="dxa"/>
              <w:bottom w:w="75" w:type="dxa"/>
              <w:end w:w="75" w:type="dxa"/>
            </w:tcMar>
          </w:tcPr>
          <w:p>
            <w:pPr>
              <w:spacing w:after="30" w:line="240" w:lineRule="auto"/>
            </w:pPr>
            <w:r>
              <w:rPr>
                <w:rFonts w:ascii="Arial" w:hAnsi="Arial"/>
                <w:sz w:val="13"/>
              </w:rPr>
              <w:t>flexibility</w:t>
            </w:r>
          </w:p>
        </w:tc>
        <w:tc>
          <w:tcPr>
            <w:tcW w:type="dxa" w:w="1694"/>
            <w:vAlign w:val="top"/>
            <w:tcMar>
              <w:top w:w="75" w:type="dxa"/>
              <w:start w:w="75" w:type="dxa"/>
              <w:bottom w:w="75" w:type="dxa"/>
              <w:end w:w="75" w:type="dxa"/>
            </w:tcMar>
          </w:tcPr>
          <w:p>
            <w:pPr>
              <w:spacing w:after="30" w:line="240" w:lineRule="auto"/>
            </w:pPr>
            <w:r>
              <w:rPr>
                <w:rFonts w:ascii="Arial" w:hAnsi="Arial"/>
                <w:sz w:val="13"/>
              </w:rPr>
              <w:t>Capacity to support alternative layouts, uses, or configurations.</w:t>
            </w:r>
          </w:p>
        </w:tc>
        <w:tc>
          <w:tcPr>
            <w:tcW w:type="dxa" w:w="1694"/>
            <w:vAlign w:val="top"/>
            <w:tcMar>
              <w:top w:w="75" w:type="dxa"/>
              <w:start w:w="75" w:type="dxa"/>
              <w:bottom w:w="75" w:type="dxa"/>
              <w:end w:w="75" w:type="dxa"/>
            </w:tcMar>
          </w:tcPr>
          <w:p>
            <w:pPr>
              <w:spacing w:after="30" w:line="240" w:lineRule="auto"/>
            </w:pPr>
            <w:r>
              <w:rPr>
                <w:rFonts w:ascii="Arial" w:hAnsi="Arial"/>
                <w:sz w:val="13"/>
              </w:rPr>
              <w:t>flexibility; Adaptability/flexibility</w:t>
            </w:r>
          </w:p>
        </w:tc>
        <w:tc>
          <w:tcPr>
            <w:tcW w:type="dxa" w:w="1694"/>
            <w:vAlign w:val="top"/>
            <w:tcMar>
              <w:top w:w="75" w:type="dxa"/>
              <w:start w:w="75" w:type="dxa"/>
              <w:bottom w:w="75" w:type="dxa"/>
              <w:end w:w="75" w:type="dxa"/>
            </w:tcMar>
          </w:tcPr>
          <w:p>
            <w:pPr>
              <w:spacing w:after="30" w:line="240" w:lineRule="auto"/>
            </w:pPr>
            <w:r>
              <w:rPr>
                <w:rFonts w:ascii="Arial" w:hAnsi="Arial"/>
                <w:sz w:val="13"/>
              </w:rPr>
              <w:t>281</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ATT-16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Supply, take-back, and market conditions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future value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Estimated value of a material or component at a future recovery or reuse time.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future value; Economic/market value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22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Scenario-dependent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The attribute can be operationalized, but its value remains conditional on future conditions, assumptions, or judgment.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ATT-17</w:t>
            </w:r>
          </w:p>
        </w:tc>
        <w:tc>
          <w:tcPr>
            <w:tcW w:type="dxa" w:w="1694"/>
            <w:vAlign w:val="top"/>
            <w:tcMar>
              <w:top w:w="75" w:type="dxa"/>
              <w:start w:w="75" w:type="dxa"/>
              <w:bottom w:w="75" w:type="dxa"/>
              <w:end w:w="75" w:type="dxa"/>
            </w:tcMar>
          </w:tcPr>
          <w:p>
            <w:pPr>
              <w:spacing w:after="30" w:line="240" w:lineRule="auto"/>
            </w:pPr>
            <w:r>
              <w:rPr>
                <w:rFonts w:ascii="Arial" w:hAnsi="Arial"/>
                <w:sz w:val="13"/>
              </w:rPr>
              <w:t>Geometry and spatial definition</w:t>
            </w:r>
          </w:p>
        </w:tc>
        <w:tc>
          <w:tcPr>
            <w:tcW w:type="dxa" w:w="1694"/>
            <w:vAlign w:val="top"/>
            <w:tcMar>
              <w:top w:w="75" w:type="dxa"/>
              <w:start w:w="75" w:type="dxa"/>
              <w:bottom w:w="75" w:type="dxa"/>
              <w:end w:w="75" w:type="dxa"/>
            </w:tcMar>
          </w:tcPr>
          <w:p>
            <w:pPr>
              <w:spacing w:after="30" w:line="240" w:lineRule="auto"/>
            </w:pPr>
            <w:r>
              <w:rPr>
                <w:rFonts w:ascii="Arial" w:hAnsi="Arial"/>
                <w:sz w:val="13"/>
              </w:rPr>
              <w:t>geometry</w:t>
            </w:r>
          </w:p>
        </w:tc>
        <w:tc>
          <w:tcPr>
            <w:tcW w:type="dxa" w:w="1694"/>
            <w:vAlign w:val="top"/>
            <w:tcMar>
              <w:top w:w="75" w:type="dxa"/>
              <w:start w:w="75" w:type="dxa"/>
              <w:bottom w:w="75" w:type="dxa"/>
              <w:end w:w="75" w:type="dxa"/>
            </w:tcMar>
          </w:tcPr>
          <w:p>
            <w:pPr>
              <w:spacing w:after="30" w:line="240" w:lineRule="auto"/>
            </w:pPr>
            <w:r>
              <w:rPr>
                <w:rFonts w:ascii="Arial" w:hAnsi="Arial"/>
                <w:sz w:val="13"/>
              </w:rPr>
              <w:t>Spatial form, shape, topology, or geometric representation of building elements.</w:t>
            </w:r>
          </w:p>
        </w:tc>
        <w:tc>
          <w:tcPr>
            <w:tcW w:type="dxa" w:w="1694"/>
            <w:vAlign w:val="top"/>
            <w:tcMar>
              <w:top w:w="75" w:type="dxa"/>
              <w:start w:w="75" w:type="dxa"/>
              <w:bottom w:w="75" w:type="dxa"/>
              <w:end w:w="75" w:type="dxa"/>
            </w:tcMar>
          </w:tcPr>
          <w:p>
            <w:pPr>
              <w:spacing w:after="30" w:line="240" w:lineRule="auto"/>
            </w:pPr>
            <w:r>
              <w:rPr>
                <w:rFonts w:ascii="Arial" w:hAnsi="Arial"/>
                <w:sz w:val="13"/>
              </w:rPr>
              <w:t>geometry; Geometry and dimensions</w:t>
            </w:r>
          </w:p>
        </w:tc>
        <w:tc>
          <w:tcPr>
            <w:tcW w:type="dxa" w:w="1694"/>
            <w:vAlign w:val="top"/>
            <w:tcMar>
              <w:top w:w="75" w:type="dxa"/>
              <w:start w:w="75" w:type="dxa"/>
              <w:bottom w:w="75" w:type="dxa"/>
              <w:end w:w="75" w:type="dxa"/>
            </w:tcMar>
          </w:tcPr>
          <w:p>
            <w:pPr>
              <w:spacing w:after="30" w:line="240" w:lineRule="auto"/>
            </w:pPr>
            <w:r>
              <w:rPr>
                <w:rFonts w:ascii="Arial" w:hAnsi="Arial"/>
                <w:sz w:val="13"/>
              </w:rPr>
              <w:t>370</w:t>
            </w:r>
          </w:p>
        </w:tc>
        <w:tc>
          <w:tcPr>
            <w:tcW w:type="dxa" w:w="1694"/>
            <w:vAlign w:val="top"/>
            <w:tcMar>
              <w:top w:w="75" w:type="dxa"/>
              <w:start w:w="75" w:type="dxa"/>
              <w:bottom w:w="75" w:type="dxa"/>
              <w:end w:w="75" w:type="dxa"/>
            </w:tcMar>
          </w:tcPr>
          <w:p>
            <w:pPr>
              <w:spacing w:after="30" w:line="240" w:lineRule="auto"/>
            </w:pPr>
            <w:r>
              <w:rPr>
                <w:rFonts w:ascii="Arial" w:hAnsi="Arial"/>
                <w:sz w:val="13"/>
              </w:rPr>
              <w:t>Core</w:t>
            </w:r>
          </w:p>
        </w:tc>
        <w:tc>
          <w:tcPr>
            <w:tcW w:type="dxa" w:w="1694"/>
            <w:vAlign w:val="top"/>
            <w:tcMar>
              <w:top w:w="75" w:type="dxa"/>
              <w:start w:w="75" w:type="dxa"/>
              <w:bottom w:w="75" w:type="dxa"/>
              <w:end w:w="75" w:type="dxa"/>
            </w:tcMar>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ATT-18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Environmental and resource flows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LCA Data</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Inventory, characterization factors, or other data used in life-cycle assessment.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life-cycle assessment data; LCA/embodied impacts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377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direct stage evidence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 least two independent, human-verified papers provide P1 evidence of design-stage use and provenance.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ATT-19</w:t>
            </w:r>
          </w:p>
        </w:tc>
        <w:tc>
          <w:tcPr>
            <w:tcW w:type="dxa" w:w="1694"/>
            <w:vAlign w:val="top"/>
            <w:tcMar>
              <w:top w:w="75" w:type="dxa"/>
              <w:start w:w="75" w:type="dxa"/>
              <w:bottom w:w="75" w:type="dxa"/>
              <w:end w:w="75" w:type="dxa"/>
            </w:tcMar>
          </w:tcPr>
          <w:p>
            <w:pPr>
              <w:spacing w:after="30" w:line="240" w:lineRule="auto"/>
            </w:pPr>
            <w:r>
              <w:rPr>
                <w:rFonts w:ascii="Arial" w:hAnsi="Arial"/>
                <w:sz w:val="13"/>
              </w:rPr>
              <w:t>Geometry and spatial definition</w:t>
            </w:r>
          </w:p>
        </w:tc>
        <w:tc>
          <w:tcPr>
            <w:tcW w:type="dxa" w:w="1694"/>
            <w:vAlign w:val="top"/>
            <w:tcMar>
              <w:top w:w="75" w:type="dxa"/>
              <w:start w:w="75" w:type="dxa"/>
              <w:bottom w:w="75" w:type="dxa"/>
              <w:end w:w="75" w:type="dxa"/>
            </w:tcMar>
          </w:tcPr>
          <w:p>
            <w:pPr>
              <w:spacing w:after="30" w:line="240" w:lineRule="auto"/>
            </w:pPr>
            <w:r>
              <w:rPr>
                <w:rFonts w:ascii="Arial" w:hAnsi="Arial"/>
                <w:sz w:val="13"/>
              </w:rPr>
              <w:t>location</w:t>
            </w:r>
          </w:p>
        </w:tc>
        <w:tc>
          <w:tcPr>
            <w:tcW w:type="dxa" w:w="1694"/>
            <w:vAlign w:val="top"/>
            <w:tcMar>
              <w:top w:w="75" w:type="dxa"/>
              <w:start w:w="75" w:type="dxa"/>
              <w:bottom w:w="75" w:type="dxa"/>
              <w:end w:w="75" w:type="dxa"/>
            </w:tcMar>
          </w:tcPr>
          <w:p>
            <w:pPr>
              <w:spacing w:after="30" w:line="240" w:lineRule="auto"/>
            </w:pPr>
            <w:r>
              <w:rPr>
                <w:rFonts w:ascii="Arial" w:hAnsi="Arial"/>
                <w:sz w:val="13"/>
              </w:rPr>
              <w:t>Site, spatial position, orientation, or element location relevant to an assessment.</w:t>
            </w:r>
          </w:p>
        </w:tc>
        <w:tc>
          <w:tcPr>
            <w:tcW w:type="dxa" w:w="1694"/>
            <w:vAlign w:val="top"/>
            <w:tcMar>
              <w:top w:w="75" w:type="dxa"/>
              <w:start w:w="75" w:type="dxa"/>
              <w:bottom w:w="75" w:type="dxa"/>
              <w:end w:w="75" w:type="dxa"/>
            </w:tcMar>
          </w:tcPr>
          <w:p>
            <w:pPr>
              <w:spacing w:after="30" w:line="240" w:lineRule="auto"/>
            </w:pPr>
            <w:r>
              <w:rPr>
                <w:rFonts w:ascii="Arial" w:hAnsi="Arial"/>
                <w:sz w:val="13"/>
              </w:rPr>
              <w:t>location; Geometry and dimensions</w:t>
            </w:r>
          </w:p>
        </w:tc>
        <w:tc>
          <w:tcPr>
            <w:tcW w:type="dxa" w:w="1694"/>
            <w:vAlign w:val="top"/>
            <w:tcMar>
              <w:top w:w="75" w:type="dxa"/>
              <w:start w:w="75" w:type="dxa"/>
              <w:bottom w:w="75" w:type="dxa"/>
              <w:end w:w="75" w:type="dxa"/>
            </w:tcMar>
          </w:tcPr>
          <w:p>
            <w:pPr>
              <w:spacing w:after="30" w:line="240" w:lineRule="auto"/>
            </w:pPr>
            <w:r>
              <w:rPr>
                <w:rFonts w:ascii="Arial" w:hAnsi="Arial"/>
                <w:sz w:val="13"/>
              </w:rPr>
              <w:t>417</w:t>
            </w:r>
          </w:p>
        </w:tc>
        <w:tc>
          <w:tcPr>
            <w:tcW w:type="dxa" w:w="1694"/>
            <w:vAlign w:val="top"/>
            <w:tcMar>
              <w:top w:w="75" w:type="dxa"/>
              <w:start w:w="75" w:type="dxa"/>
              <w:bottom w:w="75" w:type="dxa"/>
              <w:end w:w="75" w:type="dxa"/>
            </w:tcMar>
          </w:tcPr>
          <w:p>
            <w:pPr>
              <w:spacing w:after="30" w:line="240" w:lineRule="auto"/>
            </w:pPr>
            <w:r>
              <w:rPr>
                <w:rFonts w:ascii="Arial" w:hAnsi="Arial"/>
                <w:sz w:val="13"/>
              </w:rPr>
              <w:t>Core</w:t>
            </w:r>
          </w:p>
        </w:tc>
        <w:tc>
          <w:tcPr>
            <w:tcW w:type="dxa" w:w="1694"/>
            <w:vAlign w:val="top"/>
            <w:tcMar>
              <w:top w:w="75" w:type="dxa"/>
              <w:start w:w="75" w:type="dxa"/>
              <w:bottom w:w="75" w:type="dxa"/>
              <w:end w:w="75" w:type="dxa"/>
            </w:tcMar>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ATT-20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Service, maintenance, and replacement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maintainability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Ease and feasibility of inspection, servicing, and maintenance.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maintainability; Repair/maintenance/replaceability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19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Requirement known, provenance weak</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 least one implementation was detected, but source and timing reporting are insufficient.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ATT-21</w:t>
            </w:r>
          </w:p>
        </w:tc>
        <w:tc>
          <w:tcPr>
            <w:tcW w:type="dxa" w:w="1694"/>
            <w:vAlign w:val="top"/>
            <w:tcMar>
              <w:top w:w="75" w:type="dxa"/>
              <w:start w:w="75" w:type="dxa"/>
              <w:bottom w:w="75" w:type="dxa"/>
              <w:end w:w="75" w:type="dxa"/>
            </w:tcMar>
          </w:tcPr>
          <w:p>
            <w:pPr>
              <w:spacing w:after="30" w:line="240" w:lineRule="auto"/>
            </w:pPr>
            <w:r>
              <w:rPr>
                <w:rFonts w:ascii="Arial" w:hAnsi="Arial"/>
                <w:sz w:val="13"/>
              </w:rPr>
              <w:t>Product and provenance metadata</w:t>
            </w:r>
          </w:p>
        </w:tc>
        <w:tc>
          <w:tcPr>
            <w:tcW w:type="dxa" w:w="1694"/>
            <w:vAlign w:val="top"/>
            <w:tcMar>
              <w:top w:w="75" w:type="dxa"/>
              <w:start w:w="75" w:type="dxa"/>
              <w:bottom w:w="75" w:type="dxa"/>
              <w:end w:w="75" w:type="dxa"/>
            </w:tcMar>
          </w:tcPr>
          <w:p>
            <w:pPr>
              <w:spacing w:after="30" w:line="240" w:lineRule="auto"/>
            </w:pPr>
            <w:r>
              <w:rPr>
                <w:rFonts w:ascii="Arial" w:hAnsi="Arial"/>
                <w:sz w:val="13"/>
              </w:rPr>
              <w:t>manufacturer information</w:t>
            </w:r>
          </w:p>
        </w:tc>
        <w:tc>
          <w:tcPr>
            <w:tcW w:type="dxa" w:w="1694"/>
            <w:vAlign w:val="top"/>
            <w:tcMar>
              <w:top w:w="75" w:type="dxa"/>
              <w:start w:w="75" w:type="dxa"/>
              <w:bottom w:w="75" w:type="dxa"/>
              <w:end w:w="75" w:type="dxa"/>
            </w:tcMar>
          </w:tcPr>
          <w:p>
            <w:pPr>
              <w:spacing w:after="30" w:line="240" w:lineRule="auto"/>
            </w:pPr>
            <w:r>
              <w:rPr>
                <w:rFonts w:ascii="Arial" w:hAnsi="Arial"/>
                <w:sz w:val="13"/>
              </w:rPr>
              <w:t>Manufacturer-specific product identity, properties, documentation, and service information.</w:t>
            </w:r>
          </w:p>
        </w:tc>
        <w:tc>
          <w:tcPr>
            <w:tcW w:type="dxa" w:w="1694"/>
            <w:vAlign w:val="top"/>
            <w:tcMar>
              <w:top w:w="75" w:type="dxa"/>
              <w:start w:w="75" w:type="dxa"/>
              <w:bottom w:w="75" w:type="dxa"/>
              <w:end w:w="75" w:type="dxa"/>
            </w:tcMar>
          </w:tcPr>
          <w:p>
            <w:pPr>
              <w:spacing w:after="30" w:line="240" w:lineRule="auto"/>
            </w:pPr>
            <w:r>
              <w:rPr>
                <w:rFonts w:ascii="Arial" w:hAnsi="Arial"/>
                <w:sz w:val="13"/>
              </w:rPr>
              <w:t>manufacturer information; Manufacturer/product data</w:t>
            </w:r>
          </w:p>
        </w:tc>
        <w:tc>
          <w:tcPr>
            <w:tcW w:type="dxa" w:w="1694"/>
            <w:vAlign w:val="top"/>
            <w:tcMar>
              <w:top w:w="75" w:type="dxa"/>
              <w:start w:w="75" w:type="dxa"/>
              <w:bottom w:w="75" w:type="dxa"/>
              <w:end w:w="75" w:type="dxa"/>
            </w:tcMar>
          </w:tcPr>
          <w:p>
            <w:pPr>
              <w:spacing w:after="30" w:line="240" w:lineRule="auto"/>
            </w:pPr>
            <w:r>
              <w:rPr>
                <w:rFonts w:ascii="Arial" w:hAnsi="Arial"/>
                <w:sz w:val="13"/>
              </w:rPr>
              <w:t>165</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ATT-22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Quantity and mass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Material or component mass used in material-flow or impact calculations.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mass; Material and component quantities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414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ATT-23</w:t>
            </w:r>
          </w:p>
        </w:tc>
        <w:tc>
          <w:tcPr>
            <w:tcW w:type="dxa" w:w="1694"/>
            <w:vAlign w:val="top"/>
            <w:tcMar>
              <w:top w:w="75" w:type="dxa"/>
              <w:start w:w="75" w:type="dxa"/>
              <w:bottom w:w="75" w:type="dxa"/>
              <w:end w:w="75" w:type="dxa"/>
            </w:tcMar>
          </w:tcPr>
          <w:p>
            <w:pPr>
              <w:spacing w:after="30" w:line="240" w:lineRule="auto"/>
            </w:pPr>
            <w:r>
              <w:rPr>
                <w:rFonts w:ascii="Arial" w:hAnsi="Arial"/>
                <w:sz w:val="13"/>
              </w:rPr>
              <w:t>Product and provenance metadata</w:t>
            </w:r>
          </w:p>
        </w:tc>
        <w:tc>
          <w:tcPr>
            <w:tcW w:type="dxa" w:w="1694"/>
            <w:vAlign w:val="top"/>
            <w:tcMar>
              <w:top w:w="75" w:type="dxa"/>
              <w:start w:w="75" w:type="dxa"/>
              <w:bottom w:w="75" w:type="dxa"/>
              <w:end w:w="75" w:type="dxa"/>
            </w:tcMar>
          </w:tcPr>
          <w:p>
            <w:pPr>
              <w:spacing w:after="30" w:line="240" w:lineRule="auto"/>
            </w:pPr>
            <w:r>
              <w:rPr>
                <w:rFonts w:ascii="Arial" w:hAnsi="Arial"/>
                <w:sz w:val="13"/>
              </w:rPr>
              <w:t>material passport</w:t>
            </w:r>
          </w:p>
        </w:tc>
        <w:tc>
          <w:tcPr>
            <w:tcW w:type="dxa" w:w="1694"/>
            <w:vAlign w:val="top"/>
            <w:tcMar>
              <w:top w:w="75" w:type="dxa"/>
              <w:start w:w="75" w:type="dxa"/>
              <w:bottom w:w="75" w:type="dxa"/>
              <w:end w:w="75" w:type="dxa"/>
            </w:tcMar>
          </w:tcPr>
          <w:p>
            <w:pPr>
              <w:spacing w:after="30" w:line="240" w:lineRule="auto"/>
            </w:pPr>
            <w:r>
              <w:rPr>
                <w:rFonts w:ascii="Arial" w:hAnsi="Arial"/>
                <w:sz w:val="13"/>
              </w:rPr>
              <w:t>Structured material-level identity, composition, provenance, and circularity record.</w:t>
            </w:r>
          </w:p>
        </w:tc>
        <w:tc>
          <w:tcPr>
            <w:tcW w:type="dxa" w:w="1694"/>
            <w:vAlign w:val="top"/>
            <w:tcMar>
              <w:top w:w="75" w:type="dxa"/>
              <w:start w:w="75" w:type="dxa"/>
              <w:bottom w:w="75" w:type="dxa"/>
              <w:end w:w="75" w:type="dxa"/>
            </w:tcMar>
          </w:tcPr>
          <w:p>
            <w:pPr>
              <w:spacing w:after="30" w:line="240" w:lineRule="auto"/>
            </w:pPr>
            <w:r>
              <w:rPr>
                <w:rFonts w:ascii="Arial" w:hAnsi="Arial"/>
                <w:sz w:val="13"/>
              </w:rPr>
              <w:t>material passport; EPD/passport documentation</w:t>
            </w:r>
          </w:p>
        </w:tc>
        <w:tc>
          <w:tcPr>
            <w:tcW w:type="dxa" w:w="1694"/>
            <w:vAlign w:val="top"/>
            <w:tcMar>
              <w:top w:w="75" w:type="dxa"/>
              <w:start w:w="75" w:type="dxa"/>
              <w:bottom w:w="75" w:type="dxa"/>
              <w:end w:w="75" w:type="dxa"/>
            </w:tcMar>
          </w:tcPr>
          <w:p>
            <w:pPr>
              <w:spacing w:after="30" w:line="240" w:lineRule="auto"/>
            </w:pPr>
            <w:r>
              <w:rPr>
                <w:rFonts w:ascii="Arial" w:hAnsi="Arial"/>
                <w:sz w:val="13"/>
              </w:rPr>
              <w:t>122</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ATT-24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Quantity and mass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material quantity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Quantity of a material by volume, mass, area, or another measure.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material quantity; Material and component quantities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247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ATT-25</w:t>
            </w:r>
          </w:p>
        </w:tc>
        <w:tc>
          <w:tcPr>
            <w:tcW w:type="dxa" w:w="1694"/>
            <w:vAlign w:val="top"/>
            <w:tcMar>
              <w:top w:w="75" w:type="dxa"/>
              <w:start w:w="75" w:type="dxa"/>
              <w:bottom w:w="75" w:type="dxa"/>
              <w:end w:w="75" w:type="dxa"/>
            </w:tcMar>
          </w:tcPr>
          <w:p>
            <w:pPr>
              <w:spacing w:after="30" w:line="240" w:lineRule="auto"/>
            </w:pPr>
            <w:r>
              <w:rPr>
                <w:rFonts w:ascii="Arial" w:hAnsi="Arial"/>
                <w:sz w:val="13"/>
              </w:rPr>
              <w:t>Material identity and composition</w:t>
            </w:r>
          </w:p>
        </w:tc>
        <w:tc>
          <w:tcPr>
            <w:tcW w:type="dxa" w:w="1694"/>
            <w:vAlign w:val="top"/>
            <w:tcMar>
              <w:top w:w="75" w:type="dxa"/>
              <w:start w:w="75" w:type="dxa"/>
              <w:bottom w:w="75" w:type="dxa"/>
              <w:end w:w="75" w:type="dxa"/>
            </w:tcMar>
          </w:tcPr>
          <w:p>
            <w:pPr>
              <w:spacing w:after="30" w:line="240" w:lineRule="auto"/>
            </w:pPr>
            <w:r>
              <w:rPr>
                <w:rFonts w:ascii="Arial" w:hAnsi="Arial"/>
                <w:sz w:val="13"/>
              </w:rPr>
              <w:t>material toxicity</w:t>
            </w:r>
          </w:p>
        </w:tc>
        <w:tc>
          <w:tcPr>
            <w:tcW w:type="dxa" w:w="1694"/>
            <w:vAlign w:val="top"/>
            <w:tcMar>
              <w:top w:w="75" w:type="dxa"/>
              <w:start w:w="75" w:type="dxa"/>
              <w:bottom w:w="75" w:type="dxa"/>
              <w:end w:w="75" w:type="dxa"/>
            </w:tcMar>
          </w:tcPr>
          <w:p>
            <w:pPr>
              <w:spacing w:after="30" w:line="240" w:lineRule="auto"/>
            </w:pPr>
            <w:r>
              <w:rPr>
                <w:rFonts w:ascii="Arial" w:hAnsi="Arial"/>
                <w:sz w:val="13"/>
              </w:rPr>
              <w:t>Hazardous substance, toxicity, or health-related material property.</w:t>
            </w:r>
          </w:p>
        </w:tc>
        <w:tc>
          <w:tcPr>
            <w:tcW w:type="dxa" w:w="1694"/>
            <w:vAlign w:val="top"/>
            <w:tcMar>
              <w:top w:w="75" w:type="dxa"/>
              <w:start w:w="75" w:type="dxa"/>
              <w:bottom w:w="75" w:type="dxa"/>
              <w:end w:w="75" w:type="dxa"/>
            </w:tcMar>
          </w:tcPr>
          <w:p>
            <w:pPr>
              <w:spacing w:after="30" w:line="240" w:lineRule="auto"/>
            </w:pPr>
            <w:r>
              <w:rPr>
                <w:rFonts w:ascii="Arial" w:hAnsi="Arial"/>
                <w:sz w:val="13"/>
              </w:rPr>
              <w:t>material toxicity; Toxicity/hazardous content</w:t>
            </w:r>
          </w:p>
        </w:tc>
        <w:tc>
          <w:tcPr>
            <w:tcW w:type="dxa" w:w="1694"/>
            <w:vAlign w:val="top"/>
            <w:tcMar>
              <w:top w:w="75" w:type="dxa"/>
              <w:start w:w="75" w:type="dxa"/>
              <w:bottom w:w="75" w:type="dxa"/>
              <w:end w:w="75" w:type="dxa"/>
            </w:tcMar>
          </w:tcPr>
          <w:p>
            <w:pPr>
              <w:spacing w:after="30" w:line="240" w:lineRule="auto"/>
            </w:pPr>
            <w:r>
              <w:rPr>
                <w:rFonts w:ascii="Arial" w:hAnsi="Arial"/>
                <w:sz w:val="13"/>
              </w:rPr>
              <w:t>153</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ATT-26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Material identity and composition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material type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Generic material family, specific material, or product-level material identity.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material type; Material identity/type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116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ATT-27</w:t>
            </w:r>
          </w:p>
        </w:tc>
        <w:tc>
          <w:tcPr>
            <w:tcW w:type="dxa" w:w="1694"/>
            <w:vAlign w:val="top"/>
            <w:tcMar>
              <w:top w:w="75" w:type="dxa"/>
              <w:start w:w="75" w:type="dxa"/>
              <w:bottom w:w="75" w:type="dxa"/>
              <w:end w:w="75" w:type="dxa"/>
            </w:tcMar>
          </w:tcPr>
          <w:p>
            <w:pPr>
              <w:spacing w:after="30" w:line="240" w:lineRule="auto"/>
            </w:pPr>
            <w:r>
              <w:rPr>
                <w:rFonts w:ascii="Arial" w:hAnsi="Arial"/>
                <w:sz w:val="13"/>
              </w:rPr>
              <w:t>Connections and interfaces</w:t>
            </w:r>
          </w:p>
        </w:tc>
        <w:tc>
          <w:tcPr>
            <w:tcW w:type="dxa" w:w="1694"/>
            <w:vAlign w:val="top"/>
            <w:tcMar>
              <w:top w:w="75" w:type="dxa"/>
              <w:start w:w="75" w:type="dxa"/>
              <w:bottom w:w="75" w:type="dxa"/>
              <w:end w:w="75" w:type="dxa"/>
            </w:tcMar>
          </w:tcPr>
          <w:p>
            <w:pPr>
              <w:spacing w:after="30" w:line="240" w:lineRule="auto"/>
            </w:pPr>
            <w:r>
              <w:rPr>
                <w:rFonts w:ascii="Arial" w:hAnsi="Arial"/>
                <w:sz w:val="13"/>
              </w:rPr>
              <w:t>mechanical fastener</w:t>
            </w:r>
          </w:p>
        </w:tc>
        <w:tc>
          <w:tcPr>
            <w:tcW w:type="dxa" w:w="1694"/>
            <w:vAlign w:val="top"/>
            <w:tcMar>
              <w:top w:w="75" w:type="dxa"/>
              <w:start w:w="75" w:type="dxa"/>
              <w:bottom w:w="75" w:type="dxa"/>
              <w:end w:w="75" w:type="dxa"/>
            </w:tcMar>
          </w:tcPr>
          <w:p>
            <w:pPr>
              <w:spacing w:after="30" w:line="240" w:lineRule="auto"/>
            </w:pPr>
            <w:r>
              <w:rPr>
                <w:rFonts w:ascii="Arial" w:hAnsi="Arial"/>
                <w:sz w:val="13"/>
              </w:rPr>
              <w:t>Presence and type of bolts, screws, clips, or other mechanical fasteners.</w:t>
            </w:r>
          </w:p>
        </w:tc>
        <w:tc>
          <w:tcPr>
            <w:tcW w:type="dxa" w:w="1694"/>
            <w:vAlign w:val="top"/>
            <w:tcMar>
              <w:top w:w="75" w:type="dxa"/>
              <w:start w:w="75" w:type="dxa"/>
              <w:bottom w:w="75" w:type="dxa"/>
              <w:end w:w="75" w:type="dxa"/>
            </w:tcMar>
          </w:tcPr>
          <w:p>
            <w:pPr>
              <w:spacing w:after="30" w:line="240" w:lineRule="auto"/>
            </w:pPr>
            <w:r>
              <w:rPr>
                <w:rFonts w:ascii="Arial" w:hAnsi="Arial"/>
                <w:sz w:val="13"/>
              </w:rPr>
              <w:t>mechanical fastener; Connection type/fasteners</w:t>
            </w:r>
          </w:p>
        </w:tc>
        <w:tc>
          <w:tcPr>
            <w:tcW w:type="dxa" w:w="1694"/>
            <w:vAlign w:val="top"/>
            <w:tcMar>
              <w:top w:w="75" w:type="dxa"/>
              <w:start w:w="75" w:type="dxa"/>
              <w:bottom w:w="75" w:type="dxa"/>
              <w:end w:w="75" w:type="dxa"/>
            </w:tcMar>
          </w:tcPr>
          <w:p>
            <w:pPr>
              <w:spacing w:after="30" w:line="240" w:lineRule="auto"/>
            </w:pPr>
            <w:r>
              <w:rPr>
                <w:rFonts w:ascii="Arial" w:hAnsi="Arial"/>
                <w:sz w:val="13"/>
              </w:rPr>
              <w:t>37</w:t>
            </w:r>
          </w:p>
        </w:tc>
        <w:tc>
          <w:tcPr>
            <w:tcW w:type="dxa" w:w="1694"/>
            <w:vAlign w:val="top"/>
            <w:tcMar>
              <w:top w:w="75" w:type="dxa"/>
              <w:start w:w="75" w:type="dxa"/>
              <w:bottom w:w="75" w:type="dxa"/>
              <w:end w:w="75" w:type="dxa"/>
            </w:tcMar>
          </w:tcPr>
          <w:p>
            <w:pPr>
              <w:spacing w:after="30" w:line="240" w:lineRule="auto"/>
            </w:pPr>
            <w:r>
              <w:rPr>
                <w:rFonts w:ascii="Arial" w:hAnsi="Arial"/>
                <w:sz w:val="13"/>
              </w:rPr>
              <w:t>Core</w:t>
            </w:r>
          </w:p>
        </w:tc>
        <w:tc>
          <w:tcPr>
            <w:tcW w:type="dxa" w:w="1694"/>
            <w:vAlign w:val="top"/>
            <w:tcMar>
              <w:top w:w="75" w:type="dxa"/>
              <w:start w:w="75" w:type="dxa"/>
              <w:bottom w:w="75" w:type="dxa"/>
              <w:end w:w="75" w:type="dxa"/>
            </w:tcMar>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ATT-28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Design adaptability and standardization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modularity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Use of coordinated modules, grids, kits, or repeatable dimensional units.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modularity; Modularity/standardization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304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ATT-29</w:t>
            </w:r>
          </w:p>
        </w:tc>
        <w:tc>
          <w:tcPr>
            <w:tcW w:type="dxa" w:w="1694"/>
            <w:vAlign w:val="top"/>
            <w:tcMar>
              <w:top w:w="75" w:type="dxa"/>
              <w:start w:w="75" w:type="dxa"/>
              <w:bottom w:w="75" w:type="dxa"/>
              <w:end w:w="75" w:type="dxa"/>
            </w:tcMar>
          </w:tcPr>
          <w:p>
            <w:pPr>
              <w:spacing w:after="30" w:line="240" w:lineRule="auto"/>
            </w:pPr>
            <w:r>
              <w:rPr>
                <w:rFonts w:ascii="Arial" w:hAnsi="Arial"/>
                <w:sz w:val="13"/>
              </w:rPr>
              <w:t>Connections and interfaces</w:t>
            </w:r>
          </w:p>
        </w:tc>
        <w:tc>
          <w:tcPr>
            <w:tcW w:type="dxa" w:w="1694"/>
            <w:vAlign w:val="top"/>
            <w:tcMar>
              <w:top w:w="75" w:type="dxa"/>
              <w:start w:w="75" w:type="dxa"/>
              <w:bottom w:w="75" w:type="dxa"/>
              <w:end w:w="75" w:type="dxa"/>
            </w:tcMar>
          </w:tcPr>
          <w:p>
            <w:pPr>
              <w:spacing w:after="30" w:line="240" w:lineRule="auto"/>
            </w:pPr>
            <w:r>
              <w:rPr>
                <w:rFonts w:ascii="Arial" w:hAnsi="Arial"/>
                <w:sz w:val="13"/>
              </w:rPr>
              <w:t>permanent connection</w:t>
            </w:r>
          </w:p>
        </w:tc>
        <w:tc>
          <w:tcPr>
            <w:tcW w:type="dxa" w:w="1694"/>
            <w:vAlign w:val="top"/>
            <w:tcMar>
              <w:top w:w="75" w:type="dxa"/>
              <w:start w:w="75" w:type="dxa"/>
              <w:bottom w:w="75" w:type="dxa"/>
              <w:end w:w="75" w:type="dxa"/>
            </w:tcMar>
          </w:tcPr>
          <w:p>
            <w:pPr>
              <w:spacing w:after="30" w:line="240" w:lineRule="auto"/>
            </w:pPr>
            <w:r>
              <w:rPr>
                <w:rFonts w:ascii="Arial" w:hAnsi="Arial"/>
                <w:sz w:val="13"/>
              </w:rPr>
              <w:t>Presence of irreversible or difficult-to-separate joining methods.</w:t>
            </w:r>
          </w:p>
        </w:tc>
        <w:tc>
          <w:tcPr>
            <w:tcW w:type="dxa" w:w="1694"/>
            <w:vAlign w:val="top"/>
            <w:tcMar>
              <w:top w:w="75" w:type="dxa"/>
              <w:start w:w="75" w:type="dxa"/>
              <w:bottom w:w="75" w:type="dxa"/>
              <w:end w:w="75" w:type="dxa"/>
            </w:tcMar>
          </w:tcPr>
          <w:p>
            <w:pPr>
              <w:spacing w:after="30" w:line="240" w:lineRule="auto"/>
            </w:pPr>
            <w:r>
              <w:rPr>
                <w:rFonts w:ascii="Arial" w:hAnsi="Arial"/>
                <w:sz w:val="13"/>
              </w:rPr>
              <w:t>permanent connection; Connection type/fasteners</w:t>
            </w:r>
          </w:p>
        </w:tc>
        <w:tc>
          <w:tcPr>
            <w:tcW w:type="dxa" w:w="1694"/>
            <w:vAlign w:val="top"/>
            <w:tcMar>
              <w:top w:w="75" w:type="dxa"/>
              <w:start w:w="75" w:type="dxa"/>
              <w:bottom w:w="75" w:type="dxa"/>
              <w:end w:w="75" w:type="dxa"/>
            </w:tcMar>
          </w:tcPr>
          <w:p>
            <w:pPr>
              <w:spacing w:after="30" w:line="240" w:lineRule="auto"/>
            </w:pPr>
            <w:r>
              <w:rPr>
                <w:rFonts w:ascii="Arial" w:hAnsi="Arial"/>
                <w:sz w:val="13"/>
              </w:rPr>
              <w:t>35</w:t>
            </w:r>
          </w:p>
        </w:tc>
        <w:tc>
          <w:tcPr>
            <w:tcW w:type="dxa" w:w="1694"/>
            <w:vAlign w:val="top"/>
            <w:tcMar>
              <w:top w:w="75" w:type="dxa"/>
              <w:start w:w="75" w:type="dxa"/>
              <w:bottom w:w="75" w:type="dxa"/>
              <w:end w:w="75" w:type="dxa"/>
            </w:tcMar>
          </w:tcPr>
          <w:p>
            <w:pPr>
              <w:spacing w:after="30" w:line="240" w:lineRule="auto"/>
            </w:pPr>
            <w:r>
              <w:rPr>
                <w:rFonts w:ascii="Arial" w:hAnsi="Arial"/>
                <w:sz w:val="13"/>
              </w:rPr>
              <w:t>Core</w:t>
            </w:r>
          </w:p>
        </w:tc>
        <w:tc>
          <w:tcPr>
            <w:tcW w:type="dxa" w:w="1694"/>
            <w:vAlign w:val="top"/>
            <w:tcMar>
              <w:top w:w="75" w:type="dxa"/>
              <w:start w:w="75" w:type="dxa"/>
              <w:bottom w:w="75" w:type="dxa"/>
              <w:end w:w="75" w:type="dxa"/>
            </w:tcMar>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ATT-30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Product and provenance metadata</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product passport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Structured product-level identity, properties, provenance, and circularity record.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product passport; EPD/passport documentation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61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ATT-31</w:t>
            </w:r>
          </w:p>
        </w:tc>
        <w:tc>
          <w:tcPr>
            <w:tcW w:type="dxa" w:w="1694"/>
            <w:vAlign w:val="top"/>
            <w:tcMar>
              <w:top w:w="75" w:type="dxa"/>
              <w:start w:w="75" w:type="dxa"/>
              <w:bottom w:w="75" w:type="dxa"/>
              <w:end w:w="75" w:type="dxa"/>
            </w:tcMar>
          </w:tcPr>
          <w:p>
            <w:pPr>
              <w:spacing w:after="30" w:line="240" w:lineRule="auto"/>
            </w:pPr>
            <w:r>
              <w:rPr>
                <w:rFonts w:ascii="Arial" w:hAnsi="Arial"/>
                <w:sz w:val="13"/>
              </w:rPr>
              <w:t>Reuse, recycling, and recovery</w:t>
            </w:r>
          </w:p>
        </w:tc>
        <w:tc>
          <w:tcPr>
            <w:tcW w:type="dxa" w:w="1694"/>
            <w:vAlign w:val="top"/>
            <w:tcMar>
              <w:top w:w="75" w:type="dxa"/>
              <w:start w:w="75" w:type="dxa"/>
              <w:bottom w:w="75" w:type="dxa"/>
              <w:end w:w="75" w:type="dxa"/>
            </w:tcMar>
          </w:tcPr>
          <w:p>
            <w:pPr>
              <w:spacing w:after="30" w:line="240" w:lineRule="auto"/>
            </w:pPr>
            <w:r>
              <w:rPr>
                <w:rFonts w:ascii="Arial" w:hAnsi="Arial"/>
                <w:sz w:val="13"/>
              </w:rPr>
              <w:t>recovery potential</w:t>
            </w:r>
          </w:p>
        </w:tc>
        <w:tc>
          <w:tcPr>
            <w:tcW w:type="dxa" w:w="1694"/>
            <w:vAlign w:val="top"/>
            <w:tcMar>
              <w:top w:w="75" w:type="dxa"/>
              <w:start w:w="75" w:type="dxa"/>
              <w:bottom w:w="75" w:type="dxa"/>
              <w:end w:w="75" w:type="dxa"/>
            </w:tcMar>
          </w:tcPr>
          <w:p>
            <w:pPr>
              <w:spacing w:after="30" w:line="240" w:lineRule="auto"/>
            </w:pPr>
            <w:r>
              <w:rPr>
                <w:rFonts w:ascii="Arial" w:hAnsi="Arial"/>
                <w:sz w:val="13"/>
              </w:rPr>
              <w:t>Potential for recovery through reuse, remanufacture, recycling, or other pathways.</w:t>
            </w:r>
          </w:p>
        </w:tc>
        <w:tc>
          <w:tcPr>
            <w:tcW w:type="dxa" w:w="1694"/>
            <w:vAlign w:val="top"/>
            <w:tcMar>
              <w:top w:w="75" w:type="dxa"/>
              <w:start w:w="75" w:type="dxa"/>
              <w:bottom w:w="75" w:type="dxa"/>
              <w:end w:w="75" w:type="dxa"/>
            </w:tcMar>
          </w:tcPr>
          <w:p>
            <w:pPr>
              <w:spacing w:after="30" w:line="240" w:lineRule="auto"/>
            </w:pPr>
            <w:r>
              <w:rPr>
                <w:rFonts w:ascii="Arial" w:hAnsi="Arial"/>
                <w:sz w:val="13"/>
              </w:rPr>
              <w:t>recovery potential; Recyclability/recovery potential</w:t>
            </w:r>
          </w:p>
        </w:tc>
        <w:tc>
          <w:tcPr>
            <w:tcW w:type="dxa" w:w="1694"/>
            <w:vAlign w:val="top"/>
            <w:tcMar>
              <w:top w:w="75" w:type="dxa"/>
              <w:start w:w="75" w:type="dxa"/>
              <w:bottom w:w="75" w:type="dxa"/>
              <w:end w:w="75" w:type="dxa"/>
            </w:tcMar>
          </w:tcPr>
          <w:p>
            <w:pPr>
              <w:spacing w:after="30" w:line="240" w:lineRule="auto"/>
            </w:pPr>
            <w:r>
              <w:rPr>
                <w:rFonts w:ascii="Arial" w:hAnsi="Arial"/>
                <w:sz w:val="13"/>
              </w:rPr>
              <w:t>88</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Scenario-dependent</w:t>
            </w:r>
          </w:p>
        </w:tc>
        <w:tc>
          <w:tcPr>
            <w:tcW w:type="dxa" w:w="1694"/>
            <w:vAlign w:val="top"/>
            <w:tcMar>
              <w:top w:w="75" w:type="dxa"/>
              <w:start w:w="75" w:type="dxa"/>
              <w:bottom w:w="75" w:type="dxa"/>
              <w:end w:w="75" w:type="dxa"/>
            </w:tcMar>
          </w:tcPr>
          <w:p>
            <w:pPr>
              <w:spacing w:after="30" w:line="240" w:lineRule="auto"/>
            </w:pPr>
            <w:r>
              <w:rPr>
                <w:rFonts w:ascii="Arial" w:hAnsi="Arial"/>
                <w:sz w:val="13"/>
              </w:rPr>
              <w:t>The attribute can be operationalized, but its value remains conditional on future conditions, assumptions, or judgment.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ATT-32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Material identity and composition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recycled content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Share of recycled feedstock in a material or product.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recycled content; Circular material content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38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Requirement known, provenance weak</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 least one implementation was detected, but source and timing reporting are insufficient.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ATT-33</w:t>
            </w:r>
          </w:p>
        </w:tc>
        <w:tc>
          <w:tcPr>
            <w:tcW w:type="dxa" w:w="1694"/>
            <w:vAlign w:val="top"/>
            <w:tcMar>
              <w:top w:w="75" w:type="dxa"/>
              <w:start w:w="75" w:type="dxa"/>
              <w:bottom w:w="75" w:type="dxa"/>
              <w:end w:w="75" w:type="dxa"/>
            </w:tcMar>
          </w:tcPr>
          <w:p>
            <w:pPr>
              <w:spacing w:after="30" w:line="240" w:lineRule="auto"/>
            </w:pPr>
            <w:r>
              <w:rPr>
                <w:rFonts w:ascii="Arial" w:hAnsi="Arial"/>
                <w:sz w:val="13"/>
              </w:rPr>
              <w:t>Reuse, recycling, and recovery</w:t>
            </w:r>
          </w:p>
        </w:tc>
        <w:tc>
          <w:tcPr>
            <w:tcW w:type="dxa" w:w="1694"/>
            <w:vAlign w:val="top"/>
            <w:tcMar>
              <w:top w:w="75" w:type="dxa"/>
              <w:start w:w="75" w:type="dxa"/>
              <w:bottom w:w="75" w:type="dxa"/>
              <w:end w:w="75" w:type="dxa"/>
            </w:tcMar>
          </w:tcPr>
          <w:p>
            <w:pPr>
              <w:spacing w:after="30" w:line="240" w:lineRule="auto"/>
            </w:pPr>
            <w:r>
              <w:rPr>
                <w:rFonts w:ascii="Arial" w:hAnsi="Arial"/>
                <w:sz w:val="13"/>
              </w:rPr>
              <w:t>recycling potential</w:t>
            </w:r>
          </w:p>
        </w:tc>
        <w:tc>
          <w:tcPr>
            <w:tcW w:type="dxa" w:w="1694"/>
            <w:vAlign w:val="top"/>
            <w:tcMar>
              <w:top w:w="75" w:type="dxa"/>
              <w:start w:w="75" w:type="dxa"/>
              <w:bottom w:w="75" w:type="dxa"/>
              <w:end w:w="75" w:type="dxa"/>
            </w:tcMar>
          </w:tcPr>
          <w:p>
            <w:pPr>
              <w:spacing w:after="30" w:line="240" w:lineRule="auto"/>
            </w:pPr>
            <w:r>
              <w:rPr>
                <w:rFonts w:ascii="Arial" w:hAnsi="Arial"/>
                <w:sz w:val="13"/>
              </w:rPr>
              <w:t>Potential for a material or component to be recycled under specified conditions.</w:t>
            </w:r>
          </w:p>
        </w:tc>
        <w:tc>
          <w:tcPr>
            <w:tcW w:type="dxa" w:w="1694"/>
            <w:vAlign w:val="top"/>
            <w:tcMar>
              <w:top w:w="75" w:type="dxa"/>
              <w:start w:w="75" w:type="dxa"/>
              <w:bottom w:w="75" w:type="dxa"/>
              <w:end w:w="75" w:type="dxa"/>
            </w:tcMar>
          </w:tcPr>
          <w:p>
            <w:pPr>
              <w:spacing w:after="30" w:line="240" w:lineRule="auto"/>
            </w:pPr>
            <w:r>
              <w:rPr>
                <w:rFonts w:ascii="Arial" w:hAnsi="Arial"/>
                <w:sz w:val="13"/>
              </w:rPr>
              <w:t>recycling potential; Recyclability/recovery potential</w:t>
            </w:r>
          </w:p>
        </w:tc>
        <w:tc>
          <w:tcPr>
            <w:tcW w:type="dxa" w:w="1694"/>
            <w:vAlign w:val="top"/>
            <w:tcMar>
              <w:top w:w="75" w:type="dxa"/>
              <w:start w:w="75" w:type="dxa"/>
              <w:bottom w:w="75" w:type="dxa"/>
              <w:end w:w="75" w:type="dxa"/>
            </w:tcMar>
          </w:tcPr>
          <w:p>
            <w:pPr>
              <w:spacing w:after="30" w:line="240" w:lineRule="auto"/>
            </w:pPr>
            <w:r>
              <w:rPr>
                <w:rFonts w:ascii="Arial" w:hAnsi="Arial"/>
                <w:sz w:val="13"/>
              </w:rPr>
              <w:t>288</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Scenario-dependent</w:t>
            </w:r>
          </w:p>
        </w:tc>
        <w:tc>
          <w:tcPr>
            <w:tcW w:type="dxa" w:w="1694"/>
            <w:vAlign w:val="top"/>
            <w:tcMar>
              <w:top w:w="75" w:type="dxa"/>
              <w:start w:w="75" w:type="dxa"/>
              <w:bottom w:w="75" w:type="dxa"/>
              <w:end w:w="75" w:type="dxa"/>
            </w:tcMar>
          </w:tcPr>
          <w:p>
            <w:pPr>
              <w:spacing w:after="30" w:line="240" w:lineRule="auto"/>
            </w:pPr>
            <w:r>
              <w:rPr>
                <w:rFonts w:ascii="Arial" w:hAnsi="Arial"/>
                <w:sz w:val="13"/>
              </w:rPr>
              <w:t>The attribute can be operationalized, but its value remains conditional on future conditions, assumptions, or judgment.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ATT-34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Material identity and composition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renewable content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Share of renewable or bio-based content in a material or product.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renewable content; Circular material content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53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Requirement known, provenance weak</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The attribute is repeatedly required, but implementation/provenance evidence is weak or absent.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ATT-35</w:t>
            </w:r>
          </w:p>
        </w:tc>
        <w:tc>
          <w:tcPr>
            <w:tcW w:type="dxa" w:w="1694"/>
            <w:vAlign w:val="top"/>
            <w:tcMar>
              <w:top w:w="75" w:type="dxa"/>
              <w:start w:w="75" w:type="dxa"/>
              <w:bottom w:w="75" w:type="dxa"/>
              <w:end w:w="75" w:type="dxa"/>
            </w:tcMar>
          </w:tcPr>
          <w:p>
            <w:pPr>
              <w:spacing w:after="30" w:line="240" w:lineRule="auto"/>
            </w:pPr>
            <w:r>
              <w:rPr>
                <w:rFonts w:ascii="Arial" w:hAnsi="Arial"/>
                <w:sz w:val="13"/>
              </w:rPr>
              <w:t>Service, maintenance, and replacement</w:t>
            </w:r>
          </w:p>
        </w:tc>
        <w:tc>
          <w:tcPr>
            <w:tcW w:type="dxa" w:w="1694"/>
            <w:vAlign w:val="top"/>
            <w:tcMar>
              <w:top w:w="75" w:type="dxa"/>
              <w:start w:w="75" w:type="dxa"/>
              <w:bottom w:w="75" w:type="dxa"/>
              <w:end w:w="75" w:type="dxa"/>
            </w:tcMar>
          </w:tcPr>
          <w:p>
            <w:pPr>
              <w:spacing w:after="30" w:line="240" w:lineRule="auto"/>
            </w:pPr>
            <w:r>
              <w:rPr>
                <w:rFonts w:ascii="Arial" w:hAnsi="Arial"/>
                <w:sz w:val="13"/>
              </w:rPr>
              <w:t>repairability</w:t>
            </w:r>
          </w:p>
        </w:tc>
        <w:tc>
          <w:tcPr>
            <w:tcW w:type="dxa" w:w="1694"/>
            <w:vAlign w:val="top"/>
            <w:tcMar>
              <w:top w:w="75" w:type="dxa"/>
              <w:start w:w="75" w:type="dxa"/>
              <w:bottom w:w="75" w:type="dxa"/>
              <w:end w:w="75" w:type="dxa"/>
            </w:tcMar>
          </w:tcPr>
          <w:p>
            <w:pPr>
              <w:spacing w:after="30" w:line="240" w:lineRule="auto"/>
            </w:pPr>
            <w:r>
              <w:rPr>
                <w:rFonts w:ascii="Arial" w:hAnsi="Arial"/>
                <w:sz w:val="13"/>
              </w:rPr>
              <w:t>Ease and feasibility of repairing a component or system.</w:t>
            </w:r>
          </w:p>
        </w:tc>
        <w:tc>
          <w:tcPr>
            <w:tcW w:type="dxa" w:w="1694"/>
            <w:vAlign w:val="top"/>
            <w:tcMar>
              <w:top w:w="75" w:type="dxa"/>
              <w:start w:w="75" w:type="dxa"/>
              <w:bottom w:w="75" w:type="dxa"/>
              <w:end w:w="75" w:type="dxa"/>
            </w:tcMar>
          </w:tcPr>
          <w:p>
            <w:pPr>
              <w:spacing w:after="30" w:line="240" w:lineRule="auto"/>
            </w:pPr>
            <w:r>
              <w:rPr>
                <w:rFonts w:ascii="Arial" w:hAnsi="Arial"/>
                <w:sz w:val="13"/>
              </w:rPr>
              <w:t>repairability; Repair/maintenance/replaceability</w:t>
            </w:r>
          </w:p>
        </w:tc>
        <w:tc>
          <w:tcPr>
            <w:tcW w:type="dxa" w:w="1694"/>
            <w:vAlign w:val="top"/>
            <w:tcMar>
              <w:top w:w="75" w:type="dxa"/>
              <w:start w:w="75" w:type="dxa"/>
              <w:bottom w:w="75" w:type="dxa"/>
              <w:end w:w="75" w:type="dxa"/>
            </w:tcMar>
          </w:tcPr>
          <w:p>
            <w:pPr>
              <w:spacing w:after="30" w:line="240" w:lineRule="auto"/>
            </w:pPr>
            <w:r>
              <w:rPr>
                <w:rFonts w:ascii="Arial" w:hAnsi="Arial"/>
                <w:sz w:val="13"/>
              </w:rPr>
              <w:t>20</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Requirement known, provenance weak</w:t>
            </w:r>
          </w:p>
        </w:tc>
        <w:tc>
          <w:tcPr>
            <w:tcW w:type="dxa" w:w="1694"/>
            <w:vAlign w:val="top"/>
            <w:tcMar>
              <w:top w:w="75" w:type="dxa"/>
              <w:start w:w="75" w:type="dxa"/>
              <w:bottom w:w="75" w:type="dxa"/>
              <w:end w:w="75" w:type="dxa"/>
            </w:tcMar>
          </w:tcPr>
          <w:p>
            <w:pPr>
              <w:spacing w:after="30" w:line="240" w:lineRule="auto"/>
            </w:pPr>
            <w:r>
              <w:rPr>
                <w:rFonts w:ascii="Arial" w:hAnsi="Arial"/>
                <w:sz w:val="13"/>
              </w:rPr>
              <w:t>At least one implementation was detected, but source and timing reporting are insufficient.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ATT-36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Service, maintenance, and replacement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replaceability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Ease and feasibility of replacing a component without disproportionate disturbance.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replaceability; Repair/maintenance/replaceability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Requirement known, provenance weak</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The attribute is repeatedly required, but implementation/provenance evidence is weak or absent.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ATT-37</w:t>
            </w:r>
          </w:p>
        </w:tc>
        <w:tc>
          <w:tcPr>
            <w:tcW w:type="dxa" w:w="1694"/>
            <w:vAlign w:val="top"/>
            <w:tcMar>
              <w:top w:w="75" w:type="dxa"/>
              <w:start w:w="75" w:type="dxa"/>
              <w:bottom w:w="75" w:type="dxa"/>
              <w:end w:w="75" w:type="dxa"/>
            </w:tcMar>
          </w:tcPr>
          <w:p>
            <w:pPr>
              <w:spacing w:after="30" w:line="240" w:lineRule="auto"/>
            </w:pPr>
            <w:r>
              <w:rPr>
                <w:rFonts w:ascii="Arial" w:hAnsi="Arial"/>
                <w:sz w:val="13"/>
              </w:rPr>
              <w:t>Reuse, recycling, and recovery</w:t>
            </w:r>
          </w:p>
        </w:tc>
        <w:tc>
          <w:tcPr>
            <w:tcW w:type="dxa" w:w="1694"/>
            <w:vAlign w:val="top"/>
            <w:tcMar>
              <w:top w:w="75" w:type="dxa"/>
              <w:start w:w="75" w:type="dxa"/>
              <w:bottom w:w="75" w:type="dxa"/>
              <w:end w:w="75" w:type="dxa"/>
            </w:tcMar>
          </w:tcPr>
          <w:p>
            <w:pPr>
              <w:spacing w:after="30" w:line="240" w:lineRule="auto"/>
            </w:pPr>
            <w:r>
              <w:rPr>
                <w:rFonts w:ascii="Arial" w:hAnsi="Arial"/>
                <w:sz w:val="13"/>
              </w:rPr>
              <w:t>reuse potential</w:t>
            </w:r>
          </w:p>
        </w:tc>
        <w:tc>
          <w:tcPr>
            <w:tcW w:type="dxa" w:w="1694"/>
            <w:vAlign w:val="top"/>
            <w:tcMar>
              <w:top w:w="75" w:type="dxa"/>
              <w:start w:w="75" w:type="dxa"/>
              <w:bottom w:w="75" w:type="dxa"/>
              <w:end w:w="75" w:type="dxa"/>
            </w:tcMar>
          </w:tcPr>
          <w:p>
            <w:pPr>
              <w:spacing w:after="30" w:line="240" w:lineRule="auto"/>
            </w:pPr>
            <w:r>
              <w:rPr>
                <w:rFonts w:ascii="Arial" w:hAnsi="Arial"/>
                <w:sz w:val="13"/>
              </w:rPr>
              <w:t>Potential for a component or material to be reused in the same or another application.</w:t>
            </w:r>
          </w:p>
        </w:tc>
        <w:tc>
          <w:tcPr>
            <w:tcW w:type="dxa" w:w="1694"/>
            <w:vAlign w:val="top"/>
            <w:tcMar>
              <w:top w:w="75" w:type="dxa"/>
              <w:start w:w="75" w:type="dxa"/>
              <w:bottom w:w="75" w:type="dxa"/>
              <w:end w:w="75" w:type="dxa"/>
            </w:tcMar>
          </w:tcPr>
          <w:p>
            <w:pPr>
              <w:spacing w:after="30" w:line="240" w:lineRule="auto"/>
            </w:pPr>
            <w:r>
              <w:rPr>
                <w:rFonts w:ascii="Arial" w:hAnsi="Arial"/>
                <w:sz w:val="13"/>
              </w:rPr>
              <w:t>reuse potential</w:t>
            </w:r>
          </w:p>
        </w:tc>
        <w:tc>
          <w:tcPr>
            <w:tcW w:type="dxa" w:w="1694"/>
            <w:vAlign w:val="top"/>
            <w:tcMar>
              <w:top w:w="75" w:type="dxa"/>
              <w:start w:w="75" w:type="dxa"/>
              <w:bottom w:w="75" w:type="dxa"/>
              <w:end w:w="75" w:type="dxa"/>
            </w:tcMar>
          </w:tcPr>
          <w:p>
            <w:pPr>
              <w:spacing w:after="30" w:line="240" w:lineRule="auto"/>
            </w:pPr>
            <w:r>
              <w:rPr>
                <w:rFonts w:ascii="Arial" w:hAnsi="Arial"/>
                <w:sz w:val="13"/>
              </w:rPr>
              <w:t>562</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Scenario-dependent</w:t>
            </w:r>
          </w:p>
        </w:tc>
        <w:tc>
          <w:tcPr>
            <w:tcW w:type="dxa" w:w="1694"/>
            <w:vAlign w:val="top"/>
            <w:tcMar>
              <w:top w:w="75" w:type="dxa"/>
              <w:start w:w="75" w:type="dxa"/>
              <w:bottom w:w="75" w:type="dxa"/>
              <w:end w:w="75" w:type="dxa"/>
            </w:tcMar>
          </w:tcPr>
          <w:p>
            <w:pPr>
              <w:spacing w:after="30" w:line="240" w:lineRule="auto"/>
            </w:pPr>
            <w:r>
              <w:rPr>
                <w:rFonts w:ascii="Arial" w:hAnsi="Arial"/>
                <w:sz w:val="13"/>
              </w:rPr>
              <w:t>The attribute can be operationalized, but its value remains conditional on future conditions, assumptions, or judgment.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ATT-38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Connections and interfaces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reversible connection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Connection that can be undone without unacceptable damage to joined parts.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reversible connection; Connection reversibility/separability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119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ATT-39</w:t>
            </w:r>
          </w:p>
        </w:tc>
        <w:tc>
          <w:tcPr>
            <w:tcW w:type="dxa" w:w="1694"/>
            <w:vAlign w:val="top"/>
            <w:tcMar>
              <w:top w:w="75" w:type="dxa"/>
              <w:start w:w="75" w:type="dxa"/>
              <w:bottom w:w="75" w:type="dxa"/>
              <w:end w:w="75" w:type="dxa"/>
            </w:tcMar>
          </w:tcPr>
          <w:p>
            <w:pPr>
              <w:spacing w:after="30" w:line="240" w:lineRule="auto"/>
            </w:pPr>
            <w:r>
              <w:rPr>
                <w:rFonts w:ascii="Arial" w:hAnsi="Arial"/>
                <w:sz w:val="13"/>
              </w:rPr>
              <w:t>Scenario and expert inputs</w:t>
            </w:r>
          </w:p>
        </w:tc>
        <w:tc>
          <w:tcPr>
            <w:tcW w:type="dxa" w:w="1694"/>
            <w:vAlign w:val="top"/>
            <w:tcMar>
              <w:top w:w="75" w:type="dxa"/>
              <w:start w:w="75" w:type="dxa"/>
              <w:bottom w:w="75" w:type="dxa"/>
              <w:end w:w="75" w:type="dxa"/>
            </w:tcMar>
          </w:tcPr>
          <w:p>
            <w:pPr>
              <w:spacing w:after="30" w:line="240" w:lineRule="auto"/>
            </w:pPr>
            <w:r>
              <w:rPr>
                <w:rFonts w:ascii="Arial" w:hAnsi="Arial"/>
                <w:sz w:val="13"/>
              </w:rPr>
              <w:t>scenario assumptions</w:t>
            </w:r>
          </w:p>
        </w:tc>
        <w:tc>
          <w:tcPr>
            <w:tcW w:type="dxa" w:w="1694"/>
            <w:vAlign w:val="top"/>
            <w:tcMar>
              <w:top w:w="75" w:type="dxa"/>
              <w:start w:w="75" w:type="dxa"/>
              <w:bottom w:w="75" w:type="dxa"/>
              <w:end w:w="75" w:type="dxa"/>
            </w:tcMar>
          </w:tcPr>
          <w:p>
            <w:pPr>
              <w:spacing w:after="30" w:line="240" w:lineRule="auto"/>
            </w:pPr>
            <w:r>
              <w:rPr>
                <w:rFonts w:ascii="Arial" w:hAnsi="Arial"/>
                <w:sz w:val="13"/>
              </w:rPr>
              <w:t>Explicit assumptions describing future use, lifetime, recovery, market, or system conditions.</w:t>
            </w:r>
          </w:p>
        </w:tc>
        <w:tc>
          <w:tcPr>
            <w:tcW w:type="dxa" w:w="1694"/>
            <w:vAlign w:val="top"/>
            <w:tcMar>
              <w:top w:w="75" w:type="dxa"/>
              <w:start w:w="75" w:type="dxa"/>
              <w:bottom w:w="75" w:type="dxa"/>
              <w:end w:w="75" w:type="dxa"/>
            </w:tcMar>
          </w:tcPr>
          <w:p>
            <w:pPr>
              <w:spacing w:after="30" w:line="240" w:lineRule="auto"/>
            </w:pPr>
            <w:r>
              <w:rPr>
                <w:rFonts w:ascii="Arial" w:hAnsi="Arial"/>
                <w:sz w:val="13"/>
              </w:rPr>
              <w:t>scenario assumptions; Scenario/expert assumptions</w:t>
            </w:r>
          </w:p>
        </w:tc>
        <w:tc>
          <w:tcPr>
            <w:tcW w:type="dxa" w:w="1694"/>
            <w:vAlign w:val="top"/>
            <w:tcMar>
              <w:top w:w="75" w:type="dxa"/>
              <w:start w:w="75" w:type="dxa"/>
              <w:bottom w:w="75" w:type="dxa"/>
              <w:end w:w="75" w:type="dxa"/>
            </w:tcMar>
          </w:tcPr>
          <w:p>
            <w:pPr>
              <w:spacing w:after="30" w:line="240" w:lineRule="auto"/>
            </w:pPr>
            <w:r>
              <w:rPr>
                <w:rFonts w:ascii="Arial" w:hAnsi="Arial"/>
                <w:sz w:val="13"/>
              </w:rPr>
              <w:t>280</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Scenario-dependent</w:t>
            </w:r>
          </w:p>
        </w:tc>
        <w:tc>
          <w:tcPr>
            <w:tcW w:type="dxa" w:w="1694"/>
            <w:vAlign w:val="top"/>
            <w:tcMar>
              <w:top w:w="75" w:type="dxa"/>
              <w:start w:w="75" w:type="dxa"/>
              <w:bottom w:w="75" w:type="dxa"/>
              <w:end w:w="75" w:type="dxa"/>
            </w:tcMar>
          </w:tcPr>
          <w:p>
            <w:pPr>
              <w:spacing w:after="30" w:line="240" w:lineRule="auto"/>
            </w:pPr>
            <w:r>
              <w:rPr>
                <w:rFonts w:ascii="Arial" w:hAnsi="Arial"/>
                <w:sz w:val="13"/>
              </w:rPr>
              <w:t>The attribute can be operationalized, but its value remains conditional on future conditions, assumptions, or judgment.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ATT-40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Connections and interfaces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separability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Ability to separate materials or components without contamination or destructive loss.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separability; Connection reversibility/separability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27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Requirement known, provenance weak</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 least one implementation was detected, but source and timing reporting are insufficient.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ATT-41</w:t>
            </w:r>
          </w:p>
        </w:tc>
        <w:tc>
          <w:tcPr>
            <w:tcW w:type="dxa" w:w="1694"/>
            <w:vAlign w:val="top"/>
            <w:tcMar>
              <w:top w:w="75" w:type="dxa"/>
              <w:start w:w="75" w:type="dxa"/>
              <w:bottom w:w="75" w:type="dxa"/>
              <w:end w:w="75" w:type="dxa"/>
            </w:tcMar>
          </w:tcPr>
          <w:p>
            <w:pPr>
              <w:spacing w:after="30" w:line="240" w:lineRule="auto"/>
            </w:pPr>
            <w:r>
              <w:rPr>
                <w:rFonts w:ascii="Arial" w:hAnsi="Arial"/>
                <w:sz w:val="13"/>
              </w:rPr>
              <w:t>Service, maintenance, and replacement</w:t>
            </w:r>
          </w:p>
        </w:tc>
        <w:tc>
          <w:tcPr>
            <w:tcW w:type="dxa" w:w="1694"/>
            <w:vAlign w:val="top"/>
            <w:tcMar>
              <w:top w:w="75" w:type="dxa"/>
              <w:start w:w="75" w:type="dxa"/>
              <w:bottom w:w="75" w:type="dxa"/>
              <w:end w:w="75" w:type="dxa"/>
            </w:tcMar>
          </w:tcPr>
          <w:p>
            <w:pPr>
              <w:spacing w:after="30" w:line="240" w:lineRule="auto"/>
            </w:pPr>
            <w:r>
              <w:rPr>
                <w:rFonts w:ascii="Arial" w:hAnsi="Arial"/>
                <w:sz w:val="13"/>
              </w:rPr>
              <w:t>service life</w:t>
            </w:r>
          </w:p>
        </w:tc>
        <w:tc>
          <w:tcPr>
            <w:tcW w:type="dxa" w:w="1694"/>
            <w:vAlign w:val="top"/>
            <w:tcMar>
              <w:top w:w="75" w:type="dxa"/>
              <w:start w:w="75" w:type="dxa"/>
              <w:bottom w:w="75" w:type="dxa"/>
              <w:end w:w="75" w:type="dxa"/>
            </w:tcMar>
          </w:tcPr>
          <w:p>
            <w:pPr>
              <w:spacing w:after="30" w:line="240" w:lineRule="auto"/>
            </w:pPr>
            <w:r>
              <w:rPr>
                <w:rFonts w:ascii="Arial" w:hAnsi="Arial"/>
                <w:sz w:val="13"/>
              </w:rPr>
              <w:t>Expected or actual period over which a building, component, or material remains functional.</w:t>
            </w:r>
          </w:p>
        </w:tc>
        <w:tc>
          <w:tcPr>
            <w:tcW w:type="dxa" w:w="1694"/>
            <w:vAlign w:val="top"/>
            <w:tcMar>
              <w:top w:w="75" w:type="dxa"/>
              <w:start w:w="75" w:type="dxa"/>
              <w:bottom w:w="75" w:type="dxa"/>
              <w:end w:w="75" w:type="dxa"/>
            </w:tcMar>
          </w:tcPr>
          <w:p>
            <w:pPr>
              <w:spacing w:after="30" w:line="240" w:lineRule="auto"/>
            </w:pPr>
            <w:r>
              <w:rPr>
                <w:rFonts w:ascii="Arial" w:hAnsi="Arial"/>
                <w:sz w:val="13"/>
              </w:rPr>
              <w:t>service life</w:t>
            </w:r>
          </w:p>
        </w:tc>
        <w:tc>
          <w:tcPr>
            <w:tcW w:type="dxa" w:w="1694"/>
            <w:vAlign w:val="top"/>
            <w:tcMar>
              <w:top w:w="75" w:type="dxa"/>
              <w:start w:w="75" w:type="dxa"/>
              <w:bottom w:w="75" w:type="dxa"/>
              <w:end w:w="75" w:type="dxa"/>
            </w:tcMar>
          </w:tcPr>
          <w:p>
            <w:pPr>
              <w:spacing w:after="30" w:line="240" w:lineRule="auto"/>
            </w:pPr>
            <w:r>
              <w:rPr>
                <w:rFonts w:ascii="Arial" w:hAnsi="Arial"/>
                <w:sz w:val="13"/>
              </w:rPr>
              <w:t>273</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ATT-42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Design adaptability and standardization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standardization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Use of standard sizes, interfaces, products, or repeated component rules.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standardization; Modularity/standardization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449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ATT-43</w:t>
            </w:r>
          </w:p>
        </w:tc>
        <w:tc>
          <w:tcPr>
            <w:tcW w:type="dxa" w:w="1694"/>
            <w:vAlign w:val="top"/>
            <w:tcMar>
              <w:top w:w="75" w:type="dxa"/>
              <w:start w:w="75" w:type="dxa"/>
              <w:bottom w:w="75" w:type="dxa"/>
              <w:end w:w="75" w:type="dxa"/>
            </w:tcMar>
          </w:tcPr>
          <w:p>
            <w:pPr>
              <w:spacing w:after="30" w:line="240" w:lineRule="auto"/>
            </w:pPr>
            <w:r>
              <w:rPr>
                <w:rFonts w:ascii="Arial" w:hAnsi="Arial"/>
                <w:sz w:val="13"/>
              </w:rPr>
              <w:t>Supply, take-back, and market conditions</w:t>
            </w:r>
          </w:p>
        </w:tc>
        <w:tc>
          <w:tcPr>
            <w:tcW w:type="dxa" w:w="1694"/>
            <w:vAlign w:val="top"/>
            <w:tcMar>
              <w:top w:w="75" w:type="dxa"/>
              <w:start w:w="75" w:type="dxa"/>
              <w:bottom w:w="75" w:type="dxa"/>
              <w:end w:w="75" w:type="dxa"/>
            </w:tcMar>
          </w:tcPr>
          <w:p>
            <w:pPr>
              <w:spacing w:after="30" w:line="240" w:lineRule="auto"/>
            </w:pPr>
            <w:r>
              <w:rPr>
                <w:rFonts w:ascii="Arial" w:hAnsi="Arial"/>
                <w:sz w:val="13"/>
              </w:rPr>
              <w:t>supply-chain information</w:t>
            </w:r>
          </w:p>
        </w:tc>
        <w:tc>
          <w:tcPr>
            <w:tcW w:type="dxa" w:w="1694"/>
            <w:vAlign w:val="top"/>
            <w:tcMar>
              <w:top w:w="75" w:type="dxa"/>
              <w:start w:w="75" w:type="dxa"/>
              <w:bottom w:w="75" w:type="dxa"/>
              <w:end w:w="75" w:type="dxa"/>
            </w:tcMar>
          </w:tcPr>
          <w:p>
            <w:pPr>
              <w:spacing w:after="30" w:line="240" w:lineRule="auto"/>
            </w:pPr>
            <w:r>
              <w:rPr>
                <w:rFonts w:ascii="Arial" w:hAnsi="Arial"/>
                <w:sz w:val="13"/>
              </w:rPr>
              <w:t>Supplier availability, sourcing, provenance, logistics, and procurement information.</w:t>
            </w:r>
          </w:p>
        </w:tc>
        <w:tc>
          <w:tcPr>
            <w:tcW w:type="dxa" w:w="1694"/>
            <w:vAlign w:val="top"/>
            <w:tcMar>
              <w:top w:w="75" w:type="dxa"/>
              <w:start w:w="75" w:type="dxa"/>
              <w:bottom w:w="75" w:type="dxa"/>
              <w:end w:w="75" w:type="dxa"/>
            </w:tcMar>
          </w:tcPr>
          <w:p>
            <w:pPr>
              <w:spacing w:after="30" w:line="240" w:lineRule="auto"/>
            </w:pPr>
            <w:r>
              <w:rPr>
                <w:rFonts w:ascii="Arial" w:hAnsi="Arial"/>
                <w:sz w:val="13"/>
              </w:rPr>
              <w:t>supply-chain information; Supply chain/transport/take-back</w:t>
            </w:r>
          </w:p>
        </w:tc>
        <w:tc>
          <w:tcPr>
            <w:tcW w:type="dxa" w:w="1694"/>
            <w:vAlign w:val="top"/>
            <w:tcMar>
              <w:top w:w="75" w:type="dxa"/>
              <w:start w:w="75" w:type="dxa"/>
              <w:bottom w:w="75" w:type="dxa"/>
              <w:end w:w="75" w:type="dxa"/>
            </w:tcMar>
          </w:tcPr>
          <w:p>
            <w:pPr>
              <w:spacing w:after="30" w:line="240" w:lineRule="auto"/>
            </w:pPr>
            <w:r>
              <w:rPr>
                <w:rFonts w:ascii="Arial" w:hAnsi="Arial"/>
                <w:sz w:val="13"/>
              </w:rPr>
              <w:t>279</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ATT-44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Supply, take-back, and market conditions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take-back information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Supplier, manufacturer, or contractual arrangements for accepting products or materials back.</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take-back information; Supply chain/transport/take-back</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20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Scenario-dependent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The attribute can be operationalized, but its value remains conditional on future conditions, assumptions, or judgment.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ATT-45</w:t>
            </w:r>
          </w:p>
        </w:tc>
        <w:tc>
          <w:tcPr>
            <w:tcW w:type="dxa" w:w="1694"/>
            <w:vAlign w:val="top"/>
            <w:tcMar>
              <w:top w:w="75" w:type="dxa"/>
              <w:start w:w="75" w:type="dxa"/>
              <w:bottom w:w="75" w:type="dxa"/>
              <w:end w:w="75" w:type="dxa"/>
            </w:tcMar>
          </w:tcPr>
          <w:p>
            <w:pPr>
              <w:spacing w:after="30" w:line="240" w:lineRule="auto"/>
            </w:pPr>
            <w:r>
              <w:rPr>
                <w:rFonts w:ascii="Arial" w:hAnsi="Arial"/>
                <w:sz w:val="13"/>
              </w:rPr>
              <w:t>Environmental and resource flows</w:t>
            </w:r>
          </w:p>
        </w:tc>
        <w:tc>
          <w:tcPr>
            <w:tcW w:type="dxa" w:w="1694"/>
            <w:vAlign w:val="top"/>
            <w:tcMar>
              <w:top w:w="75" w:type="dxa"/>
              <w:start w:w="75" w:type="dxa"/>
              <w:bottom w:w="75" w:type="dxa"/>
              <w:end w:w="75" w:type="dxa"/>
            </w:tcMar>
          </w:tcPr>
          <w:p>
            <w:pPr>
              <w:spacing w:after="30" w:line="240" w:lineRule="auto"/>
            </w:pPr>
            <w:r>
              <w:rPr>
                <w:rFonts w:ascii="Arial" w:hAnsi="Arial"/>
                <w:sz w:val="13"/>
              </w:rPr>
              <w:t>transport</w:t>
            </w:r>
          </w:p>
        </w:tc>
        <w:tc>
          <w:tcPr>
            <w:tcW w:type="dxa" w:w="1694"/>
            <w:vAlign w:val="top"/>
            <w:tcMar>
              <w:top w:w="75" w:type="dxa"/>
              <w:start w:w="75" w:type="dxa"/>
              <w:bottom w:w="75" w:type="dxa"/>
              <w:end w:w="75" w:type="dxa"/>
            </w:tcMar>
          </w:tcPr>
          <w:p>
            <w:pPr>
              <w:spacing w:after="30" w:line="240" w:lineRule="auto"/>
            </w:pPr>
            <w:r>
              <w:rPr>
                <w:rFonts w:ascii="Arial" w:hAnsi="Arial"/>
                <w:sz w:val="13"/>
              </w:rPr>
              <w:t>Distance, mode, route, or logistics information for material and product movement.</w:t>
            </w:r>
          </w:p>
        </w:tc>
        <w:tc>
          <w:tcPr>
            <w:tcW w:type="dxa" w:w="1694"/>
            <w:vAlign w:val="top"/>
            <w:tcMar>
              <w:top w:w="75" w:type="dxa"/>
              <w:start w:w="75" w:type="dxa"/>
              <w:bottom w:w="75" w:type="dxa"/>
              <w:end w:w="75" w:type="dxa"/>
            </w:tcMar>
          </w:tcPr>
          <w:p>
            <w:pPr>
              <w:spacing w:after="30" w:line="240" w:lineRule="auto"/>
            </w:pPr>
            <w:r>
              <w:rPr>
                <w:rFonts w:ascii="Arial" w:hAnsi="Arial"/>
                <w:sz w:val="13"/>
              </w:rPr>
              <w:t>transport; Supply chain/transport/take-back</w:t>
            </w:r>
          </w:p>
        </w:tc>
        <w:tc>
          <w:tcPr>
            <w:tcW w:type="dxa" w:w="1694"/>
            <w:vAlign w:val="top"/>
            <w:tcMar>
              <w:top w:w="75" w:type="dxa"/>
              <w:start w:w="75" w:type="dxa"/>
              <w:bottom w:w="75" w:type="dxa"/>
              <w:end w:w="75" w:type="dxa"/>
            </w:tcMar>
          </w:tcPr>
          <w:p>
            <w:pPr>
              <w:spacing w:after="30" w:line="240" w:lineRule="auto"/>
            </w:pPr>
            <w:r>
              <w:rPr>
                <w:rFonts w:ascii="Arial" w:hAnsi="Arial"/>
                <w:sz w:val="13"/>
              </w:rPr>
              <w:t>234</w:t>
            </w:r>
          </w:p>
        </w:tc>
        <w:tc>
          <w:tcPr>
            <w:tcW w:type="dxa" w:w="1694"/>
            <w:vAlign w:val="top"/>
            <w:tcMar>
              <w:top w:w="75" w:type="dxa"/>
              <w:start w:w="75" w:type="dxa"/>
              <w:bottom w:w="75" w:type="dxa"/>
              <w:end w:w="75" w:type="dxa"/>
            </w:tcMar>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tcPr>
          <w:p>
            <w:pPr>
              <w:spacing w:after="30" w:line="240" w:lineRule="auto"/>
            </w:pPr>
            <w:r>
              <w:rPr>
                <w:rFonts w:ascii="Arial" w:hAnsi="Arial"/>
                <w:sz w:val="13"/>
              </w:rPr>
              <w:t>Applied studies report how the input was obtained, but design-stage timing is not established consistently.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ATT-46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Material identity and composition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virgin material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Share or quantity of virgin feedstock in a material or product.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virgin material; Circular material content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27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Requirement known, provenance weak</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 least one implementation was detected, but source and timing reporting are insufficient.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3"/>
              </w:rPr>
              <w:t>ATT-47</w:t>
            </w:r>
          </w:p>
        </w:tc>
        <w:tc>
          <w:tcPr>
            <w:tcW w:type="dxa" w:w="1694"/>
            <w:vAlign w:val="top"/>
            <w:tcMar>
              <w:top w:w="75" w:type="dxa"/>
              <w:start w:w="75" w:type="dxa"/>
              <w:bottom w:w="75" w:type="dxa"/>
              <w:end w:w="75" w:type="dxa"/>
            </w:tcMar>
          </w:tcPr>
          <w:p>
            <w:pPr>
              <w:spacing w:after="30" w:line="240" w:lineRule="auto"/>
            </w:pPr>
            <w:r>
              <w:rPr>
                <w:rFonts w:ascii="Arial" w:hAnsi="Arial"/>
                <w:sz w:val="13"/>
              </w:rPr>
              <w:t>Geometry and spatial definition</w:t>
            </w:r>
          </w:p>
        </w:tc>
        <w:tc>
          <w:tcPr>
            <w:tcW w:type="dxa" w:w="1694"/>
            <w:vAlign w:val="top"/>
            <w:tcMar>
              <w:top w:w="75" w:type="dxa"/>
              <w:start w:w="75" w:type="dxa"/>
              <w:bottom w:w="75" w:type="dxa"/>
              <w:end w:w="75" w:type="dxa"/>
            </w:tcMar>
          </w:tcPr>
          <w:p>
            <w:pPr>
              <w:spacing w:after="30" w:line="240" w:lineRule="auto"/>
            </w:pPr>
            <w:r>
              <w:rPr>
                <w:rFonts w:ascii="Arial" w:hAnsi="Arial"/>
                <w:sz w:val="13"/>
              </w:rPr>
              <w:t>volume</w:t>
            </w:r>
          </w:p>
        </w:tc>
        <w:tc>
          <w:tcPr>
            <w:tcW w:type="dxa" w:w="1694"/>
            <w:vAlign w:val="top"/>
            <w:tcMar>
              <w:top w:w="75" w:type="dxa"/>
              <w:start w:w="75" w:type="dxa"/>
              <w:bottom w:w="75" w:type="dxa"/>
              <w:end w:w="75" w:type="dxa"/>
            </w:tcMar>
          </w:tcPr>
          <w:p>
            <w:pPr>
              <w:spacing w:after="30" w:line="240" w:lineRule="auto"/>
            </w:pPr>
            <w:r>
              <w:rPr>
                <w:rFonts w:ascii="Arial" w:hAnsi="Arial"/>
                <w:sz w:val="13"/>
              </w:rPr>
              <w:t>Three-dimensional quantity of space, material, or component geometry.</w:t>
            </w:r>
          </w:p>
        </w:tc>
        <w:tc>
          <w:tcPr>
            <w:tcW w:type="dxa" w:w="1694"/>
            <w:vAlign w:val="top"/>
            <w:tcMar>
              <w:top w:w="75" w:type="dxa"/>
              <w:start w:w="75" w:type="dxa"/>
              <w:bottom w:w="75" w:type="dxa"/>
              <w:end w:w="75" w:type="dxa"/>
            </w:tcMar>
          </w:tcPr>
          <w:p>
            <w:pPr>
              <w:spacing w:after="30" w:line="240" w:lineRule="auto"/>
            </w:pPr>
            <w:r>
              <w:rPr>
                <w:rFonts w:ascii="Arial" w:hAnsi="Arial"/>
                <w:sz w:val="13"/>
              </w:rPr>
              <w:t>volume; Area and volume</w:t>
            </w:r>
          </w:p>
        </w:tc>
        <w:tc>
          <w:tcPr>
            <w:tcW w:type="dxa" w:w="1694"/>
            <w:vAlign w:val="top"/>
            <w:tcMar>
              <w:top w:w="75" w:type="dxa"/>
              <w:start w:w="75" w:type="dxa"/>
              <w:bottom w:w="75" w:type="dxa"/>
              <w:end w:w="75" w:type="dxa"/>
            </w:tcMar>
          </w:tcPr>
          <w:p>
            <w:pPr>
              <w:spacing w:after="30" w:line="240" w:lineRule="auto"/>
            </w:pPr>
            <w:r>
              <w:rPr>
                <w:rFonts w:ascii="Arial" w:hAnsi="Arial"/>
                <w:sz w:val="13"/>
              </w:rPr>
              <w:t>372</w:t>
            </w:r>
          </w:p>
        </w:tc>
        <w:tc>
          <w:tcPr>
            <w:tcW w:type="dxa" w:w="1694"/>
            <w:vAlign w:val="top"/>
            <w:tcMar>
              <w:top w:w="75" w:type="dxa"/>
              <w:start w:w="75" w:type="dxa"/>
              <w:bottom w:w="75" w:type="dxa"/>
              <w:end w:w="75" w:type="dxa"/>
            </w:tcMar>
          </w:tcPr>
          <w:p>
            <w:pPr>
              <w:spacing w:after="30" w:line="240" w:lineRule="auto"/>
            </w:pPr>
            <w:r>
              <w:rPr>
                <w:rFonts w:ascii="Arial" w:hAnsi="Arial"/>
                <w:sz w:val="13"/>
              </w:rPr>
              <w:t>Core</w:t>
            </w:r>
          </w:p>
        </w:tc>
        <w:tc>
          <w:tcPr>
            <w:tcW w:type="dxa" w:w="1694"/>
            <w:vAlign w:val="top"/>
            <w:tcMar>
              <w:top w:w="75" w:type="dxa"/>
              <w:start w:w="75" w:type="dxa"/>
              <w:bottom w:w="75" w:type="dxa"/>
              <w:end w:w="75" w:type="dxa"/>
            </w:tcMar>
          </w:tcPr>
          <w:p>
            <w:pPr>
              <w:spacing w:after="30" w:line="240" w:lineRule="auto"/>
            </w:pPr>
            <w:r>
              <w:rPr>
                <w:rFonts w:ascii="Arial" w:hAnsi="Arial"/>
                <w:sz w:val="13"/>
              </w:rPr>
              <w:t>Core: retained from v06</w:t>
            </w:r>
          </w:p>
        </w:tc>
        <w:tc>
          <w:tcPr>
            <w:tcW w:type="dxa" w:w="1694"/>
            <w:vAlign w:val="top"/>
            <w:tcMar>
              <w:top w:w="75" w:type="dxa"/>
              <w:start w:w="75" w:type="dxa"/>
              <w:bottom w:w="75" w:type="dxa"/>
              <w:end w:w="75" w:type="dxa"/>
            </w:tcMar>
          </w:tcPr>
          <w:p>
            <w:pPr>
              <w:spacing w:after="30" w:line="240" w:lineRule="auto"/>
            </w:pPr>
            <w:r>
              <w:rPr>
                <w:rFonts w:ascii="Arial" w:hAnsi="Arial"/>
                <w:sz w:val="13"/>
              </w:rPr>
              <w:t>Outside the targeted 30-attribute provenance audit; retained without change.</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3"/>
              </w:rPr>
              <w:t>ATT-48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Environmental and resource flows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waste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Expected or actual waste quantity, type, or rate across lifecycle activities.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waste; Waste generation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610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non-Core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Data-source known, stage unresolved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3"/>
              </w:rPr>
              <w:t>Applied studies report how the input was obtained, but design-stage timing is not established consistently.</w:t>
            </w:r>
          </w:p>
        </w:tc>
      </w:tr>
    </w:tbl>
    <w:p/>
    <w:p>
      <w:pPr>
        <w:pStyle w:val="Caption"/>
      </w:pPr>
      <w:r>
        <w:t>Table S4. Focused provenance/readiness audit summary.</w:t>
      </w:r>
    </w:p>
    <w:tbl>
      <w:tblPr>
        <w:tblStyle w:val="TableGrid"/>
        <w:tblW w:type="auto" w:w="0"/>
        <w:jc w:val="center"/>
        <w:tblLayout w:type="autofit"/>
        <w:tblLook w:firstColumn="1" w:firstRow="1" w:lastColumn="0" w:lastRow="0" w:noHBand="0" w:noVBand="1" w:val="04A0"/>
      </w:tblPr>
      <w:tblGrid>
        <w:gridCol w:w="1386"/>
        <w:gridCol w:w="1386"/>
        <w:gridCol w:w="1386"/>
        <w:gridCol w:w="1386"/>
        <w:gridCol w:w="1386"/>
        <w:gridCol w:w="1386"/>
        <w:gridCol w:w="1386"/>
        <w:gridCol w:w="1386"/>
        <w:gridCol w:w="1386"/>
        <w:gridCol w:w="1386"/>
        <w:gridCol w:w="1386"/>
      </w:tblGrid>
      <w:tr>
        <w:trPr>
          <w:tblHeader w:val="true"/>
        </w:trPr>
        <w:tc>
          <w:tcPr>
            <w:tcW w:type="dxa" w:w="1386"/>
            <w:shd w:fill="173D55"/>
            <w:vAlign w:val="center"/>
            <w:tcMar>
              <w:top w:w="90" w:type="dxa"/>
              <w:start w:w="85" w:type="dxa"/>
              <w:bottom w:w="90" w:type="dxa"/>
              <w:end w:w="85" w:type="dxa"/>
            </w:tcMar>
          </w:tcPr>
          <w:p>
            <w:pPr>
              <w:jc w:val="center"/>
            </w:pPr>
            <w:r>
              <w:rPr>
                <w:rFonts w:ascii="Arial" w:hAnsi="Arial"/>
                <w:b/>
                <w:color w:val="FFFFFF"/>
                <w:sz w:val="12"/>
              </w:rPr>
              <w:t>Attribute</w:t>
            </w:r>
          </w:p>
        </w:tc>
        <w:tc>
          <w:tcPr>
            <w:tcW w:type="dxa" w:w="1386"/>
            <w:shd w:fill="173D55"/>
            <w:vAlign w:val="center"/>
            <w:tcMar>
              <w:top w:w="90" w:type="dxa"/>
              <w:start w:w="85" w:type="dxa"/>
              <w:bottom w:w="90" w:type="dxa"/>
              <w:end w:w="85" w:type="dxa"/>
            </w:tcMar>
          </w:tcPr>
          <w:p>
            <w:pPr>
              <w:jc w:val="center"/>
            </w:pPr>
            <w:r>
              <w:rPr>
                <w:rFonts w:ascii="Arial" w:hAnsi="Arial"/>
                <w:b/>
                <w:color w:val="FFFFFF"/>
                <w:sz w:val="12"/>
              </w:rPr>
              <w:t>Required</w:t>
            </w:r>
          </w:p>
        </w:tc>
        <w:tc>
          <w:tcPr>
            <w:tcW w:type="dxa" w:w="1386"/>
            <w:shd w:fill="173D55"/>
            <w:vAlign w:val="center"/>
            <w:tcMar>
              <w:top w:w="90" w:type="dxa"/>
              <w:start w:w="85" w:type="dxa"/>
              <w:bottom w:w="90" w:type="dxa"/>
              <w:end w:w="85" w:type="dxa"/>
            </w:tcMar>
          </w:tcPr>
          <w:p>
            <w:pPr>
              <w:jc w:val="center"/>
            </w:pPr>
            <w:r>
              <w:rPr>
                <w:rFonts w:ascii="Arial" w:hAnsi="Arial"/>
                <w:b/>
                <w:color w:val="FFFFFF"/>
                <w:sz w:val="12"/>
              </w:rPr>
              <w:t>Implemented</w:t>
            </w:r>
          </w:p>
        </w:tc>
        <w:tc>
          <w:tcPr>
            <w:tcW w:type="dxa" w:w="1386"/>
            <w:shd w:fill="173D55"/>
            <w:vAlign w:val="center"/>
            <w:tcMar>
              <w:top w:w="90" w:type="dxa"/>
              <w:start w:w="85" w:type="dxa"/>
              <w:bottom w:w="90" w:type="dxa"/>
              <w:end w:w="85" w:type="dxa"/>
            </w:tcMar>
          </w:tcPr>
          <w:p>
            <w:pPr>
              <w:jc w:val="center"/>
            </w:pPr>
            <w:r>
              <w:rPr>
                <w:rFonts w:ascii="Arial" w:hAnsi="Arial"/>
                <w:b/>
                <w:color w:val="FFFFFF"/>
                <w:sz w:val="12"/>
              </w:rPr>
              <w:t>Source reported</w:t>
            </w:r>
          </w:p>
        </w:tc>
        <w:tc>
          <w:tcPr>
            <w:tcW w:type="dxa" w:w="1386"/>
            <w:shd w:fill="173D55"/>
            <w:vAlign w:val="center"/>
            <w:tcMar>
              <w:top w:w="90" w:type="dxa"/>
              <w:start w:w="85" w:type="dxa"/>
              <w:bottom w:w="90" w:type="dxa"/>
              <w:end w:w="85" w:type="dxa"/>
            </w:tcMar>
          </w:tcPr>
          <w:p>
            <w:pPr>
              <w:jc w:val="center"/>
            </w:pPr>
            <w:r>
              <w:rPr>
                <w:rFonts w:ascii="Arial" w:hAnsi="Arial"/>
                <w:b/>
                <w:color w:val="FFFFFF"/>
                <w:sz w:val="12"/>
              </w:rPr>
              <w:t>Timing evidenced</w:t>
            </w:r>
          </w:p>
        </w:tc>
        <w:tc>
          <w:tcPr>
            <w:tcW w:type="dxa" w:w="1386"/>
            <w:shd w:fill="173D55"/>
            <w:vAlign w:val="center"/>
            <w:tcMar>
              <w:top w:w="90" w:type="dxa"/>
              <w:start w:w="85" w:type="dxa"/>
              <w:bottom w:w="90" w:type="dxa"/>
              <w:end w:w="85" w:type="dxa"/>
            </w:tcMar>
          </w:tcPr>
          <w:p>
            <w:pPr>
              <w:jc w:val="center"/>
            </w:pPr>
            <w:r>
              <w:rPr>
                <w:rFonts w:ascii="Arial" w:hAnsi="Arial"/>
                <w:b/>
                <w:color w:val="FFFFFF"/>
                <w:sz w:val="12"/>
              </w:rPr>
              <w:t>Prospective</w:t>
            </w:r>
          </w:p>
        </w:tc>
        <w:tc>
          <w:tcPr>
            <w:tcW w:type="dxa" w:w="1386"/>
            <w:shd w:fill="173D55"/>
            <w:vAlign w:val="center"/>
            <w:tcMar>
              <w:top w:w="90" w:type="dxa"/>
              <w:start w:w="85" w:type="dxa"/>
              <w:bottom w:w="90" w:type="dxa"/>
              <w:end w:w="85" w:type="dxa"/>
            </w:tcMar>
          </w:tcPr>
          <w:p>
            <w:pPr>
              <w:jc w:val="center"/>
            </w:pPr>
            <w:r>
              <w:rPr>
                <w:rFonts w:ascii="Arial" w:hAnsi="Arial"/>
                <w:b/>
                <w:color w:val="FFFFFF"/>
                <w:sz w:val="12"/>
              </w:rPr>
              <w:t>Best P-level</w:t>
            </w:r>
          </w:p>
        </w:tc>
        <w:tc>
          <w:tcPr>
            <w:tcW w:type="dxa" w:w="1386"/>
            <w:shd w:fill="173D55"/>
            <w:vAlign w:val="center"/>
            <w:tcMar>
              <w:top w:w="90" w:type="dxa"/>
              <w:start w:w="85" w:type="dxa"/>
              <w:bottom w:w="90" w:type="dxa"/>
              <w:end w:w="85" w:type="dxa"/>
            </w:tcMar>
          </w:tcPr>
          <w:p>
            <w:pPr>
              <w:jc w:val="center"/>
            </w:pPr>
            <w:r>
              <w:rPr>
                <w:rFonts w:ascii="Arial" w:hAnsi="Arial"/>
                <w:b/>
                <w:color w:val="FFFFFF"/>
                <w:sz w:val="12"/>
              </w:rPr>
              <w:t>Final status</w:t>
            </w:r>
          </w:p>
        </w:tc>
        <w:tc>
          <w:tcPr>
            <w:tcW w:type="dxa" w:w="1386"/>
            <w:shd w:fill="173D55"/>
            <w:vAlign w:val="center"/>
            <w:tcMar>
              <w:top w:w="90" w:type="dxa"/>
              <w:start w:w="85" w:type="dxa"/>
              <w:bottom w:w="90" w:type="dxa"/>
              <w:end w:w="85" w:type="dxa"/>
            </w:tcMar>
          </w:tcPr>
          <w:p>
            <w:pPr>
              <w:jc w:val="center"/>
            </w:pPr>
            <w:r>
              <w:rPr>
                <w:rFonts w:ascii="Arial" w:hAnsi="Arial"/>
                <w:b/>
                <w:color w:val="FFFFFF"/>
                <w:sz w:val="12"/>
              </w:rPr>
              <w:t>Outcome</w:t>
            </w:r>
          </w:p>
        </w:tc>
        <w:tc>
          <w:tcPr>
            <w:tcW w:type="dxa" w:w="1386"/>
            <w:shd w:fill="173D55"/>
            <w:vAlign w:val="center"/>
            <w:tcMar>
              <w:top w:w="90" w:type="dxa"/>
              <w:start w:w="85" w:type="dxa"/>
              <w:bottom w:w="90" w:type="dxa"/>
              <w:end w:w="85" w:type="dxa"/>
            </w:tcMar>
          </w:tcPr>
          <w:p>
            <w:pPr>
              <w:jc w:val="center"/>
            </w:pPr>
            <w:r>
              <w:rPr>
                <w:rFonts w:ascii="Arial" w:hAnsi="Arial"/>
                <w:b/>
                <w:color w:val="FFFFFF"/>
                <w:sz w:val="12"/>
              </w:rPr>
              <w:t>Representative evidence</w:t>
            </w:r>
          </w:p>
        </w:tc>
        <w:tc>
          <w:tcPr>
            <w:tcW w:type="dxa" w:w="1386"/>
            <w:shd w:fill="173D55"/>
            <w:vAlign w:val="center"/>
            <w:tcMar>
              <w:top w:w="90" w:type="dxa"/>
              <w:start w:w="85" w:type="dxa"/>
              <w:bottom w:w="90" w:type="dxa"/>
              <w:end w:w="85" w:type="dxa"/>
            </w:tcMar>
          </w:tcPr>
          <w:p>
            <w:pPr>
              <w:jc w:val="center"/>
            </w:pPr>
            <w:r>
              <w:rPr>
                <w:rFonts w:ascii="Arial" w:hAnsi="Arial"/>
                <w:b/>
                <w:color w:val="FFFFFF"/>
                <w:sz w:val="12"/>
              </w:rPr>
              <w:t>Note</w:t>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waste</w:t>
            </w:r>
          </w:p>
        </w:tc>
        <w:tc>
          <w:tcPr>
            <w:tcW w:type="dxa" w:w="1386"/>
            <w:vAlign w:val="top"/>
            <w:tcMar>
              <w:top w:w="75" w:type="dxa"/>
              <w:start w:w="75" w:type="dxa"/>
              <w:bottom w:w="75" w:type="dxa"/>
              <w:end w:w="75" w:type="dxa"/>
            </w:tcMar>
          </w:tcPr>
          <w:p>
            <w:pPr>
              <w:spacing w:after="30" w:line="240" w:lineRule="auto"/>
            </w:pPr>
            <w:r>
              <w:rPr>
                <w:rFonts w:ascii="Arial" w:hAnsi="Arial"/>
                <w:sz w:val="12"/>
              </w:rPr>
              <w:t>610</w:t>
            </w:r>
          </w:p>
        </w:tc>
        <w:tc>
          <w:tcPr>
            <w:tcW w:type="dxa" w:w="1386"/>
            <w:vAlign w:val="top"/>
            <w:tcMar>
              <w:top w:w="75" w:type="dxa"/>
              <w:start w:w="75" w:type="dxa"/>
              <w:bottom w:w="75" w:type="dxa"/>
              <w:end w:w="75" w:type="dxa"/>
            </w:tcMar>
          </w:tcPr>
          <w:p>
            <w:pPr>
              <w:spacing w:after="30" w:line="240" w:lineRule="auto"/>
            </w:pPr>
            <w:r>
              <w:rPr>
                <w:rFonts w:ascii="Arial" w:hAnsi="Arial"/>
                <w:sz w:val="12"/>
              </w:rPr>
              <w:t>46</w:t>
            </w:r>
          </w:p>
        </w:tc>
        <w:tc>
          <w:tcPr>
            <w:tcW w:type="dxa" w:w="1386"/>
            <w:vAlign w:val="top"/>
            <w:tcMar>
              <w:top w:w="75" w:type="dxa"/>
              <w:start w:w="75" w:type="dxa"/>
              <w:bottom w:w="75" w:type="dxa"/>
              <w:end w:w="75" w:type="dxa"/>
            </w:tcMar>
          </w:tcPr>
          <w:p>
            <w:pPr>
              <w:spacing w:after="30" w:line="240" w:lineRule="auto"/>
            </w:pPr>
            <w:r>
              <w:rPr>
                <w:rFonts w:ascii="Arial" w:hAnsi="Arial"/>
                <w:sz w:val="12"/>
              </w:rPr>
              <w:t>23</w:t>
            </w:r>
          </w:p>
        </w:tc>
        <w:tc>
          <w:tcPr>
            <w:tcW w:type="dxa" w:w="1386"/>
            <w:vAlign w:val="top"/>
            <w:tcMar>
              <w:top w:w="75" w:type="dxa"/>
              <w:start w:w="75" w:type="dxa"/>
              <w:bottom w:w="75" w:type="dxa"/>
              <w:end w:w="75" w:type="dxa"/>
            </w:tcMar>
          </w:tcPr>
          <w:p>
            <w:pPr>
              <w:spacing w:after="30" w:line="240" w:lineRule="auto"/>
            </w:pPr>
            <w:r>
              <w:rPr>
                <w:rFonts w:ascii="Arial" w:hAnsi="Arial"/>
                <w:sz w:val="12"/>
              </w:rPr>
              <w:t>8</w:t>
            </w:r>
          </w:p>
        </w:tc>
        <w:tc>
          <w:tcPr>
            <w:tcW w:type="dxa" w:w="1386"/>
            <w:vAlign w:val="top"/>
            <w:tcMar>
              <w:top w:w="75" w:type="dxa"/>
              <w:start w:w="75" w:type="dxa"/>
              <w:bottom w:w="75" w:type="dxa"/>
              <w:end w:w="75" w:type="dxa"/>
            </w:tcMar>
          </w:tcPr>
          <w:p>
            <w:pPr>
              <w:spacing w:after="30" w:line="240" w:lineRule="auto"/>
            </w:pPr>
            <w:r>
              <w:rPr>
                <w:rFonts w:ascii="Arial" w:hAnsi="Arial"/>
                <w:sz w:val="12"/>
              </w:rPr>
              <w:t>2</w:t>
            </w:r>
          </w:p>
        </w:tc>
        <w:tc>
          <w:tcPr>
            <w:tcW w:type="dxa" w:w="1386"/>
            <w:vAlign w:val="top"/>
            <w:tcMar>
              <w:top w:w="75" w:type="dxa"/>
              <w:start w:w="75" w:type="dxa"/>
              <w:bottom w:w="75" w:type="dxa"/>
              <w:end w:w="75" w:type="dxa"/>
            </w:tcMar>
          </w:tcPr>
          <w:p>
            <w:pPr>
              <w:spacing w:after="30" w:line="240" w:lineRule="auto"/>
            </w:pPr>
            <w:r>
              <w:rPr>
                <w:rFonts w:ascii="Arial" w:hAnsi="Arial"/>
                <w:sz w:val="12"/>
              </w:rPr>
              <w:t>P1</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tcPr>
          <w:p>
            <w:pPr>
              <w:spacing w:after="30" w:line="240" w:lineRule="auto"/>
            </w:pPr>
            <w:r>
              <w:rPr>
                <w:rFonts w:ascii="Arial" w:hAnsi="Arial"/>
                <w:sz w:val="12"/>
              </w:rPr>
              <w:t>R00702 (P1): bim model; R01028 (P1): bim model; secondary data; R00164 (P2): gis</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reuse potential</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562</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18</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5</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Scenario-dependent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R00902 (P1): material passport; R01206 (P1): user input; R00235 (P2): material passport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economic value</w:t>
            </w:r>
          </w:p>
        </w:tc>
        <w:tc>
          <w:tcPr>
            <w:tcW w:type="dxa" w:w="1386"/>
            <w:vAlign w:val="top"/>
            <w:tcMar>
              <w:top w:w="75" w:type="dxa"/>
              <w:start w:w="75" w:type="dxa"/>
              <w:bottom w:w="75" w:type="dxa"/>
              <w:end w:w="75" w:type="dxa"/>
            </w:tcMar>
          </w:tcPr>
          <w:p>
            <w:pPr>
              <w:spacing w:after="30" w:line="240" w:lineRule="auto"/>
            </w:pPr>
            <w:r>
              <w:rPr>
                <w:rFonts w:ascii="Arial" w:hAnsi="Arial"/>
                <w:sz w:val="12"/>
              </w:rPr>
              <w:t>557</w:t>
            </w:r>
          </w:p>
        </w:tc>
        <w:tc>
          <w:tcPr>
            <w:tcW w:type="dxa" w:w="1386"/>
            <w:vAlign w:val="top"/>
            <w:tcMar>
              <w:top w:w="75" w:type="dxa"/>
              <w:start w:w="75" w:type="dxa"/>
              <w:bottom w:w="75" w:type="dxa"/>
              <w:end w:w="75" w:type="dxa"/>
            </w:tcMar>
          </w:tcPr>
          <w:p>
            <w:pPr>
              <w:spacing w:after="30" w:line="240" w:lineRule="auto"/>
            </w:pPr>
            <w:r>
              <w:rPr>
                <w:rFonts w:ascii="Arial" w:hAnsi="Arial"/>
                <w:sz w:val="12"/>
              </w:rPr>
              <w:t>5</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P4</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Requirement known, provenance weak</w:t>
            </w:r>
          </w:p>
        </w:tc>
        <w:tc>
          <w:tcPr>
            <w:tcW w:type="dxa" w:w="1386"/>
            <w:vAlign w:val="top"/>
            <w:tcMar>
              <w:top w:w="75" w:type="dxa"/>
              <w:start w:w="75" w:type="dxa"/>
              <w:bottom w:w="75" w:type="dxa"/>
              <w:end w:w="75" w:type="dxa"/>
            </w:tcMar>
          </w:tcPr>
          <w:p>
            <w:pPr>
              <w:spacing w:after="30" w:line="240" w:lineRule="auto"/>
            </w:pPr>
            <w:r>
              <w:rPr>
                <w:rFonts w:ascii="Arial" w:hAnsi="Arial"/>
                <w:sz w:val="12"/>
              </w:rPr>
              <w:t>R00012 (P4): Not reported; R00016 (P4): building information model; R00030 (P4): Not reported</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LCA Data</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377</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19</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7</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Core: direct stage evidence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R00788 (P1): generic EPDs from One Click LCA; material quantities from a Revit model; R00851 (P1): EPDs and One Click LCA; BIM/Revit quantities and bill of quantities; R00898 (P1): ecoinvent; material specification; bim model</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LCA Data moved into Core after the focused audit.</w:t>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embodied carbon</w:t>
            </w:r>
          </w:p>
        </w:tc>
        <w:tc>
          <w:tcPr>
            <w:tcW w:type="dxa" w:w="1386"/>
            <w:vAlign w:val="top"/>
            <w:tcMar>
              <w:top w:w="75" w:type="dxa"/>
              <w:start w:w="75" w:type="dxa"/>
              <w:bottom w:w="75" w:type="dxa"/>
              <w:end w:w="75" w:type="dxa"/>
            </w:tcMar>
          </w:tcPr>
          <w:p>
            <w:pPr>
              <w:spacing w:after="30" w:line="240" w:lineRule="auto"/>
            </w:pPr>
            <w:r>
              <w:rPr>
                <w:rFonts w:ascii="Arial" w:hAnsi="Arial"/>
                <w:sz w:val="12"/>
              </w:rPr>
              <w:t>362</w:t>
            </w:r>
          </w:p>
        </w:tc>
        <w:tc>
          <w:tcPr>
            <w:tcW w:type="dxa" w:w="1386"/>
            <w:vAlign w:val="top"/>
            <w:tcMar>
              <w:top w:w="75" w:type="dxa"/>
              <w:start w:w="75" w:type="dxa"/>
              <w:bottom w:w="75" w:type="dxa"/>
              <w:end w:w="75" w:type="dxa"/>
            </w:tcMar>
          </w:tcPr>
          <w:p>
            <w:pPr>
              <w:spacing w:after="30" w:line="240" w:lineRule="auto"/>
            </w:pPr>
            <w:r>
              <w:rPr>
                <w:rFonts w:ascii="Arial" w:hAnsi="Arial"/>
                <w:sz w:val="12"/>
              </w:rPr>
              <w:t>39</w:t>
            </w:r>
          </w:p>
        </w:tc>
        <w:tc>
          <w:tcPr>
            <w:tcW w:type="dxa" w:w="1386"/>
            <w:vAlign w:val="top"/>
            <w:tcMar>
              <w:top w:w="75" w:type="dxa"/>
              <w:start w:w="75" w:type="dxa"/>
              <w:bottom w:w="75" w:type="dxa"/>
              <w:end w:w="75" w:type="dxa"/>
            </w:tcMar>
          </w:tcPr>
          <w:p>
            <w:pPr>
              <w:spacing w:after="30" w:line="240" w:lineRule="auto"/>
            </w:pPr>
            <w:r>
              <w:rPr>
                <w:rFonts w:ascii="Arial" w:hAnsi="Arial"/>
                <w:sz w:val="12"/>
              </w:rPr>
              <w:t>19</w:t>
            </w:r>
          </w:p>
        </w:tc>
        <w:tc>
          <w:tcPr>
            <w:tcW w:type="dxa" w:w="1386"/>
            <w:vAlign w:val="top"/>
            <w:tcMar>
              <w:top w:w="75" w:type="dxa"/>
              <w:start w:w="75" w:type="dxa"/>
              <w:bottom w:w="75" w:type="dxa"/>
              <w:end w:w="75" w:type="dxa"/>
            </w:tcMar>
          </w:tcPr>
          <w:p>
            <w:pPr>
              <w:spacing w:after="30" w:line="240" w:lineRule="auto"/>
            </w:pPr>
            <w:r>
              <w:rPr>
                <w:rFonts w:ascii="Arial" w:hAnsi="Arial"/>
                <w:sz w:val="12"/>
              </w:rPr>
              <w:t>5</w:t>
            </w:r>
          </w:p>
        </w:tc>
        <w:tc>
          <w:tcPr>
            <w:tcW w:type="dxa" w:w="1386"/>
            <w:vAlign w:val="top"/>
            <w:tcMar>
              <w:top w:w="75" w:type="dxa"/>
              <w:start w:w="75" w:type="dxa"/>
              <w:bottom w:w="75" w:type="dxa"/>
              <w:end w:w="75" w:type="dxa"/>
            </w:tcMar>
          </w:tcPr>
          <w:p>
            <w:pPr>
              <w:spacing w:after="30" w:line="240" w:lineRule="auto"/>
            </w:pPr>
            <w:r>
              <w:rPr>
                <w:rFonts w:ascii="Arial" w:hAnsi="Arial"/>
                <w:sz w:val="12"/>
              </w:rPr>
              <w:t>3</w:t>
            </w:r>
          </w:p>
        </w:tc>
        <w:tc>
          <w:tcPr>
            <w:tcW w:type="dxa" w:w="1386"/>
            <w:vAlign w:val="top"/>
            <w:tcMar>
              <w:top w:w="75" w:type="dxa"/>
              <w:start w:w="75" w:type="dxa"/>
              <w:bottom w:w="75" w:type="dxa"/>
              <w:end w:w="75" w:type="dxa"/>
            </w:tcMar>
          </w:tcPr>
          <w:p>
            <w:pPr>
              <w:spacing w:after="30" w:line="240" w:lineRule="auto"/>
            </w:pPr>
            <w:r>
              <w:rPr>
                <w:rFonts w:ascii="Arial" w:hAnsi="Arial"/>
                <w:sz w:val="12"/>
              </w:rPr>
              <w:t>P1</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tcPr>
          <w:p>
            <w:pPr>
              <w:spacing w:after="30" w:line="240" w:lineRule="auto"/>
            </w:pPr>
            <w:r>
              <w:rPr>
                <w:rFonts w:ascii="Arial" w:hAnsi="Arial"/>
                <w:sz w:val="12"/>
              </w:rPr>
              <w:t>R00225 (P1): ice database; price database; building information model; R00788 (P1): environmental product declaration; epds; one click lca; lca database; building information model; R01010 (P1): epd; bill of quantities; bim model</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accessibility</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316</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4</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P2</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R00223 (P2): epds; R00249 (P3): floor plan; R00787 (P3): visual inspection</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deconstruction potential</w:t>
            </w:r>
          </w:p>
        </w:tc>
        <w:tc>
          <w:tcPr>
            <w:tcW w:type="dxa" w:w="1386"/>
            <w:vAlign w:val="top"/>
            <w:tcMar>
              <w:top w:w="75" w:type="dxa"/>
              <w:start w:w="75" w:type="dxa"/>
              <w:bottom w:w="75" w:type="dxa"/>
              <w:end w:w="75" w:type="dxa"/>
            </w:tcMar>
          </w:tcPr>
          <w:p>
            <w:pPr>
              <w:spacing w:after="30" w:line="240" w:lineRule="auto"/>
            </w:pPr>
            <w:r>
              <w:rPr>
                <w:rFonts w:ascii="Arial" w:hAnsi="Arial"/>
                <w:sz w:val="12"/>
              </w:rPr>
              <w:t>312</w:t>
            </w:r>
          </w:p>
        </w:tc>
        <w:tc>
          <w:tcPr>
            <w:tcW w:type="dxa" w:w="1386"/>
            <w:vAlign w:val="top"/>
            <w:tcMar>
              <w:top w:w="75" w:type="dxa"/>
              <w:start w:w="75" w:type="dxa"/>
              <w:bottom w:w="75" w:type="dxa"/>
              <w:end w:w="75" w:type="dxa"/>
            </w:tcMar>
          </w:tcPr>
          <w:p>
            <w:pPr>
              <w:spacing w:after="30" w:line="240" w:lineRule="auto"/>
            </w:pPr>
            <w:r>
              <w:rPr>
                <w:rFonts w:ascii="Arial" w:hAnsi="Arial"/>
                <w:sz w:val="12"/>
              </w:rPr>
              <w:t>10</w:t>
            </w:r>
          </w:p>
        </w:tc>
        <w:tc>
          <w:tcPr>
            <w:tcW w:type="dxa" w:w="1386"/>
            <w:vAlign w:val="top"/>
            <w:tcMar>
              <w:top w:w="75" w:type="dxa"/>
              <w:start w:w="75" w:type="dxa"/>
              <w:bottom w:w="75" w:type="dxa"/>
              <w:end w:w="75" w:type="dxa"/>
            </w:tcMar>
          </w:tcPr>
          <w:p>
            <w:pPr>
              <w:spacing w:after="30" w:line="240" w:lineRule="auto"/>
            </w:pPr>
            <w:r>
              <w:rPr>
                <w:rFonts w:ascii="Arial" w:hAnsi="Arial"/>
                <w:sz w:val="12"/>
              </w:rPr>
              <w:t>8</w:t>
            </w:r>
          </w:p>
        </w:tc>
        <w:tc>
          <w:tcPr>
            <w:tcW w:type="dxa" w:w="1386"/>
            <w:vAlign w:val="top"/>
            <w:tcMar>
              <w:top w:w="75" w:type="dxa"/>
              <w:start w:w="75" w:type="dxa"/>
              <w:bottom w:w="75" w:type="dxa"/>
              <w:end w:w="75" w:type="dxa"/>
            </w:tcMar>
          </w:tcPr>
          <w:p>
            <w:pPr>
              <w:spacing w:after="30" w:line="240" w:lineRule="auto"/>
            </w:pPr>
            <w:r>
              <w:rPr>
                <w:rFonts w:ascii="Arial" w:hAnsi="Arial"/>
                <w:sz w:val="12"/>
              </w:rPr>
              <w:t>1</w:t>
            </w:r>
          </w:p>
        </w:tc>
        <w:tc>
          <w:tcPr>
            <w:tcW w:type="dxa" w:w="1386"/>
            <w:vAlign w:val="top"/>
            <w:tcMar>
              <w:top w:w="75" w:type="dxa"/>
              <w:start w:w="75" w:type="dxa"/>
              <w:bottom w:w="75" w:type="dxa"/>
              <w:end w:w="75" w:type="dxa"/>
            </w:tcMar>
          </w:tcPr>
          <w:p>
            <w:pPr>
              <w:spacing w:after="30" w:line="240" w:lineRule="auto"/>
            </w:pPr>
            <w:r>
              <w:rPr>
                <w:rFonts w:ascii="Arial" w:hAnsi="Arial"/>
                <w:sz w:val="12"/>
              </w:rPr>
              <w:t>1</w:t>
            </w:r>
          </w:p>
        </w:tc>
        <w:tc>
          <w:tcPr>
            <w:tcW w:type="dxa" w:w="1386"/>
            <w:vAlign w:val="top"/>
            <w:tcMar>
              <w:top w:w="75" w:type="dxa"/>
              <w:start w:w="75" w:type="dxa"/>
              <w:bottom w:w="75" w:type="dxa"/>
              <w:end w:w="75" w:type="dxa"/>
            </w:tcMar>
          </w:tcPr>
          <w:p>
            <w:pPr>
              <w:spacing w:after="30" w:line="240" w:lineRule="auto"/>
            </w:pPr>
            <w:r>
              <w:rPr>
                <w:rFonts w:ascii="Arial" w:hAnsi="Arial"/>
                <w:sz w:val="12"/>
              </w:rPr>
              <w:t>P1</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tcPr>
          <w:p>
            <w:pPr>
              <w:spacing w:after="30" w:line="240" w:lineRule="auto"/>
            </w:pPr>
            <w:r>
              <w:rPr>
                <w:rFonts w:ascii="Arial" w:hAnsi="Arial"/>
                <w:sz w:val="12"/>
              </w:rPr>
              <w:t>R00772 (P1): material passport; R00292 (P3): bill of quantity; R00415 (P3): building information model</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recycling potential</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288</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19</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14</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9</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Scenario-dependent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R00715 (P1): predemolition audit; demolition audit; R00885 (P1): material passport; R00047 (P2): material passport; building material passport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flexibility</w:t>
            </w:r>
          </w:p>
        </w:tc>
        <w:tc>
          <w:tcPr>
            <w:tcW w:type="dxa" w:w="1386"/>
            <w:vAlign w:val="top"/>
            <w:tcMar>
              <w:top w:w="75" w:type="dxa"/>
              <w:start w:w="75" w:type="dxa"/>
              <w:bottom w:w="75" w:type="dxa"/>
              <w:end w:w="75" w:type="dxa"/>
            </w:tcMar>
          </w:tcPr>
          <w:p>
            <w:pPr>
              <w:spacing w:after="30" w:line="240" w:lineRule="auto"/>
            </w:pPr>
            <w:r>
              <w:rPr>
                <w:rFonts w:ascii="Arial" w:hAnsi="Arial"/>
                <w:sz w:val="12"/>
              </w:rPr>
              <w:t>281</w:t>
            </w:r>
          </w:p>
        </w:tc>
        <w:tc>
          <w:tcPr>
            <w:tcW w:type="dxa" w:w="1386"/>
            <w:vAlign w:val="top"/>
            <w:tcMar>
              <w:top w:w="75" w:type="dxa"/>
              <w:start w:w="75" w:type="dxa"/>
              <w:bottom w:w="75" w:type="dxa"/>
              <w:end w:w="75" w:type="dxa"/>
            </w:tcMar>
          </w:tcPr>
          <w:p>
            <w:pPr>
              <w:spacing w:after="30" w:line="240" w:lineRule="auto"/>
            </w:pPr>
            <w:r>
              <w:rPr>
                <w:rFonts w:ascii="Arial" w:hAnsi="Arial"/>
                <w:sz w:val="12"/>
              </w:rPr>
              <w:t>11</w:t>
            </w:r>
          </w:p>
        </w:tc>
        <w:tc>
          <w:tcPr>
            <w:tcW w:type="dxa" w:w="1386"/>
            <w:vAlign w:val="top"/>
            <w:tcMar>
              <w:top w:w="75" w:type="dxa"/>
              <w:start w:w="75" w:type="dxa"/>
              <w:bottom w:w="75" w:type="dxa"/>
              <w:end w:w="75" w:type="dxa"/>
            </w:tcMar>
          </w:tcPr>
          <w:p>
            <w:pPr>
              <w:spacing w:after="30" w:line="240" w:lineRule="auto"/>
            </w:pPr>
            <w:r>
              <w:rPr>
                <w:rFonts w:ascii="Arial" w:hAnsi="Arial"/>
                <w:sz w:val="12"/>
              </w:rPr>
              <w:t>5</w:t>
            </w:r>
          </w:p>
        </w:tc>
        <w:tc>
          <w:tcPr>
            <w:tcW w:type="dxa" w:w="1386"/>
            <w:vAlign w:val="top"/>
            <w:tcMar>
              <w:top w:w="75" w:type="dxa"/>
              <w:start w:w="75" w:type="dxa"/>
              <w:bottom w:w="75" w:type="dxa"/>
              <w:end w:w="75" w:type="dxa"/>
            </w:tcMar>
          </w:tcPr>
          <w:p>
            <w:pPr>
              <w:spacing w:after="30" w:line="240" w:lineRule="auto"/>
            </w:pPr>
            <w:r>
              <w:rPr>
                <w:rFonts w:ascii="Arial" w:hAnsi="Arial"/>
                <w:sz w:val="12"/>
              </w:rPr>
              <w:t>4</w:t>
            </w:r>
          </w:p>
        </w:tc>
        <w:tc>
          <w:tcPr>
            <w:tcW w:type="dxa" w:w="1386"/>
            <w:vAlign w:val="top"/>
            <w:tcMar>
              <w:top w:w="75" w:type="dxa"/>
              <w:start w:w="75" w:type="dxa"/>
              <w:bottom w:w="75" w:type="dxa"/>
              <w:end w:w="75" w:type="dxa"/>
            </w:tcMar>
          </w:tcPr>
          <w:p>
            <w:pPr>
              <w:spacing w:after="30" w:line="240" w:lineRule="auto"/>
            </w:pPr>
            <w:r>
              <w:rPr>
                <w:rFonts w:ascii="Arial" w:hAnsi="Arial"/>
                <w:sz w:val="12"/>
              </w:rPr>
              <w:t>1</w:t>
            </w:r>
          </w:p>
        </w:tc>
        <w:tc>
          <w:tcPr>
            <w:tcW w:type="dxa" w:w="1386"/>
            <w:vAlign w:val="top"/>
            <w:tcMar>
              <w:top w:w="75" w:type="dxa"/>
              <w:start w:w="75" w:type="dxa"/>
              <w:bottom w:w="75" w:type="dxa"/>
              <w:end w:w="75" w:type="dxa"/>
            </w:tcMar>
          </w:tcPr>
          <w:p>
            <w:pPr>
              <w:spacing w:after="30" w:line="240" w:lineRule="auto"/>
            </w:pPr>
            <w:r>
              <w:rPr>
                <w:rFonts w:ascii="Arial" w:hAnsi="Arial"/>
                <w:sz w:val="12"/>
              </w:rPr>
              <w:t>P1</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tcPr>
          <w:p>
            <w:pPr>
              <w:spacing w:after="30" w:line="240" w:lineRule="auto"/>
            </w:pPr>
            <w:r>
              <w:rPr>
                <w:rFonts w:ascii="Arial" w:hAnsi="Arial"/>
                <w:sz w:val="12"/>
              </w:rPr>
              <w:t>R00090 (P1): bim model; R00124 (P2): material take-off; bim model; R00164 (P2): gis</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scenario assumptions</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280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8</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7</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Scenario-dependent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R00715 (P1): end-of-life scenario; R00780 (P2): end-of-life scenario; R00420 (P3): future scenario</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supply-chain information</w:t>
            </w:r>
          </w:p>
        </w:tc>
        <w:tc>
          <w:tcPr>
            <w:tcW w:type="dxa" w:w="1386"/>
            <w:vAlign w:val="top"/>
            <w:tcMar>
              <w:top w:w="75" w:type="dxa"/>
              <w:start w:w="75" w:type="dxa"/>
              <w:bottom w:w="75" w:type="dxa"/>
              <w:end w:w="75" w:type="dxa"/>
            </w:tcMar>
          </w:tcPr>
          <w:p>
            <w:pPr>
              <w:spacing w:after="30" w:line="240" w:lineRule="auto"/>
            </w:pPr>
            <w:r>
              <w:rPr>
                <w:rFonts w:ascii="Arial" w:hAnsi="Arial"/>
                <w:sz w:val="12"/>
              </w:rPr>
              <w:t>279</w:t>
            </w:r>
          </w:p>
        </w:tc>
        <w:tc>
          <w:tcPr>
            <w:tcW w:type="dxa" w:w="1386"/>
            <w:vAlign w:val="top"/>
            <w:tcMar>
              <w:top w:w="75" w:type="dxa"/>
              <w:start w:w="75" w:type="dxa"/>
              <w:bottom w:w="75" w:type="dxa"/>
              <w:end w:w="75" w:type="dxa"/>
            </w:tcMar>
          </w:tcPr>
          <w:p>
            <w:pPr>
              <w:spacing w:after="30" w:line="240" w:lineRule="auto"/>
            </w:pPr>
            <w:r>
              <w:rPr>
                <w:rFonts w:ascii="Arial" w:hAnsi="Arial"/>
                <w:sz w:val="12"/>
              </w:rPr>
              <w:t>2</w:t>
            </w:r>
          </w:p>
        </w:tc>
        <w:tc>
          <w:tcPr>
            <w:tcW w:type="dxa" w:w="1386"/>
            <w:vAlign w:val="top"/>
            <w:tcMar>
              <w:top w:w="75" w:type="dxa"/>
              <w:start w:w="75" w:type="dxa"/>
              <w:bottom w:w="75" w:type="dxa"/>
              <w:end w:w="75" w:type="dxa"/>
            </w:tcMar>
          </w:tcPr>
          <w:p>
            <w:pPr>
              <w:spacing w:after="30" w:line="240" w:lineRule="auto"/>
            </w:pPr>
            <w:r>
              <w:rPr>
                <w:rFonts w:ascii="Arial" w:hAnsi="Arial"/>
                <w:sz w:val="12"/>
              </w:rPr>
              <w:t>2</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P3</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tcPr>
          <w:p>
            <w:pPr>
              <w:spacing w:after="30" w:line="240" w:lineRule="auto"/>
            </w:pPr>
            <w:r>
              <w:rPr>
                <w:rFonts w:ascii="Arial" w:hAnsi="Arial"/>
                <w:sz w:val="12"/>
              </w:rPr>
              <w:t>R00649 (P3): digital product passport; product passport; R01134 (P3): bill of quantities; building information model; bim model; R00129 (P4): Not reported</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service life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273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17</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6</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R00851 (P1): environmental product declaration; epds; one click lca; lca database; manufacturer data; R00219 (P2): user input; R00321 (P3): visual inspection</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adaptability</w:t>
            </w:r>
          </w:p>
        </w:tc>
        <w:tc>
          <w:tcPr>
            <w:tcW w:type="dxa" w:w="1386"/>
            <w:vAlign w:val="top"/>
            <w:tcMar>
              <w:top w:w="75" w:type="dxa"/>
              <w:start w:w="75" w:type="dxa"/>
              <w:bottom w:w="75" w:type="dxa"/>
              <w:end w:w="75" w:type="dxa"/>
            </w:tcMar>
          </w:tcPr>
          <w:p>
            <w:pPr>
              <w:spacing w:after="30" w:line="240" w:lineRule="auto"/>
            </w:pPr>
            <w:r>
              <w:rPr>
                <w:rFonts w:ascii="Arial" w:hAnsi="Arial"/>
                <w:sz w:val="12"/>
              </w:rPr>
              <w:t>251</w:t>
            </w:r>
          </w:p>
        </w:tc>
        <w:tc>
          <w:tcPr>
            <w:tcW w:type="dxa" w:w="1386"/>
            <w:vAlign w:val="top"/>
            <w:tcMar>
              <w:top w:w="75" w:type="dxa"/>
              <w:start w:w="75" w:type="dxa"/>
              <w:bottom w:w="75" w:type="dxa"/>
              <w:end w:w="75" w:type="dxa"/>
            </w:tcMar>
          </w:tcPr>
          <w:p>
            <w:pPr>
              <w:spacing w:after="30" w:line="240" w:lineRule="auto"/>
            </w:pPr>
            <w:r>
              <w:rPr>
                <w:rFonts w:ascii="Arial" w:hAnsi="Arial"/>
                <w:sz w:val="12"/>
              </w:rPr>
              <w:t>11</w:t>
            </w:r>
          </w:p>
        </w:tc>
        <w:tc>
          <w:tcPr>
            <w:tcW w:type="dxa" w:w="1386"/>
            <w:vAlign w:val="top"/>
            <w:tcMar>
              <w:top w:w="75" w:type="dxa"/>
              <w:start w:w="75" w:type="dxa"/>
              <w:bottom w:w="75" w:type="dxa"/>
              <w:end w:w="75" w:type="dxa"/>
            </w:tcMar>
          </w:tcPr>
          <w:p>
            <w:pPr>
              <w:spacing w:after="30" w:line="240" w:lineRule="auto"/>
            </w:pPr>
            <w:r>
              <w:rPr>
                <w:rFonts w:ascii="Arial" w:hAnsi="Arial"/>
                <w:sz w:val="12"/>
              </w:rPr>
              <w:t>5</w:t>
            </w:r>
          </w:p>
        </w:tc>
        <w:tc>
          <w:tcPr>
            <w:tcW w:type="dxa" w:w="1386"/>
            <w:vAlign w:val="top"/>
            <w:tcMar>
              <w:top w:w="75" w:type="dxa"/>
              <w:start w:w="75" w:type="dxa"/>
              <w:bottom w:w="75" w:type="dxa"/>
              <w:end w:w="75" w:type="dxa"/>
            </w:tcMar>
          </w:tcPr>
          <w:p>
            <w:pPr>
              <w:spacing w:after="30" w:line="240" w:lineRule="auto"/>
            </w:pPr>
            <w:r>
              <w:rPr>
                <w:rFonts w:ascii="Arial" w:hAnsi="Arial"/>
                <w:sz w:val="12"/>
              </w:rPr>
              <w:t>2</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P2</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tcPr>
          <w:p>
            <w:pPr>
              <w:spacing w:after="30" w:line="240" w:lineRule="auto"/>
            </w:pPr>
            <w:r>
              <w:rPr>
                <w:rFonts w:ascii="Arial" w:hAnsi="Arial"/>
                <w:sz w:val="12"/>
              </w:rPr>
              <w:t>R00235 (P2): material passport; ifc; R01010 (P2): bim model; R00055 (P3): epds</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expert judgment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250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4</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4</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Scenario-dependent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R00007 (P3): expert judgment; R00110 (P3): expert opinion; R00223 (P3): epds; expert judgement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transport</w:t>
            </w:r>
          </w:p>
        </w:tc>
        <w:tc>
          <w:tcPr>
            <w:tcW w:type="dxa" w:w="1386"/>
            <w:vAlign w:val="top"/>
            <w:tcMar>
              <w:top w:w="75" w:type="dxa"/>
              <w:start w:w="75" w:type="dxa"/>
              <w:bottom w:w="75" w:type="dxa"/>
              <w:end w:w="75" w:type="dxa"/>
            </w:tcMar>
          </w:tcPr>
          <w:p>
            <w:pPr>
              <w:spacing w:after="30" w:line="240" w:lineRule="auto"/>
            </w:pPr>
            <w:r>
              <w:rPr>
                <w:rFonts w:ascii="Arial" w:hAnsi="Arial"/>
                <w:sz w:val="12"/>
              </w:rPr>
              <w:t>234</w:t>
            </w:r>
          </w:p>
        </w:tc>
        <w:tc>
          <w:tcPr>
            <w:tcW w:type="dxa" w:w="1386"/>
            <w:vAlign w:val="top"/>
            <w:tcMar>
              <w:top w:w="75" w:type="dxa"/>
              <w:start w:w="75" w:type="dxa"/>
              <w:bottom w:w="75" w:type="dxa"/>
              <w:end w:w="75" w:type="dxa"/>
            </w:tcMar>
          </w:tcPr>
          <w:p>
            <w:pPr>
              <w:spacing w:after="30" w:line="240" w:lineRule="auto"/>
            </w:pPr>
            <w:r>
              <w:rPr>
                <w:rFonts w:ascii="Arial" w:hAnsi="Arial"/>
                <w:sz w:val="12"/>
              </w:rPr>
              <w:t>12</w:t>
            </w:r>
          </w:p>
        </w:tc>
        <w:tc>
          <w:tcPr>
            <w:tcW w:type="dxa" w:w="1386"/>
            <w:vAlign w:val="top"/>
            <w:tcMar>
              <w:top w:w="75" w:type="dxa"/>
              <w:start w:w="75" w:type="dxa"/>
              <w:bottom w:w="75" w:type="dxa"/>
              <w:end w:w="75" w:type="dxa"/>
            </w:tcMar>
          </w:tcPr>
          <w:p>
            <w:pPr>
              <w:spacing w:after="30" w:line="240" w:lineRule="auto"/>
            </w:pPr>
            <w:r>
              <w:rPr>
                <w:rFonts w:ascii="Arial" w:hAnsi="Arial"/>
                <w:sz w:val="12"/>
              </w:rPr>
              <w:t>7</w:t>
            </w:r>
          </w:p>
        </w:tc>
        <w:tc>
          <w:tcPr>
            <w:tcW w:type="dxa" w:w="1386"/>
            <w:vAlign w:val="top"/>
            <w:tcMar>
              <w:top w:w="75" w:type="dxa"/>
              <w:start w:w="75" w:type="dxa"/>
              <w:bottom w:w="75" w:type="dxa"/>
              <w:end w:w="75" w:type="dxa"/>
            </w:tcMar>
          </w:tcPr>
          <w:p>
            <w:pPr>
              <w:spacing w:after="30" w:line="240" w:lineRule="auto"/>
            </w:pPr>
            <w:r>
              <w:rPr>
                <w:rFonts w:ascii="Arial" w:hAnsi="Arial"/>
                <w:sz w:val="12"/>
              </w:rPr>
              <w:t>3</w:t>
            </w:r>
          </w:p>
        </w:tc>
        <w:tc>
          <w:tcPr>
            <w:tcW w:type="dxa" w:w="1386"/>
            <w:vAlign w:val="top"/>
            <w:tcMar>
              <w:top w:w="75" w:type="dxa"/>
              <w:start w:w="75" w:type="dxa"/>
              <w:bottom w:w="75" w:type="dxa"/>
              <w:end w:w="75" w:type="dxa"/>
            </w:tcMar>
          </w:tcPr>
          <w:p>
            <w:pPr>
              <w:spacing w:after="30" w:line="240" w:lineRule="auto"/>
            </w:pPr>
            <w:r>
              <w:rPr>
                <w:rFonts w:ascii="Arial" w:hAnsi="Arial"/>
                <w:sz w:val="12"/>
              </w:rPr>
              <w:t>2</w:t>
            </w:r>
          </w:p>
        </w:tc>
        <w:tc>
          <w:tcPr>
            <w:tcW w:type="dxa" w:w="1386"/>
            <w:vAlign w:val="top"/>
            <w:tcMar>
              <w:top w:w="75" w:type="dxa"/>
              <w:start w:w="75" w:type="dxa"/>
              <w:bottom w:w="75" w:type="dxa"/>
              <w:end w:w="75" w:type="dxa"/>
            </w:tcMar>
          </w:tcPr>
          <w:p>
            <w:pPr>
              <w:spacing w:after="30" w:line="240" w:lineRule="auto"/>
            </w:pPr>
            <w:r>
              <w:rPr>
                <w:rFonts w:ascii="Arial" w:hAnsi="Arial"/>
                <w:sz w:val="12"/>
              </w:rPr>
              <w:t>P1</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tcPr>
          <w:p>
            <w:pPr>
              <w:spacing w:after="30" w:line="240" w:lineRule="auto"/>
            </w:pPr>
            <w:r>
              <w:rPr>
                <w:rFonts w:ascii="Arial" w:hAnsi="Arial"/>
                <w:sz w:val="12"/>
              </w:rPr>
              <w:t>R00920 (P1): secondary data; R01072 (P1): gis; R00939 (P2): openlca</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disassembly potential</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193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R00455 (P1): bim model; R00420 (P3): future scenario; R00439 (P3): building information model</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manufacturer information</w:t>
            </w:r>
          </w:p>
        </w:tc>
        <w:tc>
          <w:tcPr>
            <w:tcW w:type="dxa" w:w="1386"/>
            <w:vAlign w:val="top"/>
            <w:tcMar>
              <w:top w:w="75" w:type="dxa"/>
              <w:start w:w="75" w:type="dxa"/>
              <w:bottom w:w="75" w:type="dxa"/>
              <w:end w:w="75" w:type="dxa"/>
            </w:tcMar>
          </w:tcPr>
          <w:p>
            <w:pPr>
              <w:spacing w:after="30" w:line="240" w:lineRule="auto"/>
            </w:pPr>
            <w:r>
              <w:rPr>
                <w:rFonts w:ascii="Arial" w:hAnsi="Arial"/>
                <w:sz w:val="12"/>
              </w:rPr>
              <w:t>165</w:t>
            </w:r>
          </w:p>
        </w:tc>
        <w:tc>
          <w:tcPr>
            <w:tcW w:type="dxa" w:w="1386"/>
            <w:vAlign w:val="top"/>
            <w:tcMar>
              <w:top w:w="75" w:type="dxa"/>
              <w:start w:w="75" w:type="dxa"/>
              <w:bottom w:w="75" w:type="dxa"/>
              <w:end w:w="75" w:type="dxa"/>
            </w:tcMar>
          </w:tcPr>
          <w:p>
            <w:pPr>
              <w:spacing w:after="30" w:line="240" w:lineRule="auto"/>
            </w:pPr>
            <w:r>
              <w:rPr>
                <w:rFonts w:ascii="Arial" w:hAnsi="Arial"/>
                <w:sz w:val="12"/>
              </w:rPr>
              <w:t>3</w:t>
            </w:r>
          </w:p>
        </w:tc>
        <w:tc>
          <w:tcPr>
            <w:tcW w:type="dxa" w:w="1386"/>
            <w:vAlign w:val="top"/>
            <w:tcMar>
              <w:top w:w="75" w:type="dxa"/>
              <w:start w:w="75" w:type="dxa"/>
              <w:bottom w:w="75" w:type="dxa"/>
              <w:end w:w="75" w:type="dxa"/>
            </w:tcMar>
          </w:tcPr>
          <w:p>
            <w:pPr>
              <w:spacing w:after="30" w:line="240" w:lineRule="auto"/>
            </w:pPr>
            <w:r>
              <w:rPr>
                <w:rFonts w:ascii="Arial" w:hAnsi="Arial"/>
                <w:sz w:val="12"/>
              </w:rPr>
              <w:t>3</w:t>
            </w:r>
          </w:p>
        </w:tc>
        <w:tc>
          <w:tcPr>
            <w:tcW w:type="dxa" w:w="1386"/>
            <w:vAlign w:val="top"/>
            <w:tcMar>
              <w:top w:w="75" w:type="dxa"/>
              <w:start w:w="75" w:type="dxa"/>
              <w:bottom w:w="75" w:type="dxa"/>
              <w:end w:w="75" w:type="dxa"/>
            </w:tcMar>
          </w:tcPr>
          <w:p>
            <w:pPr>
              <w:spacing w:after="30" w:line="240" w:lineRule="auto"/>
            </w:pPr>
            <w:r>
              <w:rPr>
                <w:rFonts w:ascii="Arial" w:hAnsi="Arial"/>
                <w:sz w:val="12"/>
              </w:rPr>
              <w:t>1</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P2</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tcPr>
          <w:p>
            <w:pPr>
              <w:spacing w:after="30" w:line="240" w:lineRule="auto"/>
            </w:pPr>
            <w:r>
              <w:rPr>
                <w:rFonts w:ascii="Arial" w:hAnsi="Arial"/>
                <w:sz w:val="12"/>
              </w:rPr>
              <w:t>R00223 (P2): epds; ecoinvent; manufacturer data; R00075 (P3): epd; technical datasheet; manufacturer data; R00520 (P3): manufacturer information</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material toxicity</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153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5</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P2</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R00885 (P2): pre-demolition audit; demolition audit; R00223 (P3): Cradle to Cradle classification; technical sheets; material passports; EPDs; R00981 (P3): bim model</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material passport</w:t>
            </w:r>
          </w:p>
        </w:tc>
        <w:tc>
          <w:tcPr>
            <w:tcW w:type="dxa" w:w="1386"/>
            <w:vAlign w:val="top"/>
            <w:tcMar>
              <w:top w:w="75" w:type="dxa"/>
              <w:start w:w="75" w:type="dxa"/>
              <w:bottom w:w="75" w:type="dxa"/>
              <w:end w:w="75" w:type="dxa"/>
            </w:tcMar>
          </w:tcPr>
          <w:p>
            <w:pPr>
              <w:spacing w:after="30" w:line="240" w:lineRule="auto"/>
            </w:pPr>
            <w:r>
              <w:rPr>
                <w:rFonts w:ascii="Arial" w:hAnsi="Arial"/>
                <w:sz w:val="12"/>
              </w:rPr>
              <w:t>122</w:t>
            </w:r>
          </w:p>
        </w:tc>
        <w:tc>
          <w:tcPr>
            <w:tcW w:type="dxa" w:w="1386"/>
            <w:vAlign w:val="top"/>
            <w:tcMar>
              <w:top w:w="75" w:type="dxa"/>
              <w:start w:w="75" w:type="dxa"/>
              <w:bottom w:w="75" w:type="dxa"/>
              <w:end w:w="75" w:type="dxa"/>
            </w:tcMar>
          </w:tcPr>
          <w:p>
            <w:pPr>
              <w:spacing w:after="30" w:line="240" w:lineRule="auto"/>
            </w:pPr>
            <w:r>
              <w:rPr>
                <w:rFonts w:ascii="Arial" w:hAnsi="Arial"/>
                <w:sz w:val="12"/>
              </w:rPr>
              <w:t>20</w:t>
            </w:r>
          </w:p>
        </w:tc>
        <w:tc>
          <w:tcPr>
            <w:tcW w:type="dxa" w:w="1386"/>
            <w:vAlign w:val="top"/>
            <w:tcMar>
              <w:top w:w="75" w:type="dxa"/>
              <w:start w:w="75" w:type="dxa"/>
              <w:bottom w:w="75" w:type="dxa"/>
              <w:end w:w="75" w:type="dxa"/>
            </w:tcMar>
          </w:tcPr>
          <w:p>
            <w:pPr>
              <w:spacing w:after="30" w:line="240" w:lineRule="auto"/>
            </w:pPr>
            <w:r>
              <w:rPr>
                <w:rFonts w:ascii="Arial" w:hAnsi="Arial"/>
                <w:sz w:val="12"/>
              </w:rPr>
              <w:t>20</w:t>
            </w:r>
          </w:p>
        </w:tc>
        <w:tc>
          <w:tcPr>
            <w:tcW w:type="dxa" w:w="1386"/>
            <w:vAlign w:val="top"/>
            <w:tcMar>
              <w:top w:w="75" w:type="dxa"/>
              <w:start w:w="75" w:type="dxa"/>
              <w:bottom w:w="75" w:type="dxa"/>
              <w:end w:w="75" w:type="dxa"/>
            </w:tcMar>
          </w:tcPr>
          <w:p>
            <w:pPr>
              <w:spacing w:after="30" w:line="240" w:lineRule="auto"/>
            </w:pPr>
            <w:r>
              <w:rPr>
                <w:rFonts w:ascii="Arial" w:hAnsi="Arial"/>
                <w:sz w:val="12"/>
              </w:rPr>
              <w:t>5</w:t>
            </w:r>
          </w:p>
        </w:tc>
        <w:tc>
          <w:tcPr>
            <w:tcW w:type="dxa" w:w="1386"/>
            <w:vAlign w:val="top"/>
            <w:tcMar>
              <w:top w:w="75" w:type="dxa"/>
              <w:start w:w="75" w:type="dxa"/>
              <w:bottom w:w="75" w:type="dxa"/>
              <w:end w:w="75" w:type="dxa"/>
            </w:tcMar>
          </w:tcPr>
          <w:p>
            <w:pPr>
              <w:spacing w:after="30" w:line="240" w:lineRule="auto"/>
            </w:pPr>
            <w:r>
              <w:rPr>
                <w:rFonts w:ascii="Arial" w:hAnsi="Arial"/>
                <w:sz w:val="12"/>
              </w:rPr>
              <w:t>3</w:t>
            </w:r>
          </w:p>
        </w:tc>
        <w:tc>
          <w:tcPr>
            <w:tcW w:type="dxa" w:w="1386"/>
            <w:vAlign w:val="top"/>
            <w:tcMar>
              <w:top w:w="75" w:type="dxa"/>
              <w:start w:w="75" w:type="dxa"/>
              <w:bottom w:w="75" w:type="dxa"/>
              <w:end w:w="75" w:type="dxa"/>
            </w:tcMar>
          </w:tcPr>
          <w:p>
            <w:pPr>
              <w:spacing w:after="30" w:line="240" w:lineRule="auto"/>
            </w:pPr>
            <w:r>
              <w:rPr>
                <w:rFonts w:ascii="Arial" w:hAnsi="Arial"/>
                <w:sz w:val="12"/>
              </w:rPr>
              <w:t>P1</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tcPr>
          <w:p>
            <w:pPr>
              <w:spacing w:after="30" w:line="240" w:lineRule="auto"/>
            </w:pPr>
            <w:r>
              <w:rPr>
                <w:rFonts w:ascii="Arial" w:hAnsi="Arial"/>
                <w:sz w:val="12"/>
              </w:rPr>
              <w:t>R00772 (P1): material passport; R00885 (P1): material passport; R00902 (P1): material passport</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recovery potential</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88</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8</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Scenario-dependent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R00795 (P3): material takeoff; bim model; R00799 (P3): one click lca; R00982 (P3): material passport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product passport</w:t>
            </w:r>
          </w:p>
        </w:tc>
        <w:tc>
          <w:tcPr>
            <w:tcW w:type="dxa" w:w="1386"/>
            <w:vAlign w:val="top"/>
            <w:tcMar>
              <w:top w:w="75" w:type="dxa"/>
              <w:start w:w="75" w:type="dxa"/>
              <w:bottom w:w="75" w:type="dxa"/>
              <w:end w:w="75" w:type="dxa"/>
            </w:tcMar>
          </w:tcPr>
          <w:p>
            <w:pPr>
              <w:spacing w:after="30" w:line="240" w:lineRule="auto"/>
            </w:pPr>
            <w:r>
              <w:rPr>
                <w:rFonts w:ascii="Arial" w:hAnsi="Arial"/>
                <w:sz w:val="12"/>
              </w:rPr>
              <w:t>61</w:t>
            </w:r>
          </w:p>
        </w:tc>
        <w:tc>
          <w:tcPr>
            <w:tcW w:type="dxa" w:w="1386"/>
            <w:vAlign w:val="top"/>
            <w:tcMar>
              <w:top w:w="75" w:type="dxa"/>
              <w:start w:w="75" w:type="dxa"/>
              <w:bottom w:w="75" w:type="dxa"/>
              <w:end w:w="75" w:type="dxa"/>
            </w:tcMar>
          </w:tcPr>
          <w:p>
            <w:pPr>
              <w:spacing w:after="30" w:line="240" w:lineRule="auto"/>
            </w:pPr>
            <w:r>
              <w:rPr>
                <w:rFonts w:ascii="Arial" w:hAnsi="Arial"/>
                <w:sz w:val="12"/>
              </w:rPr>
              <w:t>6</w:t>
            </w:r>
          </w:p>
        </w:tc>
        <w:tc>
          <w:tcPr>
            <w:tcW w:type="dxa" w:w="1386"/>
            <w:vAlign w:val="top"/>
            <w:tcMar>
              <w:top w:w="75" w:type="dxa"/>
              <w:start w:w="75" w:type="dxa"/>
              <w:bottom w:w="75" w:type="dxa"/>
              <w:end w:w="75" w:type="dxa"/>
            </w:tcMar>
          </w:tcPr>
          <w:p>
            <w:pPr>
              <w:spacing w:after="30" w:line="240" w:lineRule="auto"/>
            </w:pPr>
            <w:r>
              <w:rPr>
                <w:rFonts w:ascii="Arial" w:hAnsi="Arial"/>
                <w:sz w:val="12"/>
              </w:rPr>
              <w:t>6</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P3</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Data-source known, stage unresolved</w:t>
            </w:r>
          </w:p>
        </w:tc>
        <w:tc>
          <w:tcPr>
            <w:tcW w:type="dxa" w:w="1386"/>
            <w:vAlign w:val="top"/>
            <w:tcMar>
              <w:top w:w="75" w:type="dxa"/>
              <w:start w:w="75" w:type="dxa"/>
              <w:bottom w:w="75" w:type="dxa"/>
              <w:end w:w="75" w:type="dxa"/>
            </w:tcMar>
          </w:tcPr>
          <w:p>
            <w:pPr>
              <w:spacing w:after="30" w:line="240" w:lineRule="auto"/>
            </w:pPr>
            <w:r>
              <w:rPr>
                <w:rFonts w:ascii="Arial" w:hAnsi="Arial"/>
                <w:sz w:val="12"/>
              </w:rPr>
              <w:t>R00055 (P3): epds; product passport; R00216 (P3): digital product passport; product passport; R00250 (P3): digital product passport; product passport</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renewable content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53</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P4</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Requirement known, provenance weak</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R00689 (P4): bim model; R00900 (P4): Not reported; R00922 (P4): Not reported</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recycled content</w:t>
            </w:r>
          </w:p>
        </w:tc>
        <w:tc>
          <w:tcPr>
            <w:tcW w:type="dxa" w:w="1386"/>
            <w:vAlign w:val="top"/>
            <w:tcMar>
              <w:top w:w="75" w:type="dxa"/>
              <w:start w:w="75" w:type="dxa"/>
              <w:bottom w:w="75" w:type="dxa"/>
              <w:end w:w="75" w:type="dxa"/>
            </w:tcMar>
          </w:tcPr>
          <w:p>
            <w:pPr>
              <w:spacing w:after="30" w:line="240" w:lineRule="auto"/>
            </w:pPr>
            <w:r>
              <w:rPr>
                <w:rFonts w:ascii="Arial" w:hAnsi="Arial"/>
                <w:sz w:val="12"/>
              </w:rPr>
              <w:t>38</w:t>
            </w:r>
          </w:p>
        </w:tc>
        <w:tc>
          <w:tcPr>
            <w:tcW w:type="dxa" w:w="1386"/>
            <w:vAlign w:val="top"/>
            <w:tcMar>
              <w:top w:w="75" w:type="dxa"/>
              <w:start w:w="75" w:type="dxa"/>
              <w:bottom w:w="75" w:type="dxa"/>
              <w:end w:w="75" w:type="dxa"/>
            </w:tcMar>
          </w:tcPr>
          <w:p>
            <w:pPr>
              <w:spacing w:after="30" w:line="240" w:lineRule="auto"/>
            </w:pPr>
            <w:r>
              <w:rPr>
                <w:rFonts w:ascii="Arial" w:hAnsi="Arial"/>
                <w:sz w:val="12"/>
              </w:rPr>
              <w:t>1</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P4</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Requirement known, provenance weak</w:t>
            </w:r>
          </w:p>
        </w:tc>
        <w:tc>
          <w:tcPr>
            <w:tcW w:type="dxa" w:w="1386"/>
            <w:vAlign w:val="top"/>
            <w:tcMar>
              <w:top w:w="75" w:type="dxa"/>
              <w:start w:w="75" w:type="dxa"/>
              <w:bottom w:w="75" w:type="dxa"/>
              <w:end w:w="75" w:type="dxa"/>
            </w:tcMar>
          </w:tcPr>
          <w:p>
            <w:pPr>
              <w:spacing w:after="30" w:line="240" w:lineRule="auto"/>
            </w:pPr>
            <w:r>
              <w:rPr>
                <w:rFonts w:ascii="Arial" w:hAnsi="Arial"/>
                <w:sz w:val="12"/>
              </w:rPr>
              <w:t>R00097 (P4): Not reported; R00108 (P4): quantity take-off; building information model; R00139 (P4): Not reported</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separability</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27</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1</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P4</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Requirement known, provenance weak</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R00047 (P4): bim model; R00116 (P4): Not reported; R00212 (P4): Not reported</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virgin material</w:t>
            </w:r>
          </w:p>
        </w:tc>
        <w:tc>
          <w:tcPr>
            <w:tcW w:type="dxa" w:w="1386"/>
            <w:vAlign w:val="top"/>
            <w:tcMar>
              <w:top w:w="75" w:type="dxa"/>
              <w:start w:w="75" w:type="dxa"/>
              <w:bottom w:w="75" w:type="dxa"/>
              <w:end w:w="75" w:type="dxa"/>
            </w:tcMar>
          </w:tcPr>
          <w:p>
            <w:pPr>
              <w:spacing w:after="30" w:line="240" w:lineRule="auto"/>
            </w:pPr>
            <w:r>
              <w:rPr>
                <w:rFonts w:ascii="Arial" w:hAnsi="Arial"/>
                <w:sz w:val="12"/>
              </w:rPr>
              <w:t>27</w:t>
            </w:r>
          </w:p>
        </w:tc>
        <w:tc>
          <w:tcPr>
            <w:tcW w:type="dxa" w:w="1386"/>
            <w:vAlign w:val="top"/>
            <w:tcMar>
              <w:top w:w="75" w:type="dxa"/>
              <w:start w:w="75" w:type="dxa"/>
              <w:bottom w:w="75" w:type="dxa"/>
              <w:end w:w="75" w:type="dxa"/>
            </w:tcMar>
          </w:tcPr>
          <w:p>
            <w:pPr>
              <w:spacing w:after="30" w:line="240" w:lineRule="auto"/>
            </w:pPr>
            <w:r>
              <w:rPr>
                <w:rFonts w:ascii="Arial" w:hAnsi="Arial"/>
                <w:sz w:val="12"/>
              </w:rPr>
              <w:t>3</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P4</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Requirement known, provenance weak</w:t>
            </w:r>
          </w:p>
        </w:tc>
        <w:tc>
          <w:tcPr>
            <w:tcW w:type="dxa" w:w="1386"/>
            <w:vAlign w:val="top"/>
            <w:tcMar>
              <w:top w:w="75" w:type="dxa"/>
              <w:start w:w="75" w:type="dxa"/>
              <w:bottom w:w="75" w:type="dxa"/>
              <w:end w:w="75" w:type="dxa"/>
            </w:tcMar>
          </w:tcPr>
          <w:p>
            <w:pPr>
              <w:spacing w:after="30" w:line="240" w:lineRule="auto"/>
            </w:pPr>
            <w:r>
              <w:rPr>
                <w:rFonts w:ascii="Arial" w:hAnsi="Arial"/>
                <w:sz w:val="12"/>
              </w:rPr>
              <w:t>R00130 (P4): manufacturer data; R00151 (P4): future scenario; R00251 (P4): Not reported</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future value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22</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P4</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Scenario-dependent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R00373 (P4): Not reported; R00795 (P4): Not reported; R00993 (P4): material passport; building information model</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repairability</w:t>
            </w:r>
          </w:p>
        </w:tc>
        <w:tc>
          <w:tcPr>
            <w:tcW w:type="dxa" w:w="1386"/>
            <w:vAlign w:val="top"/>
            <w:tcMar>
              <w:top w:w="75" w:type="dxa"/>
              <w:start w:w="75" w:type="dxa"/>
              <w:bottom w:w="75" w:type="dxa"/>
              <w:end w:w="75" w:type="dxa"/>
            </w:tcMar>
          </w:tcPr>
          <w:p>
            <w:pPr>
              <w:spacing w:after="30" w:line="240" w:lineRule="auto"/>
            </w:pPr>
            <w:r>
              <w:rPr>
                <w:rFonts w:ascii="Arial" w:hAnsi="Arial"/>
                <w:sz w:val="12"/>
              </w:rPr>
              <w:t>20</w:t>
            </w:r>
          </w:p>
        </w:tc>
        <w:tc>
          <w:tcPr>
            <w:tcW w:type="dxa" w:w="1386"/>
            <w:vAlign w:val="top"/>
            <w:tcMar>
              <w:top w:w="75" w:type="dxa"/>
              <w:start w:w="75" w:type="dxa"/>
              <w:bottom w:w="75" w:type="dxa"/>
              <w:end w:w="75" w:type="dxa"/>
            </w:tcMar>
          </w:tcPr>
          <w:p>
            <w:pPr>
              <w:spacing w:after="30" w:line="240" w:lineRule="auto"/>
            </w:pPr>
            <w:r>
              <w:rPr>
                <w:rFonts w:ascii="Arial" w:hAnsi="Arial"/>
                <w:sz w:val="12"/>
              </w:rPr>
              <w:t>2</w:t>
            </w:r>
          </w:p>
        </w:tc>
        <w:tc>
          <w:tcPr>
            <w:tcW w:type="dxa" w:w="1386"/>
            <w:vAlign w:val="top"/>
            <w:tcMar>
              <w:top w:w="75" w:type="dxa"/>
              <w:start w:w="75" w:type="dxa"/>
              <w:bottom w:w="75" w:type="dxa"/>
              <w:end w:w="75" w:type="dxa"/>
            </w:tcMar>
          </w:tcPr>
          <w:p>
            <w:pPr>
              <w:spacing w:after="30" w:line="240" w:lineRule="auto"/>
            </w:pPr>
            <w:r>
              <w:rPr>
                <w:rFonts w:ascii="Arial" w:hAnsi="Arial"/>
                <w:sz w:val="12"/>
              </w:rPr>
              <w:t>1</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P3</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Requirement known, provenance weak</w:t>
            </w:r>
          </w:p>
        </w:tc>
        <w:tc>
          <w:tcPr>
            <w:tcW w:type="dxa" w:w="1386"/>
            <w:vAlign w:val="top"/>
            <w:tcMar>
              <w:top w:w="75" w:type="dxa"/>
              <w:start w:w="75" w:type="dxa"/>
              <w:bottom w:w="75" w:type="dxa"/>
              <w:end w:w="75" w:type="dxa"/>
            </w:tcMar>
          </w:tcPr>
          <w:p>
            <w:pPr>
              <w:spacing w:after="30" w:line="240" w:lineRule="auto"/>
            </w:pPr>
            <w:r>
              <w:rPr>
                <w:rFonts w:ascii="Arial" w:hAnsi="Arial"/>
                <w:sz w:val="12"/>
              </w:rPr>
              <w:t>R00954 (P3): quantity take-off; bim model; ifc; R00002 (P4): Not reported; R00181 (P4): Not reported</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take-back information</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20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P4</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Scenario-dependent</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R00279 (P4): Not reported; R00288 (P4): material passport; R00413 (P4): Not reported</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tcPr>
          <w:p>
            <w:pPr>
              <w:spacing w:after="30" w:line="240" w:lineRule="auto"/>
            </w:pPr>
            <w:r>
              <w:rPr>
                <w:rFonts w:ascii="Arial" w:hAnsi="Arial"/>
                <w:sz w:val="12"/>
              </w:rPr>
              <w:t>maintainability</w:t>
            </w:r>
          </w:p>
        </w:tc>
        <w:tc>
          <w:tcPr>
            <w:tcW w:type="dxa" w:w="1386"/>
            <w:vAlign w:val="top"/>
            <w:tcMar>
              <w:top w:w="75" w:type="dxa"/>
              <w:start w:w="75" w:type="dxa"/>
              <w:bottom w:w="75" w:type="dxa"/>
              <w:end w:w="75" w:type="dxa"/>
            </w:tcMar>
          </w:tcPr>
          <w:p>
            <w:pPr>
              <w:spacing w:after="30" w:line="240" w:lineRule="auto"/>
            </w:pPr>
            <w:r>
              <w:rPr>
                <w:rFonts w:ascii="Arial" w:hAnsi="Arial"/>
                <w:sz w:val="12"/>
              </w:rPr>
              <w:t>19</w:t>
            </w:r>
          </w:p>
        </w:tc>
        <w:tc>
          <w:tcPr>
            <w:tcW w:type="dxa" w:w="1386"/>
            <w:vAlign w:val="top"/>
            <w:tcMar>
              <w:top w:w="75" w:type="dxa"/>
              <w:start w:w="75" w:type="dxa"/>
              <w:bottom w:w="75" w:type="dxa"/>
              <w:end w:w="75" w:type="dxa"/>
            </w:tcMar>
          </w:tcPr>
          <w:p>
            <w:pPr>
              <w:spacing w:after="30" w:line="240" w:lineRule="auto"/>
            </w:pPr>
            <w:r>
              <w:rPr>
                <w:rFonts w:ascii="Arial" w:hAnsi="Arial"/>
                <w:sz w:val="12"/>
              </w:rPr>
              <w:t>1</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0</w:t>
            </w:r>
          </w:p>
        </w:tc>
        <w:tc>
          <w:tcPr>
            <w:tcW w:type="dxa" w:w="1386"/>
            <w:vAlign w:val="top"/>
            <w:tcMar>
              <w:top w:w="75" w:type="dxa"/>
              <w:start w:w="75" w:type="dxa"/>
              <w:bottom w:w="75" w:type="dxa"/>
              <w:end w:w="75" w:type="dxa"/>
            </w:tcMar>
          </w:tcPr>
          <w:p>
            <w:pPr>
              <w:spacing w:after="30" w:line="240" w:lineRule="auto"/>
            </w:pPr>
            <w:r>
              <w:rPr>
                <w:rFonts w:ascii="Arial" w:hAnsi="Arial"/>
                <w:sz w:val="12"/>
              </w:rPr>
              <w:t>P4</w:t>
            </w:r>
          </w:p>
        </w:tc>
        <w:tc>
          <w:tcPr>
            <w:tcW w:type="dxa" w:w="1386"/>
            <w:vAlign w:val="top"/>
            <w:tcMar>
              <w:top w:w="75" w:type="dxa"/>
              <w:start w:w="75" w:type="dxa"/>
              <w:bottom w:w="75" w:type="dxa"/>
              <w:end w:w="75" w:type="dxa"/>
            </w:tcMar>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tcPr>
          <w:p>
            <w:pPr>
              <w:spacing w:after="30" w:line="240" w:lineRule="auto"/>
            </w:pPr>
            <w:r>
              <w:rPr>
                <w:rFonts w:ascii="Arial" w:hAnsi="Arial"/>
                <w:sz w:val="12"/>
              </w:rPr>
              <w:t>Requirement known, provenance weak</w:t>
            </w:r>
          </w:p>
        </w:tc>
        <w:tc>
          <w:tcPr>
            <w:tcW w:type="dxa" w:w="1386"/>
            <w:vAlign w:val="top"/>
            <w:tcMar>
              <w:top w:w="75" w:type="dxa"/>
              <w:start w:w="75" w:type="dxa"/>
              <w:bottom w:w="75" w:type="dxa"/>
              <w:end w:w="75" w:type="dxa"/>
            </w:tcMar>
          </w:tcPr>
          <w:p>
            <w:pPr>
              <w:spacing w:after="30" w:line="240" w:lineRule="auto"/>
            </w:pPr>
            <w:r>
              <w:rPr>
                <w:rFonts w:ascii="Arial" w:hAnsi="Arial"/>
                <w:sz w:val="12"/>
              </w:rPr>
              <w:t>R00181 (P4): Not reported; R00240 (P4): Not reported; R00436 (P4): Not reported</w:t>
            </w:r>
          </w:p>
        </w:tc>
        <w:tc>
          <w:tcPr>
            <w:tcW w:type="dxa" w:w="1386"/>
            <w:vAlign w:val="top"/>
            <w:tcMar>
              <w:top w:w="75" w:type="dxa"/>
              <w:start w:w="75" w:type="dxa"/>
              <w:bottom w:w="75" w:type="dxa"/>
              <w:end w:w="75" w:type="dxa"/>
            </w:tcMar>
          </w:tcPr>
          <w:p>
            <w:pPr>
              <w:spacing w:after="30" w:line="240" w:lineRule="auto"/>
            </w:pPr>
            <w:r>
              <w:rPr>
                <w:rFonts w:ascii="Arial" w:hAnsi="Arial"/>
                <w:sz w:val="12"/>
              </w:rPr>
            </w:r>
          </w:p>
        </w:tc>
      </w:tr>
      <w:tr>
        <w:trPr>
          <w:cantSplit/>
        </w:trPr>
        <w:tc>
          <w:tcPr>
            <w:tcW w:type="dxa" w:w="1386"/>
            <w:vAlign w:val="top"/>
            <w:tcMar>
              <w:top w:w="75" w:type="dxa"/>
              <w:start w:w="75" w:type="dxa"/>
              <w:bottom w:w="75" w:type="dxa"/>
              <w:end w:w="75" w:type="dxa"/>
            </w:tcMar>
            <w:shd w:fill="EDF3F5"/>
          </w:tcPr>
          <w:p>
            <w:pPr>
              <w:spacing w:after="30" w:line="240" w:lineRule="auto"/>
            </w:pPr>
            <w:r>
              <w:rPr>
                <w:rFonts w:ascii="Arial" w:hAnsi="Arial"/>
                <w:sz w:val="12"/>
              </w:rPr>
              <w:t>replaceability</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8</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0</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P5</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non-Core</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Requirement known, provenance weak</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t>R00125 (P5): Not reported; R00139 (P5): Not reported; R00321 (P5): Not reported</w:t>
            </w:r>
          </w:p>
        </w:tc>
        <w:tc>
          <w:tcPr>
            <w:tcW w:type="dxa" w:w="1386"/>
            <w:vAlign w:val="top"/>
            <w:tcMar>
              <w:top w:w="75" w:type="dxa"/>
              <w:start w:w="75" w:type="dxa"/>
              <w:bottom w:w="75" w:type="dxa"/>
              <w:end w:w="75" w:type="dxa"/>
            </w:tcMar>
            <w:shd w:fill="EDF3F5"/>
          </w:tcPr>
          <w:p>
            <w:pPr>
              <w:spacing w:after="30" w:line="240" w:lineRule="auto"/>
            </w:pPr>
            <w:r>
              <w:rPr>
                <w:rFonts w:ascii="Arial" w:hAnsi="Arial"/>
                <w:sz w:val="12"/>
              </w:rPr>
            </w:r>
          </w:p>
        </w:tc>
      </w:tr>
    </w:tbl>
    <w:p/>
    <w:p>
      <w:pPr>
        <w:pStyle w:val="Caption"/>
      </w:pPr>
      <w:r>
        <w:t>Table S5. AI function, role, evidence-grade, early-design, and Function 6 codebook.</w:t>
      </w:r>
    </w:p>
    <w:tbl>
      <w:tblPr>
        <w:tblStyle w:val="TableGrid"/>
        <w:tblW w:type="auto" w:w="0"/>
        <w:jc w:val="center"/>
        <w:tblLayout w:type="autofit"/>
        <w:tblLook w:firstColumn="1" w:firstRow="1" w:lastColumn="0" w:lastRow="0" w:noHBand="0" w:noVBand="1" w:val="04A0"/>
      </w:tblPr>
      <w:tblGrid>
        <w:gridCol w:w="3812"/>
        <w:gridCol w:w="3812"/>
        <w:gridCol w:w="3812"/>
        <w:gridCol w:w="3812"/>
      </w:tblGrid>
      <w:tr>
        <w:trPr>
          <w:tblHeader w:val="true"/>
        </w:trPr>
        <w:tc>
          <w:tcPr>
            <w:tcW w:type="dxa" w:w="3812"/>
            <w:shd w:fill="173D55"/>
            <w:vAlign w:val="center"/>
            <w:tcMar>
              <w:top w:w="90" w:type="dxa"/>
              <w:start w:w="85" w:type="dxa"/>
              <w:bottom w:w="90" w:type="dxa"/>
              <w:end w:w="85" w:type="dxa"/>
            </w:tcMar>
          </w:tcPr>
          <w:p>
            <w:pPr>
              <w:jc w:val="center"/>
            </w:pPr>
            <w:r>
              <w:rPr>
                <w:rFonts w:ascii="Arial" w:hAnsi="Arial"/>
                <w:b/>
                <w:color w:val="FFFFFF"/>
                <w:sz w:val="14"/>
              </w:rPr>
              <w:t>Category</w:t>
            </w:r>
          </w:p>
        </w:tc>
        <w:tc>
          <w:tcPr>
            <w:tcW w:type="dxa" w:w="3812"/>
            <w:shd w:fill="173D55"/>
            <w:vAlign w:val="center"/>
            <w:tcMar>
              <w:top w:w="90" w:type="dxa"/>
              <w:start w:w="85" w:type="dxa"/>
              <w:bottom w:w="90" w:type="dxa"/>
              <w:end w:w="85" w:type="dxa"/>
            </w:tcMar>
          </w:tcPr>
          <w:p>
            <w:pPr>
              <w:jc w:val="center"/>
            </w:pPr>
            <w:r>
              <w:rPr>
                <w:rFonts w:ascii="Arial" w:hAnsi="Arial"/>
                <w:b/>
                <w:color w:val="FFFFFF"/>
                <w:sz w:val="14"/>
              </w:rPr>
              <w:t>Term</w:t>
            </w:r>
          </w:p>
        </w:tc>
        <w:tc>
          <w:tcPr>
            <w:tcW w:type="dxa" w:w="3812"/>
            <w:shd w:fill="173D55"/>
            <w:vAlign w:val="center"/>
            <w:tcMar>
              <w:top w:w="90" w:type="dxa"/>
              <w:start w:w="85" w:type="dxa"/>
              <w:bottom w:w="90" w:type="dxa"/>
              <w:end w:w="85" w:type="dxa"/>
            </w:tcMar>
          </w:tcPr>
          <w:p>
            <w:pPr>
              <w:jc w:val="center"/>
            </w:pPr>
            <w:r>
              <w:rPr>
                <w:rFonts w:ascii="Arial" w:hAnsi="Arial"/>
                <w:b/>
                <w:color w:val="FFFFFF"/>
                <w:sz w:val="14"/>
              </w:rPr>
              <w:t>Operational definition</w:t>
            </w:r>
          </w:p>
        </w:tc>
        <w:tc>
          <w:tcPr>
            <w:tcW w:type="dxa" w:w="3812"/>
            <w:shd w:fill="173D55"/>
            <w:vAlign w:val="center"/>
            <w:tcMar>
              <w:top w:w="90" w:type="dxa"/>
              <w:start w:w="85" w:type="dxa"/>
              <w:bottom w:w="90" w:type="dxa"/>
              <w:end w:w="85" w:type="dxa"/>
            </w:tcMar>
          </w:tcPr>
          <w:p>
            <w:pPr>
              <w:jc w:val="center"/>
            </w:pPr>
            <w:r>
              <w:rPr>
                <w:rFonts w:ascii="Arial" w:hAnsi="Arial"/>
                <w:b/>
                <w:color w:val="FFFFFF"/>
                <w:sz w:val="14"/>
              </w:rPr>
              <w:t>Example/boundary</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AI function</w:t>
            </w:r>
          </w:p>
        </w:tc>
        <w:tc>
          <w:tcPr>
            <w:tcW w:type="dxa" w:w="3812"/>
            <w:vAlign w:val="top"/>
            <w:tcMar>
              <w:top w:w="75" w:type="dxa"/>
              <w:start w:w="75" w:type="dxa"/>
              <w:bottom w:w="75" w:type="dxa"/>
              <w:end w:w="75" w:type="dxa"/>
            </w:tcMar>
          </w:tcPr>
          <w:p>
            <w:pPr>
              <w:spacing w:after="30" w:line="240" w:lineRule="auto"/>
            </w:pPr>
            <w:r>
              <w:rPr>
                <w:rFonts w:ascii="Arial" w:hAnsi="Arial"/>
                <w:sz w:val="14"/>
              </w:rPr>
              <w:t>Extract/Retrieve</w:t>
            </w:r>
          </w:p>
        </w:tc>
        <w:tc>
          <w:tcPr>
            <w:tcW w:type="dxa" w:w="3812"/>
            <w:vAlign w:val="top"/>
            <w:tcMar>
              <w:top w:w="75" w:type="dxa"/>
              <w:start w:w="75" w:type="dxa"/>
              <w:bottom w:w="75" w:type="dxa"/>
              <w:end w:w="75" w:type="dxa"/>
            </w:tcMar>
          </w:tcPr>
          <w:p>
            <w:pPr>
              <w:spacing w:after="30" w:line="240" w:lineRule="auto"/>
            </w:pPr>
            <w:r>
              <w:rPr>
                <w:rFonts w:ascii="Arial" w:hAnsi="Arial"/>
                <w:sz w:val="14"/>
              </w:rPr>
              <w:t>Identify, extract, retrieve, parse, structure, or recognize information already present in a drawing, model, document, passport, database, or specification.</w:t>
            </w:r>
          </w:p>
        </w:tc>
        <w:tc>
          <w:tcPr>
            <w:tcW w:type="dxa" w:w="3812"/>
            <w:vAlign w:val="top"/>
            <w:tcMar>
              <w:top w:w="75" w:type="dxa"/>
              <w:start w:w="75" w:type="dxa"/>
              <w:bottom w:w="75" w:type="dxa"/>
              <w:end w:w="75" w:type="dxa"/>
            </w:tcMar>
          </w:tcPr>
          <w:p>
            <w:pPr>
              <w:spacing w:after="30" w:line="240" w:lineRule="auto"/>
            </w:pPr>
            <w:r>
              <w:rPr>
                <w:rFonts w:ascii="Arial" w:hAnsi="Arial"/>
                <w:sz w:val="14"/>
              </w:rPr>
              <w:t>Extract material or EPD fields from a product document.</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AI function</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Infer/Complete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Infer or fill missing, implicit, incomplete, or unstructured information.</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Complete missing IFC properties or infer component relationships.</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AI function</w:t>
            </w:r>
          </w:p>
        </w:tc>
        <w:tc>
          <w:tcPr>
            <w:tcW w:type="dxa" w:w="3812"/>
            <w:vAlign w:val="top"/>
            <w:tcMar>
              <w:top w:w="75" w:type="dxa"/>
              <w:start w:w="75" w:type="dxa"/>
              <w:bottom w:w="75" w:type="dxa"/>
              <w:end w:w="75" w:type="dxa"/>
            </w:tcMar>
          </w:tcPr>
          <w:p>
            <w:pPr>
              <w:spacing w:after="30" w:line="240" w:lineRule="auto"/>
            </w:pPr>
            <w:r>
              <w:rPr>
                <w:rFonts w:ascii="Arial" w:hAnsi="Arial"/>
                <w:sz w:val="14"/>
              </w:rPr>
              <w:t>Predict/Assess</w:t>
            </w:r>
          </w:p>
        </w:tc>
        <w:tc>
          <w:tcPr>
            <w:tcW w:type="dxa" w:w="3812"/>
            <w:vAlign w:val="top"/>
            <w:tcMar>
              <w:top w:w="75" w:type="dxa"/>
              <w:start w:w="75" w:type="dxa"/>
              <w:bottom w:w="75" w:type="dxa"/>
              <w:end w:w="75" w:type="dxa"/>
            </w:tcMar>
          </w:tcPr>
          <w:p>
            <w:pPr>
              <w:spacing w:after="30" w:line="240" w:lineRule="auto"/>
            </w:pPr>
            <w:r>
              <w:rPr>
                <w:rFonts w:ascii="Arial" w:hAnsi="Arial"/>
                <w:sz w:val="14"/>
              </w:rPr>
              <w:t>Produce a predicted or estimated outcome.</w:t>
            </w:r>
          </w:p>
        </w:tc>
        <w:tc>
          <w:tcPr>
            <w:tcW w:type="dxa" w:w="3812"/>
            <w:vAlign w:val="top"/>
            <w:tcMar>
              <w:top w:w="75" w:type="dxa"/>
              <w:start w:w="75" w:type="dxa"/>
              <w:bottom w:w="75" w:type="dxa"/>
              <w:end w:w="75" w:type="dxa"/>
            </w:tcMar>
          </w:tcPr>
          <w:p>
            <w:pPr>
              <w:spacing w:after="30" w:line="240" w:lineRule="auto"/>
            </w:pPr>
            <w:r>
              <w:rPr>
                <w:rFonts w:ascii="Arial" w:hAnsi="Arial"/>
                <w:sz w:val="14"/>
              </w:rPr>
              <w:t>Predict embodied carbon or reuse potential.</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AI function</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Diagnose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Identify drivers, causes, influential variables, limiting factors, or explanatory factors for an outcome.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Explain carbon drivers using SHAP while keeping input variables as diagnostic factors.</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AI function</w:t>
            </w:r>
          </w:p>
        </w:tc>
        <w:tc>
          <w:tcPr>
            <w:tcW w:type="dxa" w:w="3812"/>
            <w:vAlign w:val="top"/>
            <w:tcMar>
              <w:top w:w="75" w:type="dxa"/>
              <w:start w:w="75" w:type="dxa"/>
              <w:bottom w:w="75" w:type="dxa"/>
              <w:end w:w="75" w:type="dxa"/>
            </w:tcMar>
          </w:tcPr>
          <w:p>
            <w:pPr>
              <w:spacing w:after="30" w:line="240" w:lineRule="auto"/>
            </w:pPr>
            <w:r>
              <w:rPr>
                <w:rFonts w:ascii="Arial" w:hAnsi="Arial"/>
                <w:sz w:val="14"/>
              </w:rPr>
              <w:t>Recommend</w:t>
            </w:r>
          </w:p>
        </w:tc>
        <w:tc>
          <w:tcPr>
            <w:tcW w:type="dxa" w:w="3812"/>
            <w:vAlign w:val="top"/>
            <w:tcMar>
              <w:top w:w="75" w:type="dxa"/>
              <w:start w:w="75" w:type="dxa"/>
              <w:bottom w:w="75" w:type="dxa"/>
              <w:end w:w="75" w:type="dxa"/>
            </w:tcMar>
          </w:tcPr>
          <w:p>
            <w:pPr>
              <w:spacing w:after="30" w:line="240" w:lineRule="auto"/>
            </w:pPr>
            <w:r>
              <w:rPr>
                <w:rFonts w:ascii="Arial" w:hAnsi="Arial"/>
                <w:sz w:val="14"/>
              </w:rPr>
              <w:t>Explicitly suggest or select a material, component, strategy, design action, or preferred alternative.</w:t>
            </w:r>
          </w:p>
        </w:tc>
        <w:tc>
          <w:tcPr>
            <w:tcW w:type="dxa" w:w="3812"/>
            <w:vAlign w:val="top"/>
            <w:tcMar>
              <w:top w:w="75" w:type="dxa"/>
              <w:start w:w="75" w:type="dxa"/>
              <w:bottom w:w="75" w:type="dxa"/>
              <w:end w:w="75" w:type="dxa"/>
            </w:tcMar>
          </w:tcPr>
          <w:p>
            <w:pPr>
              <w:spacing w:after="30" w:line="240" w:lineRule="auto"/>
            </w:pPr>
            <w:r>
              <w:rPr>
                <w:rFonts w:ascii="Arial" w:hAnsi="Arial"/>
                <w:sz w:val="14"/>
              </w:rPr>
              <w:t>Recommend a product meeting stated environmental criteria.</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AI function</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Generate plus Rank/Optimize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Umbrella reporting function for generation-only, ranking/optimization-only, and integrated generation-plus-evaluation workflows; the detailed mode is retained separately.</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Generate prefabricated alternatives and optimize them against carbon and standardization criteria.</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Attribute role</w:t>
            </w:r>
          </w:p>
        </w:tc>
        <w:tc>
          <w:tcPr>
            <w:tcW w:type="dxa" w:w="3812"/>
            <w:vAlign w:val="top"/>
            <w:tcMar>
              <w:top w:w="75" w:type="dxa"/>
              <w:start w:w="75" w:type="dxa"/>
              <w:bottom w:w="75" w:type="dxa"/>
              <w:end w:w="75" w:type="dxa"/>
            </w:tcMar>
          </w:tcPr>
          <w:p>
            <w:pPr>
              <w:spacing w:after="30" w:line="240" w:lineRule="auto"/>
            </w:pPr>
            <w:r>
              <w:rPr>
                <w:rFonts w:ascii="Arial" w:hAnsi="Arial"/>
                <w:sz w:val="14"/>
              </w:rPr>
              <w:t>Target/Output</w:t>
            </w:r>
          </w:p>
        </w:tc>
        <w:tc>
          <w:tcPr>
            <w:tcW w:type="dxa" w:w="3812"/>
            <w:vAlign w:val="top"/>
            <w:tcMar>
              <w:top w:w="75" w:type="dxa"/>
              <w:start w:w="75" w:type="dxa"/>
              <w:bottom w:w="75" w:type="dxa"/>
              <w:end w:w="75" w:type="dxa"/>
            </w:tcMar>
          </w:tcPr>
          <w:p>
            <w:pPr>
              <w:spacing w:after="30" w:line="240" w:lineRule="auto"/>
            </w:pPr>
            <w:r>
              <w:rPr>
                <w:rFonts w:ascii="Arial" w:hAnsi="Arial"/>
                <w:sz w:val="14"/>
              </w:rPr>
              <w:t>The AI acts on the normalized attribute itself; eligible for A/B evidence.</w:t>
            </w:r>
          </w:p>
        </w:tc>
        <w:tc>
          <w:tcPr>
            <w:tcW w:type="dxa" w:w="3812"/>
            <w:vAlign w:val="top"/>
            <w:tcMar>
              <w:top w:w="75" w:type="dxa"/>
              <w:start w:w="75" w:type="dxa"/>
              <w:bottom w:w="75" w:type="dxa"/>
              <w:end w:w="75" w:type="dxa"/>
            </w:tcMar>
          </w:tcPr>
          <w:p>
            <w:pPr>
              <w:spacing w:after="30" w:line="240" w:lineRule="auto"/>
            </w:pPr>
            <w:r>
              <w:rPr>
                <w:rFonts w:ascii="Arial" w:hAnsi="Arial"/>
                <w:sz w:val="14"/>
              </w:rPr>
              <w:t>Target/output status is required for A/B evidence.</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Attribute role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Input/Feature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The attribute is supplied to another AI target; it does not establish target/output capability for the input attribute.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Target/output status is required for A/B evidence.</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Attribute role</w:t>
            </w:r>
          </w:p>
        </w:tc>
        <w:tc>
          <w:tcPr>
            <w:tcW w:type="dxa" w:w="3812"/>
            <w:vAlign w:val="top"/>
            <w:tcMar>
              <w:top w:w="75" w:type="dxa"/>
              <w:start w:w="75" w:type="dxa"/>
              <w:bottom w:w="75" w:type="dxa"/>
              <w:end w:w="75" w:type="dxa"/>
            </w:tcMar>
          </w:tcPr>
          <w:p>
            <w:pPr>
              <w:spacing w:after="30" w:line="240" w:lineRule="auto"/>
            </w:pPr>
            <w:r>
              <w:rPr>
                <w:rFonts w:ascii="Arial" w:hAnsi="Arial"/>
                <w:sz w:val="14"/>
              </w:rPr>
              <w:t>Criterion</w:t>
            </w:r>
          </w:p>
        </w:tc>
        <w:tc>
          <w:tcPr>
            <w:tcW w:type="dxa" w:w="3812"/>
            <w:vAlign w:val="top"/>
            <w:tcMar>
              <w:top w:w="75" w:type="dxa"/>
              <w:start w:w="75" w:type="dxa"/>
              <w:bottom w:w="75" w:type="dxa"/>
              <w:end w:w="75" w:type="dxa"/>
            </w:tcMar>
          </w:tcPr>
          <w:p>
            <w:pPr>
              <w:spacing w:after="30" w:line="240" w:lineRule="auto"/>
            </w:pPr>
            <w:r>
              <w:rPr>
                <w:rFonts w:ascii="Arial" w:hAnsi="Arial"/>
                <w:sz w:val="14"/>
              </w:rPr>
              <w:t>The attribute evaluates or ranks another output.</w:t>
            </w:r>
          </w:p>
        </w:tc>
        <w:tc>
          <w:tcPr>
            <w:tcW w:type="dxa" w:w="3812"/>
            <w:vAlign w:val="top"/>
            <w:tcMar>
              <w:top w:w="75" w:type="dxa"/>
              <w:start w:w="75" w:type="dxa"/>
              <w:bottom w:w="75" w:type="dxa"/>
              <w:end w:w="75" w:type="dxa"/>
            </w:tcMar>
          </w:tcPr>
          <w:p>
            <w:pPr>
              <w:spacing w:after="30" w:line="240" w:lineRule="auto"/>
            </w:pPr>
            <w:r>
              <w:rPr>
                <w:rFonts w:ascii="Arial" w:hAnsi="Arial"/>
                <w:sz w:val="14"/>
              </w:rPr>
              <w:t>Target/output status is required for A/B evidence.</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Attribute role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Design Variable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The attribute is varied during design search.</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Target/output status is required for A/B evidence.</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Attribute role</w:t>
            </w:r>
          </w:p>
        </w:tc>
        <w:tc>
          <w:tcPr>
            <w:tcW w:type="dxa" w:w="3812"/>
            <w:vAlign w:val="top"/>
            <w:tcMar>
              <w:top w:w="75" w:type="dxa"/>
              <w:start w:w="75" w:type="dxa"/>
              <w:bottom w:w="75" w:type="dxa"/>
              <w:end w:w="75" w:type="dxa"/>
            </w:tcMar>
          </w:tcPr>
          <w:p>
            <w:pPr>
              <w:spacing w:after="30" w:line="240" w:lineRule="auto"/>
            </w:pPr>
            <w:r>
              <w:rPr>
                <w:rFonts w:ascii="Arial" w:hAnsi="Arial"/>
                <w:sz w:val="14"/>
              </w:rPr>
              <w:t>Constraint</w:t>
            </w:r>
          </w:p>
        </w:tc>
        <w:tc>
          <w:tcPr>
            <w:tcW w:type="dxa" w:w="3812"/>
            <w:vAlign w:val="top"/>
            <w:tcMar>
              <w:top w:w="75" w:type="dxa"/>
              <w:start w:w="75" w:type="dxa"/>
              <w:bottom w:w="75" w:type="dxa"/>
              <w:end w:w="75" w:type="dxa"/>
            </w:tcMar>
          </w:tcPr>
          <w:p>
            <w:pPr>
              <w:spacing w:after="30" w:line="240" w:lineRule="auto"/>
            </w:pPr>
            <w:r>
              <w:rPr>
                <w:rFonts w:ascii="Arial" w:hAnsi="Arial"/>
                <w:sz w:val="14"/>
              </w:rPr>
              <w:t>The attribute restricts feasible generation or optimization.</w:t>
            </w:r>
          </w:p>
        </w:tc>
        <w:tc>
          <w:tcPr>
            <w:tcW w:type="dxa" w:w="3812"/>
            <w:vAlign w:val="top"/>
            <w:tcMar>
              <w:top w:w="75" w:type="dxa"/>
              <w:start w:w="75" w:type="dxa"/>
              <w:bottom w:w="75" w:type="dxa"/>
              <w:end w:w="75" w:type="dxa"/>
            </w:tcMar>
          </w:tcPr>
          <w:p>
            <w:pPr>
              <w:spacing w:after="30" w:line="240" w:lineRule="auto"/>
            </w:pPr>
            <w:r>
              <w:rPr>
                <w:rFonts w:ascii="Arial" w:hAnsi="Arial"/>
                <w:sz w:val="14"/>
              </w:rPr>
              <w:t>Target/output status is required for A/B evidence.</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Attribute role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Diagnostic Factor</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The attribute helps explain another outcome; it is not itself diagnosed.</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Target/output status is required for A/B evidence.</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Attribute role</w:t>
            </w:r>
          </w:p>
        </w:tc>
        <w:tc>
          <w:tcPr>
            <w:tcW w:type="dxa" w:w="3812"/>
            <w:vAlign w:val="top"/>
            <w:tcMar>
              <w:top w:w="75" w:type="dxa"/>
              <w:start w:w="75" w:type="dxa"/>
              <w:bottom w:w="75" w:type="dxa"/>
              <w:end w:w="75" w:type="dxa"/>
            </w:tcMar>
          </w:tcPr>
          <w:p>
            <w:pPr>
              <w:spacing w:after="30" w:line="240" w:lineRule="auto"/>
            </w:pPr>
            <w:r>
              <w:rPr>
                <w:rFonts w:ascii="Arial" w:hAnsi="Arial"/>
                <w:sz w:val="14"/>
              </w:rPr>
              <w:t>Context Only</w:t>
            </w:r>
          </w:p>
        </w:tc>
        <w:tc>
          <w:tcPr>
            <w:tcW w:type="dxa" w:w="3812"/>
            <w:vAlign w:val="top"/>
            <w:tcMar>
              <w:top w:w="75" w:type="dxa"/>
              <w:start w:w="75" w:type="dxa"/>
              <w:bottom w:w="75" w:type="dxa"/>
              <w:end w:w="75" w:type="dxa"/>
            </w:tcMar>
          </w:tcPr>
          <w:p>
            <w:pPr>
              <w:spacing w:after="30" w:line="240" w:lineRule="auto"/>
            </w:pPr>
            <w:r>
              <w:rPr>
                <w:rFonts w:ascii="Arial" w:hAnsi="Arial"/>
                <w:sz w:val="14"/>
              </w:rPr>
              <w:t>The attribute is mentioned but does not perform an operative role.</w:t>
            </w:r>
          </w:p>
        </w:tc>
        <w:tc>
          <w:tcPr>
            <w:tcW w:type="dxa" w:w="3812"/>
            <w:vAlign w:val="top"/>
            <w:tcMar>
              <w:top w:w="75" w:type="dxa"/>
              <w:start w:w="75" w:type="dxa"/>
              <w:bottom w:w="75" w:type="dxa"/>
              <w:end w:w="75" w:type="dxa"/>
            </w:tcMar>
          </w:tcPr>
          <w:p>
            <w:pPr>
              <w:spacing w:after="30" w:line="240" w:lineRule="auto"/>
            </w:pPr>
            <w:r>
              <w:rPr>
                <w:rFonts w:ascii="Arial" w:hAnsi="Arial"/>
                <w:sz w:val="14"/>
              </w:rPr>
              <w:t>Target/output status is required for A/B evidence.</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Attribute role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Unclear</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The full text does not resolve the role; no target/output promotion is permitted.</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Target/output status is required for A/B evidence.</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Evidence grade</w:t>
            </w:r>
          </w:p>
        </w:tc>
        <w:tc>
          <w:tcPr>
            <w:tcW w:type="dxa" w:w="3812"/>
            <w:vAlign w:val="top"/>
            <w:tcMar>
              <w:top w:w="75" w:type="dxa"/>
              <w:start w:w="75" w:type="dxa"/>
              <w:bottom w:w="75" w:type="dxa"/>
              <w:end w:w="75" w:type="dxa"/>
            </w:tcMar>
          </w:tcPr>
          <w:p>
            <w:pPr>
              <w:spacing w:after="30" w:line="240" w:lineRule="auto"/>
            </w:pPr>
            <w:r>
              <w:rPr>
                <w:rFonts w:ascii="Arial" w:hAnsi="Arial"/>
                <w:sz w:val="14"/>
              </w:rPr>
              <w:t>A</w:t>
            </w:r>
          </w:p>
        </w:tc>
        <w:tc>
          <w:tcPr>
            <w:tcW w:type="dxa" w:w="3812"/>
            <w:vAlign w:val="top"/>
            <w:tcMar>
              <w:top w:w="75" w:type="dxa"/>
              <w:start w:w="75" w:type="dxa"/>
              <w:bottom w:w="75" w:type="dxa"/>
              <w:end w:w="75" w:type="dxa"/>
            </w:tcMar>
          </w:tcPr>
          <w:p>
            <w:pPr>
              <w:spacing w:after="30" w:line="240" w:lineRule="auto"/>
            </w:pPr>
            <w:r>
              <w:rPr>
                <w:rFonts w:ascii="Arial" w:hAnsi="Arial"/>
                <w:sz w:val="14"/>
              </w:rPr>
              <w:t>At least one verified Direct circularity target/output relationship for the exact attribute-function cell.</w:t>
            </w:r>
          </w:p>
        </w:tc>
        <w:tc>
          <w:tcPr>
            <w:tcW w:type="dxa" w:w="3812"/>
            <w:vAlign w:val="top"/>
            <w:tcMar>
              <w:top w:w="75" w:type="dxa"/>
              <w:start w:w="75" w:type="dxa"/>
              <w:bottom w:w="75" w:type="dxa"/>
              <w:end w:w="75" w:type="dxa"/>
            </w:tcMar>
          </w:tcPr>
          <w:p>
            <w:pPr>
              <w:spacing w:after="30" w:line="240" w:lineRule="auto"/>
            </w:pPr>
            <w:r>
              <w:rPr>
                <w:rFonts w:ascii="Arial" w:hAnsi="Arial"/>
                <w:sz w:val="14"/>
              </w:rPr>
              <w:t>Grades describe evidence type, not study quality or deployment maturity.</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Evidence grade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B</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No A evidence and at least one verified Transferable building-design target/output relationship for the exact cell.</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Grades describe evidence type, not study quality or deployment maturity.</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Evidence grade</w:t>
            </w:r>
          </w:p>
        </w:tc>
        <w:tc>
          <w:tcPr>
            <w:tcW w:type="dxa" w:w="3812"/>
            <w:vAlign w:val="top"/>
            <w:tcMar>
              <w:top w:w="75" w:type="dxa"/>
              <w:start w:w="75" w:type="dxa"/>
              <w:bottom w:w="75" w:type="dxa"/>
              <w:end w:w="75" w:type="dxa"/>
            </w:tcMar>
          </w:tcPr>
          <w:p>
            <w:pPr>
              <w:spacing w:after="30" w:line="240" w:lineRule="auto"/>
            </w:pPr>
            <w:r>
              <w:rPr>
                <w:rFonts w:ascii="Arial" w:hAnsi="Arial"/>
                <w:sz w:val="14"/>
              </w:rPr>
              <w:t>C</w:t>
            </w:r>
          </w:p>
        </w:tc>
        <w:tc>
          <w:tcPr>
            <w:tcW w:type="dxa" w:w="3812"/>
            <w:vAlign w:val="top"/>
            <w:tcMar>
              <w:top w:w="75" w:type="dxa"/>
              <w:start w:w="75" w:type="dxa"/>
              <w:bottom w:w="75" w:type="dxa"/>
              <w:end w:w="75" w:type="dxa"/>
            </w:tcMar>
          </w:tcPr>
          <w:p>
            <w:pPr>
              <w:spacing w:after="30" w:line="240" w:lineRule="auto"/>
            </w:pPr>
            <w:r>
              <w:rPr>
                <w:rFonts w:ascii="Arial" w:hAnsi="Arial"/>
                <w:sz w:val="14"/>
              </w:rPr>
              <w:t>No A/B evidence; plausibility is supported only by a verified same-attribute/same-function supporting role.</w:t>
            </w:r>
          </w:p>
        </w:tc>
        <w:tc>
          <w:tcPr>
            <w:tcW w:type="dxa" w:w="3812"/>
            <w:vAlign w:val="top"/>
            <w:tcMar>
              <w:top w:w="75" w:type="dxa"/>
              <w:start w:w="75" w:type="dxa"/>
              <w:bottom w:w="75" w:type="dxa"/>
              <w:end w:w="75" w:type="dxa"/>
            </w:tcMar>
          </w:tcPr>
          <w:p>
            <w:pPr>
              <w:spacing w:after="30" w:line="240" w:lineRule="auto"/>
            </w:pPr>
            <w:r>
              <w:rPr>
                <w:rFonts w:ascii="Arial" w:hAnsi="Arial"/>
                <w:sz w:val="14"/>
              </w:rPr>
              <w:t>Grades describe evidence type, not study quality or deployment maturity.</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Evidence grade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D</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No qualifying A/B evidence and no defensible C basis in the locked corpus; not proof of technical impossibility.</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Grades describe evidence type, not study quality or deployment maturity.</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Function 6 mode</w:t>
            </w:r>
          </w:p>
        </w:tc>
        <w:tc>
          <w:tcPr>
            <w:tcW w:type="dxa" w:w="3812"/>
            <w:vAlign w:val="top"/>
            <w:tcMar>
              <w:top w:w="75" w:type="dxa"/>
              <w:start w:w="75" w:type="dxa"/>
              <w:bottom w:w="75" w:type="dxa"/>
              <w:end w:w="75" w:type="dxa"/>
            </w:tcMar>
          </w:tcPr>
          <w:p>
            <w:pPr>
              <w:spacing w:after="30" w:line="240" w:lineRule="auto"/>
            </w:pPr>
            <w:r>
              <w:rPr>
                <w:rFonts w:ascii="Arial" w:hAnsi="Arial"/>
                <w:sz w:val="14"/>
              </w:rPr>
              <w:t>Generate-only</w:t>
            </w:r>
          </w:p>
        </w:tc>
        <w:tc>
          <w:tcPr>
            <w:tcW w:type="dxa" w:w="3812"/>
            <w:vAlign w:val="top"/>
            <w:tcMar>
              <w:top w:w="75" w:type="dxa"/>
              <w:start w:w="75" w:type="dxa"/>
              <w:bottom w:w="75" w:type="dxa"/>
              <w:end w:w="75" w:type="dxa"/>
            </w:tcMar>
          </w:tcPr>
          <w:p>
            <w:pPr>
              <w:spacing w:after="30" w:line="240" w:lineRule="auto"/>
            </w:pPr>
            <w:r>
              <w:rPr>
                <w:rFonts w:ascii="Arial" w:hAnsi="Arial"/>
                <w:sz w:val="14"/>
              </w:rPr>
              <w:t>The implemented workflow generates alternatives but does not verify ranking, optimization, or selection of those alternatives.</w:t>
            </w:r>
          </w:p>
        </w:tc>
        <w:tc>
          <w:tcPr>
            <w:tcW w:type="dxa" w:w="3812"/>
            <w:vAlign w:val="top"/>
            <w:tcMar>
              <w:top w:w="75" w:type="dxa"/>
              <w:start w:w="75" w:type="dxa"/>
              <w:bottom w:w="75" w:type="dxa"/>
              <w:end w:w="75" w:type="dxa"/>
            </w:tcMar>
          </w:tcPr>
          <w:p>
            <w:pPr>
              <w:spacing w:after="30" w:line="240" w:lineRule="auto"/>
            </w:pPr>
            <w:r>
              <w:rPr>
                <w:rFonts w:ascii="Arial" w:hAnsi="Arial"/>
                <w:sz w:val="14"/>
              </w:rPr>
              <w:t>Do not infer integrated generation and ranking from optimization alone.</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Function 6 mode</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Rank/Optimize-only</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The implemented workflow ranks, selects, searches, or optimizes existing alternatives or variables without a verified generation step.</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Do not infer integrated generation and ranking from optimization alone.</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Function 6 mode</w:t>
            </w:r>
          </w:p>
        </w:tc>
        <w:tc>
          <w:tcPr>
            <w:tcW w:type="dxa" w:w="3812"/>
            <w:vAlign w:val="top"/>
            <w:tcMar>
              <w:top w:w="75" w:type="dxa"/>
              <w:start w:w="75" w:type="dxa"/>
              <w:bottom w:w="75" w:type="dxa"/>
              <w:end w:w="75" w:type="dxa"/>
            </w:tcMar>
          </w:tcPr>
          <w:p>
            <w:pPr>
              <w:spacing w:after="30" w:line="240" w:lineRule="auto"/>
            </w:pPr>
            <w:r>
              <w:rPr>
                <w:rFonts w:ascii="Arial" w:hAnsi="Arial"/>
                <w:sz w:val="14"/>
              </w:rPr>
              <w:t>Integrated Generate plus Rank/Optimize</w:t>
            </w:r>
          </w:p>
        </w:tc>
        <w:tc>
          <w:tcPr>
            <w:tcW w:type="dxa" w:w="3812"/>
            <w:vAlign w:val="top"/>
            <w:tcMar>
              <w:top w:w="75" w:type="dxa"/>
              <w:start w:w="75" w:type="dxa"/>
              <w:bottom w:w="75" w:type="dxa"/>
              <w:end w:w="75" w:type="dxa"/>
            </w:tcMar>
          </w:tcPr>
          <w:p>
            <w:pPr>
              <w:spacing w:after="30" w:line="240" w:lineRule="auto"/>
            </w:pPr>
            <w:r>
              <w:rPr>
                <w:rFonts w:ascii="Arial" w:hAnsi="Arial"/>
                <w:sz w:val="14"/>
              </w:rPr>
              <w:t>The same implemented workflow generates alternatives and evaluates, ranks, optimizes, or selects those generated alternatives.</w:t>
            </w:r>
          </w:p>
        </w:tc>
        <w:tc>
          <w:tcPr>
            <w:tcW w:type="dxa" w:w="3812"/>
            <w:vAlign w:val="top"/>
            <w:tcMar>
              <w:top w:w="75" w:type="dxa"/>
              <w:start w:w="75" w:type="dxa"/>
              <w:bottom w:w="75" w:type="dxa"/>
              <w:end w:w="75" w:type="dxa"/>
            </w:tcMar>
          </w:tcPr>
          <w:p>
            <w:pPr>
              <w:spacing w:after="30" w:line="240" w:lineRule="auto"/>
            </w:pPr>
            <w:r>
              <w:rPr>
                <w:rFonts w:ascii="Arial" w:hAnsi="Arial"/>
                <w:sz w:val="14"/>
              </w:rPr>
              <w:t>Do not infer integrated generation and ranking from optimization alone.</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Stage marker</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Early-design verified</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At least one verified target/output relationship for the cell was demonstrated in an explicit or project-status-defensible Conceptual, Schematic, Design Development, or early-inclusive multi-stage context.</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The marker describes AI study context and does not change the independent information-readiness classification.</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Coding error avoided</w:t>
            </w:r>
          </w:p>
        </w:tc>
        <w:tc>
          <w:tcPr>
            <w:tcW w:type="dxa" w:w="3812"/>
            <w:vAlign w:val="top"/>
            <w:tcMar>
              <w:top w:w="75" w:type="dxa"/>
              <w:start w:w="75" w:type="dxa"/>
              <w:bottom w:w="75" w:type="dxa"/>
              <w:end w:w="75" w:type="dxa"/>
            </w:tcMar>
          </w:tcPr>
          <w:p>
            <w:pPr>
              <w:spacing w:after="30" w:line="240" w:lineRule="auto"/>
            </w:pPr>
            <w:r>
              <w:rPr>
                <w:rFonts w:ascii="Arial" w:hAnsi="Arial"/>
                <w:sz w:val="14"/>
              </w:rPr>
              <w:t>Geometry as prediction input</w:t>
            </w:r>
          </w:p>
        </w:tc>
        <w:tc>
          <w:tcPr>
            <w:tcW w:type="dxa" w:w="3812"/>
            <w:vAlign w:val="top"/>
            <w:tcMar>
              <w:top w:w="75" w:type="dxa"/>
              <w:start w:w="75" w:type="dxa"/>
              <w:bottom w:w="75" w:type="dxa"/>
              <w:end w:w="75" w:type="dxa"/>
            </w:tcMar>
          </w:tcPr>
          <w:p>
            <w:pPr>
              <w:spacing w:after="30" w:line="240" w:lineRule="auto"/>
            </w:pPr>
            <w:r>
              <w:rPr>
                <w:rFonts w:ascii="Arial" w:hAnsi="Arial"/>
                <w:sz w:val="14"/>
              </w:rPr>
              <w:t>Geometry used to predict embodied carbon remains Input/Feature.</w:t>
            </w:r>
          </w:p>
        </w:tc>
        <w:tc>
          <w:tcPr>
            <w:tcW w:type="dxa" w:w="3812"/>
            <w:vAlign w:val="top"/>
            <w:tcMar>
              <w:top w:w="75" w:type="dxa"/>
              <w:start w:w="75" w:type="dxa"/>
              <w:bottom w:w="75" w:type="dxa"/>
              <w:end w:w="75" w:type="dxa"/>
            </w:tcMar>
          </w:tcPr>
          <w:p>
            <w:pPr>
              <w:spacing w:after="30" w:line="240" w:lineRule="auto"/>
            </w:pPr>
            <w:r>
              <w:rPr>
                <w:rFonts w:ascii="Arial" w:hAnsi="Arial"/>
                <w:sz w:val="14"/>
              </w:rPr>
              <w:t>It does not establish Geometry x Predict/Assess.</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Coding error avoided</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LCA data as criterion</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LCA data used to evaluate alternatives remains Criterion.</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It does not establish LCA Data x Recommend.</w:t>
            </w:r>
          </w:p>
        </w:tc>
      </w:tr>
      <w:tr>
        <w:trPr>
          <w:cantSplit/>
        </w:trPr>
        <w:tc>
          <w:tcPr>
            <w:tcW w:type="dxa" w:w="3812"/>
            <w:vAlign w:val="top"/>
            <w:tcMar>
              <w:top w:w="75" w:type="dxa"/>
              <w:start w:w="75" w:type="dxa"/>
              <w:bottom w:w="75" w:type="dxa"/>
              <w:end w:w="75" w:type="dxa"/>
            </w:tcMar>
          </w:tcPr>
          <w:p>
            <w:pPr>
              <w:spacing w:after="30" w:line="240" w:lineRule="auto"/>
            </w:pPr>
            <w:r>
              <w:rPr>
                <w:rFonts w:ascii="Arial" w:hAnsi="Arial"/>
                <w:sz w:val="14"/>
              </w:rPr>
              <w:t>Coding error avoided</w:t>
            </w:r>
          </w:p>
        </w:tc>
        <w:tc>
          <w:tcPr>
            <w:tcW w:type="dxa" w:w="3812"/>
            <w:vAlign w:val="top"/>
            <w:tcMar>
              <w:top w:w="75" w:type="dxa"/>
              <w:start w:w="75" w:type="dxa"/>
              <w:bottom w:w="75" w:type="dxa"/>
              <w:end w:w="75" w:type="dxa"/>
            </w:tcMar>
          </w:tcPr>
          <w:p>
            <w:pPr>
              <w:spacing w:after="30" w:line="240" w:lineRule="auto"/>
            </w:pPr>
            <w:r>
              <w:rPr>
                <w:rFonts w:ascii="Arial" w:hAnsi="Arial"/>
                <w:sz w:val="14"/>
              </w:rPr>
              <w:t>Connection type as diagnostic factor</w:t>
            </w:r>
          </w:p>
        </w:tc>
        <w:tc>
          <w:tcPr>
            <w:tcW w:type="dxa" w:w="3812"/>
            <w:vAlign w:val="top"/>
            <w:tcMar>
              <w:top w:w="75" w:type="dxa"/>
              <w:start w:w="75" w:type="dxa"/>
              <w:bottom w:w="75" w:type="dxa"/>
              <w:end w:w="75" w:type="dxa"/>
            </w:tcMar>
          </w:tcPr>
          <w:p>
            <w:pPr>
              <w:spacing w:after="30" w:line="240" w:lineRule="auto"/>
            </w:pPr>
            <w:r>
              <w:rPr>
                <w:rFonts w:ascii="Arial" w:hAnsi="Arial"/>
                <w:sz w:val="14"/>
              </w:rPr>
              <w:t>Connection type used to explain reuse remains Diagnostic Factor.</w:t>
            </w:r>
          </w:p>
        </w:tc>
        <w:tc>
          <w:tcPr>
            <w:tcW w:type="dxa" w:w="3812"/>
            <w:vAlign w:val="top"/>
            <w:tcMar>
              <w:top w:w="75" w:type="dxa"/>
              <w:start w:w="75" w:type="dxa"/>
              <w:bottom w:w="75" w:type="dxa"/>
              <w:end w:w="75" w:type="dxa"/>
            </w:tcMar>
          </w:tcPr>
          <w:p>
            <w:pPr>
              <w:spacing w:after="30" w:line="240" w:lineRule="auto"/>
            </w:pPr>
            <w:r>
              <w:rPr>
                <w:rFonts w:ascii="Arial" w:hAnsi="Arial"/>
                <w:sz w:val="14"/>
              </w:rPr>
              <w:t>It does not establish Connection Type x Diagnose.</w:t>
            </w:r>
          </w:p>
        </w:tc>
      </w:tr>
      <w:tr>
        <w:trPr>
          <w:cantSplit/>
        </w:trPr>
        <w:tc>
          <w:tcPr>
            <w:tcW w:type="dxa" w:w="3812"/>
            <w:vAlign w:val="top"/>
            <w:tcMar>
              <w:top w:w="75" w:type="dxa"/>
              <w:start w:w="75" w:type="dxa"/>
              <w:bottom w:w="75" w:type="dxa"/>
              <w:end w:w="75" w:type="dxa"/>
            </w:tcMar>
            <w:shd w:fill="EDF3F5"/>
          </w:tcPr>
          <w:p>
            <w:pPr>
              <w:spacing w:after="30" w:line="240" w:lineRule="auto"/>
            </w:pPr>
            <w:r>
              <w:rPr>
                <w:rFonts w:ascii="Arial" w:hAnsi="Arial"/>
                <w:sz w:val="14"/>
              </w:rPr>
              <w:t>Coding error avoided</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Component count as constraint</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Component count restricting generation remains Constraint.</w:t>
            </w:r>
          </w:p>
        </w:tc>
        <w:tc>
          <w:tcPr>
            <w:tcW w:type="dxa" w:w="3812"/>
            <w:vAlign w:val="top"/>
            <w:tcMar>
              <w:top w:w="75" w:type="dxa"/>
              <w:start w:w="75" w:type="dxa"/>
              <w:bottom w:w="75" w:type="dxa"/>
              <w:end w:w="75" w:type="dxa"/>
            </w:tcMar>
            <w:shd w:fill="EDF3F5"/>
          </w:tcPr>
          <w:p>
            <w:pPr>
              <w:spacing w:after="30" w:line="240" w:lineRule="auto"/>
            </w:pPr>
            <w:r>
              <w:rPr>
                <w:rFonts w:ascii="Arial" w:hAnsi="Arial"/>
                <w:sz w:val="14"/>
              </w:rPr>
              <w:t>It does not establish Component Count x Generate plus Rank/Optimize.</w:t>
            </w:r>
          </w:p>
        </w:tc>
      </w:tr>
    </w:tbl>
    <w:p/>
    <w:p>
      <w:pPr>
        <w:pStyle w:val="Caption"/>
      </w:pPr>
      <w:r>
        <w:t>Table S6. Index of 107 full-text-verified empirical AI papers.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94"/>
            <w:shd w:fill="173D55"/>
            <w:vAlign w:val="center"/>
            <w:tcMar>
              <w:top w:w="90" w:type="dxa"/>
              <w:start w:w="85" w:type="dxa"/>
              <w:bottom w:w="90" w:type="dxa"/>
              <w:end w:w="85" w:type="dxa"/>
            </w:tcMar>
          </w:tcPr>
          <w:p>
            <w:pPr>
              <w:jc w:val="center"/>
            </w:pPr>
            <w:r>
              <w:rPr>
                <w:rFonts w:ascii="Arial" w:hAnsi="Arial"/>
                <w:b/>
                <w:color w:val="FFFFFF"/>
                <w:sz w:val="12"/>
              </w:rPr>
              <w:t>Record ID</w:t>
            </w:r>
          </w:p>
        </w:tc>
        <w:tc>
          <w:tcPr>
            <w:tcW w:type="dxa" w:w="1694"/>
            <w:shd w:fill="173D55"/>
            <w:vAlign w:val="center"/>
            <w:tcMar>
              <w:top w:w="90" w:type="dxa"/>
              <w:start w:w="85" w:type="dxa"/>
              <w:bottom w:w="90" w:type="dxa"/>
              <w:end w:w="85" w:type="dxa"/>
            </w:tcMar>
          </w:tcPr>
          <w:p>
            <w:pPr>
              <w:jc w:val="center"/>
            </w:pPr>
            <w:r>
              <w:rPr>
                <w:rFonts w:ascii="Arial" w:hAnsi="Arial"/>
                <w:b/>
                <w:color w:val="FFFFFF"/>
                <w:sz w:val="12"/>
              </w:rPr>
              <w:t>Citation</w:t>
            </w:r>
          </w:p>
        </w:tc>
        <w:tc>
          <w:tcPr>
            <w:tcW w:type="dxa" w:w="1694"/>
            <w:shd w:fill="173D55"/>
            <w:vAlign w:val="center"/>
            <w:tcMar>
              <w:top w:w="90" w:type="dxa"/>
              <w:start w:w="85" w:type="dxa"/>
              <w:bottom w:w="90" w:type="dxa"/>
              <w:end w:w="85" w:type="dxa"/>
            </w:tcMar>
          </w:tcPr>
          <w:p>
            <w:pPr>
              <w:jc w:val="center"/>
            </w:pPr>
            <w:r>
              <w:rPr>
                <w:rFonts w:ascii="Arial" w:hAnsi="Arial"/>
                <w:b/>
                <w:color w:val="FFFFFF"/>
                <w:sz w:val="12"/>
              </w:rPr>
              <w:t>DOI</w:t>
            </w:r>
          </w:p>
        </w:tc>
        <w:tc>
          <w:tcPr>
            <w:tcW w:type="dxa" w:w="1694"/>
            <w:shd w:fill="173D55"/>
            <w:vAlign w:val="center"/>
            <w:tcMar>
              <w:top w:w="90" w:type="dxa"/>
              <w:start w:w="85" w:type="dxa"/>
              <w:bottom w:w="90" w:type="dxa"/>
              <w:end w:w="85" w:type="dxa"/>
            </w:tcMar>
          </w:tcPr>
          <w:p>
            <w:pPr>
              <w:jc w:val="center"/>
            </w:pPr>
            <w:r>
              <w:rPr>
                <w:rFonts w:ascii="Arial" w:hAnsi="Arial"/>
                <w:b/>
                <w:color w:val="FFFFFF"/>
                <w:sz w:val="12"/>
              </w:rPr>
              <w:t>Direct/transferable</w:t>
            </w:r>
          </w:p>
        </w:tc>
        <w:tc>
          <w:tcPr>
            <w:tcW w:type="dxa" w:w="1694"/>
            <w:shd w:fill="173D55"/>
            <w:vAlign w:val="center"/>
            <w:tcMar>
              <w:top w:w="90" w:type="dxa"/>
              <w:start w:w="85" w:type="dxa"/>
              <w:bottom w:w="90" w:type="dxa"/>
              <w:end w:w="85" w:type="dxa"/>
            </w:tcMar>
          </w:tcPr>
          <w:p>
            <w:pPr>
              <w:jc w:val="center"/>
            </w:pPr>
            <w:r>
              <w:rPr>
                <w:rFonts w:ascii="Arial" w:hAnsi="Arial"/>
                <w:b/>
                <w:color w:val="FFFFFF"/>
                <w:sz w:val="12"/>
              </w:rPr>
              <w:t>Context/stage</w:t>
            </w:r>
          </w:p>
        </w:tc>
        <w:tc>
          <w:tcPr>
            <w:tcW w:type="dxa" w:w="1694"/>
            <w:shd w:fill="173D55"/>
            <w:vAlign w:val="center"/>
            <w:tcMar>
              <w:top w:w="90" w:type="dxa"/>
              <w:start w:w="85" w:type="dxa"/>
              <w:bottom w:w="90" w:type="dxa"/>
              <w:end w:w="85" w:type="dxa"/>
            </w:tcMar>
          </w:tcPr>
          <w:p>
            <w:pPr>
              <w:jc w:val="center"/>
            </w:pPr>
            <w:r>
              <w:rPr>
                <w:rFonts w:ascii="Arial" w:hAnsi="Arial"/>
                <w:b/>
                <w:color w:val="FFFFFF"/>
                <w:sz w:val="12"/>
              </w:rPr>
              <w:t>Source type</w:t>
            </w:r>
          </w:p>
        </w:tc>
        <w:tc>
          <w:tcPr>
            <w:tcW w:type="dxa" w:w="1694"/>
            <w:shd w:fill="173D55"/>
            <w:vAlign w:val="center"/>
            <w:tcMar>
              <w:top w:w="90" w:type="dxa"/>
              <w:start w:w="85" w:type="dxa"/>
              <w:bottom w:w="90" w:type="dxa"/>
              <w:end w:w="85" w:type="dxa"/>
            </w:tcMar>
          </w:tcPr>
          <w:p>
            <w:pPr>
              <w:jc w:val="center"/>
            </w:pPr>
            <w:r>
              <w:rPr>
                <w:rFonts w:ascii="Arial" w:hAnsi="Arial"/>
                <w:b/>
                <w:color w:val="FFFFFF"/>
                <w:sz w:val="12"/>
              </w:rPr>
              <w:t>AI method</w:t>
            </w:r>
          </w:p>
        </w:tc>
        <w:tc>
          <w:tcPr>
            <w:tcW w:type="dxa" w:w="1694"/>
            <w:shd w:fill="173D55"/>
            <w:vAlign w:val="center"/>
            <w:tcMar>
              <w:top w:w="90" w:type="dxa"/>
              <w:start w:w="85" w:type="dxa"/>
              <w:bottom w:w="90" w:type="dxa"/>
              <w:end w:w="85" w:type="dxa"/>
            </w:tcMar>
          </w:tcPr>
          <w:p>
            <w:pPr>
              <w:jc w:val="center"/>
            </w:pPr>
            <w:r>
              <w:rPr>
                <w:rFonts w:ascii="Arial" w:hAnsi="Arial"/>
                <w:b/>
                <w:color w:val="FFFFFF"/>
                <w:sz w:val="12"/>
              </w:rPr>
              <w:t>Verified functions</w:t>
            </w:r>
          </w:p>
        </w:tc>
        <w:tc>
          <w:tcPr>
            <w:tcW w:type="dxa" w:w="1694"/>
            <w:shd w:fill="173D55"/>
            <w:vAlign w:val="center"/>
            <w:tcMar>
              <w:top w:w="90" w:type="dxa"/>
              <w:start w:w="85" w:type="dxa"/>
              <w:bottom w:w="90" w:type="dxa"/>
              <w:end w:w="85" w:type="dxa"/>
            </w:tcMar>
          </w:tcPr>
          <w:p>
            <w:pPr>
              <w:jc w:val="center"/>
            </w:pPr>
            <w:r>
              <w:rPr>
                <w:rFonts w:ascii="Arial" w:hAnsi="Arial"/>
                <w:b/>
                <w:color w:val="FFFFFF"/>
                <w:sz w:val="12"/>
              </w:rPr>
              <w:t>Evidence locator</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AIEXP-00014</w:t>
            </w:r>
          </w:p>
        </w:tc>
        <w:tc>
          <w:tcPr>
            <w:tcW w:type="dxa" w:w="1694"/>
            <w:vAlign w:val="top"/>
            <w:tcMar>
              <w:top w:w="75" w:type="dxa"/>
              <w:start w:w="75" w:type="dxa"/>
              <w:bottom w:w="75" w:type="dxa"/>
              <w:end w:w="75" w:type="dxa"/>
            </w:tcMar>
          </w:tcPr>
          <w:p>
            <w:pPr>
              <w:spacing w:after="30" w:line="240" w:lineRule="auto"/>
            </w:pPr>
            <w:r>
              <w:rPr>
                <w:rFonts w:ascii="Arial" w:hAnsi="Arial"/>
                <w:sz w:val="12"/>
              </w:rPr>
              <w:t>Favilli A.; Laccone F.; Cignoni P.; Malomo L.; Giorgi D. (2024). Single-instance, multi-target learning of 3D architectural gridshells for material reuse and circular economy. CEUR Workshop Proceedings.</w:t>
            </w:r>
          </w:p>
        </w:tc>
        <w:tc>
          <w:tcPr>
            <w:tcW w:type="dxa" w:w="1694"/>
            <w:vAlign w:val="top"/>
            <w:tcMar>
              <w:top w:w="75" w:type="dxa"/>
              <w:start w:w="75" w:type="dxa"/>
              <w:bottom w:w="75" w:type="dxa"/>
              <w:end w:w="75" w:type="dxa"/>
            </w:tcMar>
          </w:tcPr>
          <w:p>
            <w:pPr>
              <w:spacing w:after="30" w:line="240" w:lineRule="auto"/>
            </w:pPr>
            <w:r>
              <w:rPr>
                <w:rFonts w:ascii="Arial" w:hAnsi="Arial"/>
                <w:sz w:val="12"/>
              </w:rPr>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Input gridshell; reclaimed-beam stock; Reclaimed stock</w:t>
            </w:r>
          </w:p>
        </w:tc>
        <w:tc>
          <w:tcPr>
            <w:tcW w:type="dxa" w:w="1694"/>
            <w:vAlign w:val="top"/>
            <w:tcMar>
              <w:top w:w="75" w:type="dxa"/>
              <w:start w:w="75" w:type="dxa"/>
              <w:bottom w:w="75" w:type="dxa"/>
              <w:end w:w="75" w:type="dxa"/>
            </w:tcMar>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 | PDF p. 4,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AIEXP-00015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Oktar Z.S.; Özener O.Ö. (2026). Urban Circularity Exchange: A BIM-linked Marketplace for Reclaimed Building Materials Powered by AI. Proceedings of the International Conference on Education and Research in Computer Aided Architectural Design in Europe. https://doi.org/10.52842/conf.ecaade.2026.3.097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10.52842/conf.ecaade.2026.3.097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BIM query; material-passport inventory; Material passport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 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6, Full text | PDF p. 3, Full text | 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AIEXP-00023</w:t>
            </w:r>
          </w:p>
        </w:tc>
        <w:tc>
          <w:tcPr>
            <w:tcW w:type="dxa" w:w="1694"/>
            <w:vAlign w:val="top"/>
            <w:tcMar>
              <w:top w:w="75" w:type="dxa"/>
              <w:start w:w="75" w:type="dxa"/>
              <w:bottom w:w="75" w:type="dxa"/>
              <w:end w:w="75" w:type="dxa"/>
            </w:tcMar>
          </w:tcPr>
          <w:p>
            <w:pPr>
              <w:spacing w:after="30" w:line="240" w:lineRule="auto"/>
            </w:pPr>
            <w:r>
              <w:rPr>
                <w:rFonts w:ascii="Arial" w:hAnsi="Arial"/>
                <w:sz w:val="12"/>
              </w:rPr>
              <w:t>Wang T. (2025). Smart mapping of recyclable construction materials using UAV remote sensing and optimised YOLOv8 deep learning within a GIS framework. Microchemical Journal. https://doi.org/10.1016/j.microc.2025.115185</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10.1016/j.microc.2025.115185</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Image/photo; UAV image/photo</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3, Full text | PDF p. 1, Full text | PDF p. 10, Full text | PDF p. 14, Full text | PDF p. 5,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AIEXP-00034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Cha G.-W.; Park C.-W.; Kim Y.-C. (2024). Optimal Machine Learning Model to Predict Demolition Waste Generation for a Circular Economy. Sustainability (Switzerland). https://doi.org/10.3390/su16167064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10.3390/su16167064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Building data; Project and building variables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 | PDF p. 2,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AIEXP-00038</w:t>
            </w:r>
          </w:p>
        </w:tc>
        <w:tc>
          <w:tcPr>
            <w:tcW w:type="dxa" w:w="1694"/>
            <w:vAlign w:val="top"/>
            <w:tcMar>
              <w:top w:w="75" w:type="dxa"/>
              <w:start w:w="75" w:type="dxa"/>
              <w:bottom w:w="75" w:type="dxa"/>
              <w:end w:w="75" w:type="dxa"/>
            </w:tcMar>
          </w:tcPr>
          <w:p>
            <w:pPr>
              <w:spacing w:after="30" w:line="240" w:lineRule="auto"/>
            </w:pPr>
            <w:r>
              <w:rPr>
                <w:rFonts w:ascii="Arial" w:hAnsi="Arial"/>
                <w:sz w:val="12"/>
              </w:rPr>
              <w:t>Travnicek P.; Nezerka V. (2025). AI-Assisted IoT Monitoring for Tracking Construction and Demolition Waste. 2025 10th International Conference on Smart and Sustainable Technologies, SpliTech 2025. https://doi.org/10.23919/splitech65624.2025.11091388</w:t>
            </w:r>
          </w:p>
        </w:tc>
        <w:tc>
          <w:tcPr>
            <w:tcW w:type="dxa" w:w="1694"/>
            <w:vAlign w:val="top"/>
            <w:tcMar>
              <w:top w:w="75" w:type="dxa"/>
              <w:start w:w="75" w:type="dxa"/>
              <w:bottom w:w="75" w:type="dxa"/>
              <w:end w:w="75" w:type="dxa"/>
            </w:tcMar>
          </w:tcPr>
          <w:p>
            <w:pPr>
              <w:spacing w:after="30" w:line="240" w:lineRule="auto"/>
            </w:pPr>
            <w:r>
              <w:rPr>
                <w:rFonts w:ascii="Arial" w:hAnsi="Arial"/>
                <w:sz w:val="12"/>
              </w:rPr>
              <w:t>10.23919/SpliTech65624.2025.11091388</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Sensor/operational data</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AIEXP-00069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Al-Atawneh Y.; Ismail R.; Albtoush F.; Aljamal M.; Hashemal-Mattarneh; Arrasheed E. (2026). An AI-BIM Based Predictive Framework for the Optimization of Construction Waste Recycling in Saudi Arabia. 2026 International Conference on Artificial Intelligence for Sustainable Engineering and Innovation, AISEI 2026. https://doi.org/10.1109/aisei68628.2026.11572970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10.1109/AISEI68628.2026.11572970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project data</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Computational optimization; 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2,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AIEXP-00110</w:t>
            </w:r>
          </w:p>
        </w:tc>
        <w:tc>
          <w:tcPr>
            <w:tcW w:type="dxa" w:w="1694"/>
            <w:vAlign w:val="top"/>
            <w:tcMar>
              <w:top w:w="75" w:type="dxa"/>
              <w:start w:w="75" w:type="dxa"/>
              <w:bottom w:w="75" w:type="dxa"/>
              <w:end w:w="75" w:type="dxa"/>
            </w:tcMar>
          </w:tcPr>
          <w:p>
            <w:pPr>
              <w:spacing w:after="30" w:line="240" w:lineRule="auto"/>
            </w:pPr>
            <w:r>
              <w:rPr>
                <w:rFonts w:ascii="Arial" w:hAnsi="Arial"/>
                <w:sz w:val="12"/>
              </w:rPr>
              <w:t>Shen Y.; Wang X.; Lin C.-H.; Li S.; Pei W.; Stouffs R. (2025). Forecasting Future Construction Demands: A Deep Learning approach for material stock circularity analysis of Singapore residential buildings. Proceedings of the International Conference on Computer-Aided Architectural Design Research in Asia. https://doi.org/10.52842/conf.caadria.2025.3.499</w:t>
            </w:r>
          </w:p>
        </w:tc>
        <w:tc>
          <w:tcPr>
            <w:tcW w:type="dxa" w:w="1694"/>
            <w:vAlign w:val="top"/>
            <w:tcMar>
              <w:top w:w="75" w:type="dxa"/>
              <w:start w:w="75" w:type="dxa"/>
              <w:bottom w:w="75" w:type="dxa"/>
              <w:end w:w="75" w:type="dxa"/>
            </w:tcMar>
          </w:tcPr>
          <w:p>
            <w:pPr>
              <w:spacing w:after="30" w:line="240" w:lineRule="auto"/>
            </w:pPr>
            <w:r>
              <w:rPr>
                <w:rFonts w:ascii="Arial" w:hAnsi="Arial"/>
                <w:sz w:val="12"/>
              </w:rPr>
              <w:t>10.52842/conf.caadria.2025.3.499</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Building-stock and historical data</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AIEXP-00126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Trávníček P.; Nežerka V. (2026). LPWAN Smart Waste Bin With On-Device AI Trained on Synthetic Data. IEEE Journal of Radio Frequency Identification. https://doi.org/10.1109/jrfid.2026.3667562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10.1109/JRFID.2026.3667562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Image/photo</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AIEXP-00139</w:t>
            </w:r>
          </w:p>
        </w:tc>
        <w:tc>
          <w:tcPr>
            <w:tcW w:type="dxa" w:w="1694"/>
            <w:vAlign w:val="top"/>
            <w:tcMar>
              <w:top w:w="75" w:type="dxa"/>
              <w:start w:w="75" w:type="dxa"/>
              <w:bottom w:w="75" w:type="dxa"/>
              <w:end w:w="75" w:type="dxa"/>
            </w:tcMar>
          </w:tcPr>
          <w:p>
            <w:pPr>
              <w:spacing w:after="30" w:line="240" w:lineRule="auto"/>
            </w:pPr>
            <w:r>
              <w:rPr>
                <w:rFonts w:ascii="Arial" w:hAnsi="Arial"/>
                <w:sz w:val="12"/>
              </w:rPr>
              <w:t>Tajadod O.E.; Ravanshadnia M.; Ghanbari M. (2025). Integrating circular economy and life cycle assessment strategies in climate-resilient buildings: An artificial intelligence approach to enhance thermal comfort and minimize CO2 emissions in Iran. Energy. https://doi.org/10.1016/j.energy.2025.135064</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10.1016/j.energy.2025.135064</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LCA database; Parametric material and envelope variables; Parametric model; Parametric model; LCA database</w:t>
            </w:r>
          </w:p>
        </w:tc>
        <w:tc>
          <w:tcPr>
            <w:tcW w:type="dxa" w:w="1694"/>
            <w:vAlign w:val="top"/>
            <w:tcMar>
              <w:top w:w="75" w:type="dxa"/>
              <w:start w:w="75" w:type="dxa"/>
              <w:bottom w:w="75" w:type="dxa"/>
              <w:end w:w="75" w:type="dxa"/>
            </w:tcMar>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AIEXP-00183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Porther N.; Nourbakhshrezaei A.; Jadidi M. (2026). A BIM and LLM Framework for Automated Construction and Demolition Waste Management. International Archives of the Photogrammetry, Remote Sensing and Spatial Information Sciences - ISPRS Archives. https://doi.org/10.5194/isprs-archives-xlix-b4-2026-507-2026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10.5194/isprs-archives-XLIX-B4-2026-507-2026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IFC; BIM; IFC; text; IFC</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Large language model; 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4, Full text | PDF p. 1, Full text | PDF p. 2,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AIEXP-00189</w:t>
            </w:r>
          </w:p>
        </w:tc>
        <w:tc>
          <w:tcPr>
            <w:tcW w:type="dxa" w:w="1694"/>
            <w:vAlign w:val="top"/>
            <w:tcMar>
              <w:top w:w="75" w:type="dxa"/>
              <w:start w:w="75" w:type="dxa"/>
              <w:bottom w:w="75" w:type="dxa"/>
              <w:end w:w="75" w:type="dxa"/>
            </w:tcMar>
          </w:tcPr>
          <w:p>
            <w:pPr>
              <w:spacing w:after="30" w:line="240" w:lineRule="auto"/>
            </w:pPr>
            <w:r>
              <w:rPr>
                <w:rFonts w:ascii="Arial" w:hAnsi="Arial"/>
                <w:sz w:val="12"/>
              </w:rPr>
              <w:t>Gordon M.; Batallé A.; De Wolf C.; Sollazzo A.; Dubor A.; Wang T. (2023). Automating building element detection for deconstruction planning and material reuse: A case study. Automation in Construction. https://doi.org/10.1016/j.autcon.2022.104697</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10.1016/j.autcon.2022.104697</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Point cloud/scan</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 | PDF p. 4,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AIEXP-00216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Garcia R.B.; Silva R.P.; Jorge T.S.; Santos J.; Assunção L.; Oliveira P.; Santos R.; Couceiro M.S.; Ribeiro D. (2026). Enabling Circular Reuse of Sandwich Panels Through UAV Inspection, Deep Learning, and BIM-Based Material Passports. Sustainability (Switzerland). https://doi.org/10.3390/su18052454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10.3390/su18052454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material passport; UAV image/photo; BIM</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Machine learning; 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AIEXP-00246</w:t>
            </w:r>
          </w:p>
        </w:tc>
        <w:tc>
          <w:tcPr>
            <w:tcW w:type="dxa" w:w="1694"/>
            <w:vAlign w:val="top"/>
            <w:tcMar>
              <w:top w:w="75" w:type="dxa"/>
              <w:start w:w="75" w:type="dxa"/>
              <w:bottom w:w="75" w:type="dxa"/>
              <w:end w:w="75" w:type="dxa"/>
            </w:tcMar>
          </w:tcPr>
          <w:p>
            <w:pPr>
              <w:spacing w:after="30" w:line="240" w:lineRule="auto"/>
            </w:pPr>
            <w:r>
              <w:rPr>
                <w:rFonts w:ascii="Arial" w:hAnsi="Arial"/>
                <w:sz w:val="12"/>
              </w:rPr>
              <w:t>Arsirii O.; Ivanov O.; Bieliaiev K.; Cudecka-Purina N. (2025). Intelligent Information Technology for Inventory and Utilization of Construction and Demolition Waste From Damaged Infrastructure Facilities. CEUR Workshop Proceedings.</w:t>
            </w:r>
          </w:p>
        </w:tc>
        <w:tc>
          <w:tcPr>
            <w:tcW w:type="dxa" w:w="1694"/>
            <w:vAlign w:val="top"/>
            <w:tcMar>
              <w:top w:w="75" w:type="dxa"/>
              <w:start w:w="75" w:type="dxa"/>
              <w:bottom w:w="75" w:type="dxa"/>
              <w:end w:w="75" w:type="dxa"/>
            </w:tcMar>
          </w:tcPr>
          <w:p>
            <w:pPr>
              <w:spacing w:after="30" w:line="240" w:lineRule="auto"/>
            </w:pPr>
            <w:r>
              <w:rPr>
                <w:rFonts w:ascii="Arial" w:hAnsi="Arial"/>
                <w:sz w:val="12"/>
              </w:rPr>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Image/photo; inventory data; Image/photo; text/document</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3, Full text | PDF p. 2,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AIEXP-00261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Moya-Jiménez R.; Goyes-Balladares A.; Moya-Jiménez G.; Medina-Moncayo A.; Chávez-Ortiz B.; Obando-Navas C.; Arias-Granda S. (2026). Application of Computer Vision and Parametric Design Algorithms for the Reuse of Construction Materials. Buildings. https://doi.org/10.3390/buildings16010184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10.3390/buildings16010184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Classified fragment inventory; Classified fragments; parametric model; Fragment images; parametric model; Image/photo</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Computer vision; Generative design;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 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3, Full text | PDF p. 5, Full text | 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AIEXP-00262</w:t>
            </w:r>
          </w:p>
        </w:tc>
        <w:tc>
          <w:tcPr>
            <w:tcW w:type="dxa" w:w="1694"/>
            <w:vAlign w:val="top"/>
            <w:tcMar>
              <w:top w:w="75" w:type="dxa"/>
              <w:start w:w="75" w:type="dxa"/>
              <w:bottom w:w="75" w:type="dxa"/>
              <w:end w:w="75" w:type="dxa"/>
            </w:tcMar>
          </w:tcPr>
          <w:p>
            <w:pPr>
              <w:spacing w:after="30" w:line="240" w:lineRule="auto"/>
            </w:pPr>
            <w:r>
              <w:rPr>
                <w:rFonts w:ascii="Arial" w:hAnsi="Arial"/>
                <w:sz w:val="12"/>
              </w:rPr>
              <w:t>Płoszaj-Mazurek M.; Tofiluk A. (2026). A workflow for LLM-assisted IFC data enrichment to support circular reuse of large-panel building systems in Poland. Journal of Building Engineering. https://doi.org/10.1016/j.jobe.2026.115397</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10.1016/j.jobe.2026.115397</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Enriched IFC; IFC; condition descriptions; IFC; lookup tables; expert oversight</w:t>
            </w:r>
          </w:p>
        </w:tc>
        <w:tc>
          <w:tcPr>
            <w:tcW w:type="dxa" w:w="1694"/>
            <w:vAlign w:val="top"/>
            <w:tcMar>
              <w:top w:w="75" w:type="dxa"/>
              <w:start w:w="75" w:type="dxa"/>
              <w:bottom w:w="75" w:type="dxa"/>
              <w:end w:w="75" w:type="dxa"/>
            </w:tcMar>
          </w:tcPr>
          <w:p>
            <w:pPr>
              <w:spacing w:after="30" w:line="240" w:lineRule="auto"/>
            </w:pPr>
            <w:r>
              <w:rPr>
                <w:rFonts w:ascii="Arial" w:hAnsi="Arial"/>
                <w:sz w:val="12"/>
              </w:rPr>
              <w:t>Large language model;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Infer/Complete;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 | PDF p. 10,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AIEXP-00349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Gan W.; Li S.; Li J.; Peng S.; Li R.; Qiu L.; Li B.; He Y. (2025). Enhanced Recognition of Sustainable Wood Building Materials Based on Deep Learning and Augmentation. Sustainability (Switzerland). https://doi.org/10.3390/su17156683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10.3390/su17156683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Image/photo</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2,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AIEXP-00350</w:t>
            </w:r>
          </w:p>
        </w:tc>
        <w:tc>
          <w:tcPr>
            <w:tcW w:type="dxa" w:w="1694"/>
            <w:vAlign w:val="top"/>
            <w:tcMar>
              <w:top w:w="75" w:type="dxa"/>
              <w:start w:w="75" w:type="dxa"/>
              <w:bottom w:w="75" w:type="dxa"/>
              <w:end w:w="75" w:type="dxa"/>
            </w:tcMar>
          </w:tcPr>
          <w:p>
            <w:pPr>
              <w:spacing w:after="30" w:line="240" w:lineRule="auto"/>
            </w:pPr>
            <w:r>
              <w:rPr>
                <w:rFonts w:ascii="Arial" w:hAnsi="Arial"/>
                <w:sz w:val="12"/>
              </w:rPr>
              <w:t>Zhu H.; Hu C.; Zhou C.; Wang Z.; Wang X.; Wu Y. (2026). An explainable machine learning framework for multi-objective carbon reduction targeting material operational seasonal emissions in building retrofits. Scientific Reports. https://doi.org/10.1038/s41598-025-29418-z</w:t>
            </w:r>
          </w:p>
        </w:tc>
        <w:tc>
          <w:tcPr>
            <w:tcW w:type="dxa" w:w="1694"/>
            <w:vAlign w:val="top"/>
            <w:tcMar>
              <w:top w:w="75" w:type="dxa"/>
              <w:start w:w="75" w:type="dxa"/>
              <w:bottom w:w="75" w:type="dxa"/>
              <w:end w:w="75" w:type="dxa"/>
            </w:tcMar>
          </w:tcPr>
          <w:p>
            <w:pPr>
              <w:spacing w:after="30" w:line="240" w:lineRule="auto"/>
            </w:pPr>
            <w:r>
              <w:rPr>
                <w:rFonts w:ascii="Arial" w:hAnsi="Arial"/>
                <w:sz w:val="12"/>
              </w:rPr>
              <w:t>10.1038/s41598-025-29418-z</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Material options; Parametric model; Parametric model; material options; Parametric model; simulation output; Simulation output</w:t>
            </w:r>
          </w:p>
        </w:tc>
        <w:tc>
          <w:tcPr>
            <w:tcW w:type="dxa" w:w="1694"/>
            <w:vAlign w:val="top"/>
            <w:tcMar>
              <w:top w:w="75" w:type="dxa"/>
              <w:start w:w="75" w:type="dxa"/>
              <w:bottom w:w="75" w:type="dxa"/>
              <w:end w:w="75" w:type="dxa"/>
            </w:tcMar>
          </w:tcPr>
          <w:p>
            <w:pPr>
              <w:spacing w:after="30" w:line="240" w:lineRule="auto"/>
            </w:pPr>
            <w:r>
              <w:rPr>
                <w:rFonts w:ascii="Arial" w:hAnsi="Arial"/>
                <w:sz w:val="12"/>
              </w:rPr>
              <w:t>Explainable machine learning; Machine learning; 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Diagnose; Generate plus Rank/Optimize;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pp. 9 and 12, Methods and Results | PDF p. 13, SHAP analysis of input variables | PDF p. 14, Optimal performance and parametric analysis | PDF pp. 14–18, Optimal performance and parametric analysis | PDF p. 13, SHAP analysis</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AIEXP-00361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Balogun H.; Alaka H.; Demir E.; Egwim C.N.; Wusu G.E.; Yusuf W.; Adegoke M.; Qasim I. (2025). Deconstructability prediction for building using machine learning and ensemble feature selection techniques. Scientific Reports. https://doi.org/10.1038/s41598-025-00790-0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10.1038/s41598-025-00790-0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Questionnaire/project data; Questionnaire/project variables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Diagnose;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 | PDF p. 3,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AIEXP-00406</w:t>
            </w:r>
          </w:p>
        </w:tc>
        <w:tc>
          <w:tcPr>
            <w:tcW w:type="dxa" w:w="1694"/>
            <w:vAlign w:val="top"/>
            <w:tcMar>
              <w:top w:w="75" w:type="dxa"/>
              <w:start w:w="75" w:type="dxa"/>
              <w:bottom w:w="75" w:type="dxa"/>
              <w:end w:w="75" w:type="dxa"/>
            </w:tcMar>
          </w:tcPr>
          <w:p>
            <w:pPr>
              <w:spacing w:after="30" w:line="240" w:lineRule="auto"/>
            </w:pPr>
            <w:r>
              <w:rPr>
                <w:rFonts w:ascii="Arial" w:hAnsi="Arial"/>
                <w:sz w:val="12"/>
              </w:rPr>
              <w:t>Cabral S.; Klimenka M.; Bademosi F.; Lau D.; Pender S.; Villaggi L.; Stoddart J.; Donnelly J.; Storey P.; Benjamin D. (2025). A Contactless Multi-Modal Sensing Approach for Material Assessment and Recovery in Building Deconstruction. Sustainability (Switzerland). https://doi.org/10.3390/su17020585</w:t>
            </w:r>
          </w:p>
        </w:tc>
        <w:tc>
          <w:tcPr>
            <w:tcW w:type="dxa" w:w="1694"/>
            <w:vAlign w:val="top"/>
            <w:tcMar>
              <w:top w:w="75" w:type="dxa"/>
              <w:start w:w="75" w:type="dxa"/>
              <w:bottom w:w="75" w:type="dxa"/>
              <w:end w:w="75" w:type="dxa"/>
            </w:tcMar>
          </w:tcPr>
          <w:p>
            <w:pPr>
              <w:spacing w:after="30" w:line="240" w:lineRule="auto"/>
            </w:pPr>
            <w:r>
              <w:rPr>
                <w:rFonts w:ascii="Arial" w:hAnsi="Arial"/>
                <w:sz w:val="12"/>
              </w:rPr>
              <w:t>10.3390/su17020585</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Magnetic sensing; Thermal-visible images</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3, Full text | PDF p. 15, Full text | PDF p. 4,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AIEXP-00408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Vergés R.; Gaspar K.; Forcada N. (2026). Large-scale analysis of environmental and circularity metrics in construction products through automated data extraction using large language models. Environmental Impact Assessment Review. https://doi.org/10.1016/j.eiar.2025.108243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10.1016/j.eiar.2025.108243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EPD text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Large language model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3, Full text | PDF p. 4,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AIEXP-00431</w:t>
            </w:r>
          </w:p>
        </w:tc>
        <w:tc>
          <w:tcPr>
            <w:tcW w:type="dxa" w:w="1694"/>
            <w:vAlign w:val="top"/>
            <w:tcMar>
              <w:top w:w="75" w:type="dxa"/>
              <w:start w:w="75" w:type="dxa"/>
              <w:bottom w:w="75" w:type="dxa"/>
              <w:end w:w="75" w:type="dxa"/>
            </w:tcMar>
          </w:tcPr>
          <w:p>
            <w:pPr>
              <w:spacing w:after="30" w:line="240" w:lineRule="auto"/>
            </w:pPr>
            <w:r>
              <w:rPr>
                <w:rFonts w:ascii="Arial" w:hAnsi="Arial"/>
                <w:sz w:val="12"/>
              </w:rPr>
              <w:t>Pinto Almeida C.D.; Jordán Buenaño N. (2026). Lightweight deep learning for sustainable adobe construction: a block-level baseline aligned with circular economy principles and sustainable development goals. Frontiers in Built Environment. https://doi.org/10.3389/fbuil.2026.1883353</w:t>
            </w:r>
          </w:p>
        </w:tc>
        <w:tc>
          <w:tcPr>
            <w:tcW w:type="dxa" w:w="1694"/>
            <w:vAlign w:val="top"/>
            <w:tcMar>
              <w:top w:w="75" w:type="dxa"/>
              <w:start w:w="75" w:type="dxa"/>
              <w:bottom w:w="75" w:type="dxa"/>
              <w:end w:w="75" w:type="dxa"/>
            </w:tcMar>
          </w:tcPr>
          <w:p>
            <w:pPr>
              <w:spacing w:after="30" w:line="240" w:lineRule="auto"/>
            </w:pPr>
            <w:r>
              <w:rPr>
                <w:rFonts w:ascii="Arial" w:hAnsi="Arial"/>
                <w:sz w:val="12"/>
              </w:rPr>
              <w:t>10.3389/fbuil.2026.1883353</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Image/photo</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2,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AIEXP-00450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Rajaratnam D.; Stewart R.A.; Liu T.; Vieira A.S.; Amarasinghe I. (2025). A Computer Vision Approach for Estimating Embodied Carbon to Support Circular Economy Decisions. 2025 5th International Conference on Advanced Research in Computing: Converging Horizons: Uniting Disciplines in Computing Research through AI Innovation, ICARC 2025 - Proceedings. https://doi.org/10.1109/icarc64760.2025.10963282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10.1109/ICARC64760.2025.10963282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Image/photo; Image/photo; specification; reference database; Image/reference data; Specification/reference data</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Computer vision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 | PDF p. 5,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AIEXP-00469</w:t>
            </w:r>
          </w:p>
        </w:tc>
        <w:tc>
          <w:tcPr>
            <w:tcW w:type="dxa" w:w="1694"/>
            <w:vAlign w:val="top"/>
            <w:tcMar>
              <w:top w:w="75" w:type="dxa"/>
              <w:start w:w="75" w:type="dxa"/>
              <w:bottom w:w="75" w:type="dxa"/>
              <w:end w:w="75" w:type="dxa"/>
            </w:tcMar>
          </w:tcPr>
          <w:p>
            <w:pPr>
              <w:spacing w:after="30" w:line="240" w:lineRule="auto"/>
            </w:pPr>
            <w:r>
              <w:rPr>
                <w:rFonts w:ascii="Arial" w:hAnsi="Arial"/>
                <w:sz w:val="12"/>
              </w:rPr>
              <w:t>Mi S.; Wu X.; Liu S.; Huang Z.; De Wolf C.; El-Assady M.; Wu P.-Y. (2026). Enhancing building product inventory automation through a hybrid spatial-semantic modeling framework. Developments in the Built Environment. https://doi.org/10.1016/j.dibe.2026.100992</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10.1016/j.dibe.2026.100992</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End of Life</w:t>
            </w:r>
          </w:p>
        </w:tc>
        <w:tc>
          <w:tcPr>
            <w:tcW w:type="dxa" w:w="1694"/>
            <w:vAlign w:val="top"/>
            <w:tcMar>
              <w:top w:w="75" w:type="dxa"/>
              <w:start w:w="75" w:type="dxa"/>
              <w:bottom w:w="75" w:type="dxa"/>
              <w:end w:w="75" w:type="dxa"/>
            </w:tcMar>
          </w:tcPr>
          <w:p>
            <w:pPr>
              <w:spacing w:after="30" w:line="240" w:lineRule="auto"/>
            </w:pPr>
            <w:r>
              <w:rPr>
                <w:rFonts w:ascii="Arial" w:hAnsi="Arial"/>
                <w:sz w:val="12"/>
              </w:rPr>
              <w:t>Image/photo; Image/photo; text prompt; Pre-demolition inventory sheets</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 Infer/Complete;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4, Sec. 4, Method | PDF p. 3, Sec. 3.1, Data</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AIEXP-00471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Kairlapova A.; Forth K.; Carrara A.; Borrmann A. (2025). MATERIAL DETECTION AND CLASSIFICATION IN 2D ARCHITECTURAL DRAWINGS USING COMPUTER VISION FOR MATERIAL PASSPORTS. Proceedings of the European Conference on Computing in Construction. https://doi.org/10.35490/ec3.2025.196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10.35490/EC3.2025.196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Architectural drawing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Computer vision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2, Methodology | 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AIEXP-00474</w:t>
            </w:r>
          </w:p>
        </w:tc>
        <w:tc>
          <w:tcPr>
            <w:tcW w:type="dxa" w:w="1694"/>
            <w:vAlign w:val="top"/>
            <w:tcMar>
              <w:top w:w="75" w:type="dxa"/>
              <w:start w:w="75" w:type="dxa"/>
              <w:bottom w:w="75" w:type="dxa"/>
              <w:end w:w="75" w:type="dxa"/>
            </w:tcMar>
          </w:tcPr>
          <w:p>
            <w:pPr>
              <w:spacing w:after="30" w:line="240" w:lineRule="auto"/>
            </w:pPr>
            <w:r>
              <w:rPr>
                <w:rFonts w:ascii="Arial" w:hAnsi="Arial"/>
                <w:sz w:val="12"/>
              </w:rPr>
              <w:t>Fritzsche L.; Starke R.; Vukorep I. (2026). Addressing the Long Tail of Building Component Reuse through Open-Vocabulary Vision: Image-Based Analysis of Building Components in On-Site Audits. Proceedings of the International Conference on Education and Research in Computer Aided Architectural Design in Europe. https://doi.org/10.52842/conf.ecaade.2026.1.481</w:t>
            </w:r>
          </w:p>
        </w:tc>
        <w:tc>
          <w:tcPr>
            <w:tcW w:type="dxa" w:w="1694"/>
            <w:vAlign w:val="top"/>
            <w:tcMar>
              <w:top w:w="75" w:type="dxa"/>
              <w:start w:w="75" w:type="dxa"/>
              <w:bottom w:w="75" w:type="dxa"/>
              <w:end w:w="75" w:type="dxa"/>
            </w:tcMar>
          </w:tcPr>
          <w:p>
            <w:pPr>
              <w:spacing w:after="30" w:line="240" w:lineRule="auto"/>
            </w:pPr>
            <w:r>
              <w:rPr>
                <w:rFonts w:ascii="Arial" w:hAnsi="Arial"/>
                <w:sz w:val="12"/>
              </w:rPr>
              <w:t>10.52842/conf.ecaade.2026.1.481</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Image/photo</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AIEXP-00495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Forth K.; De Wolf C. (2026). Semantic property enrichment for circularity assessments using BIM and labeled property graphs. Journal of Building Engineering. https://doi.org/10.1016/j.jobe.2026.115417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10.1016/j.jobe.2026.115417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IFC; property graph</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Infer/Complete;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2,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AIEXP-00497</w:t>
            </w:r>
          </w:p>
        </w:tc>
        <w:tc>
          <w:tcPr>
            <w:tcW w:type="dxa" w:w="1694"/>
            <w:vAlign w:val="top"/>
            <w:tcMar>
              <w:top w:w="75" w:type="dxa"/>
              <w:start w:w="75" w:type="dxa"/>
              <w:bottom w:w="75" w:type="dxa"/>
              <w:end w:w="75" w:type="dxa"/>
            </w:tcMar>
          </w:tcPr>
          <w:p>
            <w:pPr>
              <w:spacing w:after="30" w:line="240" w:lineRule="auto"/>
            </w:pPr>
            <w:r>
              <w:rPr>
                <w:rFonts w:ascii="Arial" w:hAnsi="Arial"/>
                <w:sz w:val="12"/>
              </w:rPr>
              <w:t>Forth K.; Berggold P.; Borrmann A. (2024). Domain-Specific Fine-Tuning of LLM for Material Matching of BIM Elements and Material Passports. Computing In Civil Engineering 2024: Building Information Modeling, Digital Twins, and Simulation and Visualization - Selected Papers from the ASCE International Conference on Computing in Civil Engineering 2024. https://doi.org/10.1061/9780784486122.064</w:t>
            </w:r>
          </w:p>
        </w:tc>
        <w:tc>
          <w:tcPr>
            <w:tcW w:type="dxa" w:w="1694"/>
            <w:vAlign w:val="top"/>
            <w:tcMar>
              <w:top w:w="75" w:type="dxa"/>
              <w:start w:w="75" w:type="dxa"/>
              <w:bottom w:w="75" w:type="dxa"/>
              <w:end w:w="75" w:type="dxa"/>
            </w:tcMar>
          </w:tcPr>
          <w:p>
            <w:pPr>
              <w:spacing w:after="30" w:line="240" w:lineRule="auto"/>
            </w:pPr>
            <w:r>
              <w:rPr>
                <w:rFonts w:ascii="Arial" w:hAnsi="Arial"/>
                <w:sz w:val="12"/>
              </w:rPr>
              <w:t>10.1061/9780784486122.064</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IFC; material passport</w:t>
            </w:r>
          </w:p>
        </w:tc>
        <w:tc>
          <w:tcPr>
            <w:tcW w:type="dxa" w:w="1694"/>
            <w:vAlign w:val="top"/>
            <w:tcMar>
              <w:top w:w="75" w:type="dxa"/>
              <w:start w:w="75" w:type="dxa"/>
              <w:bottom w:w="75" w:type="dxa"/>
              <w:end w:w="75" w:type="dxa"/>
            </w:tcMar>
          </w:tcPr>
          <w:p>
            <w:pPr>
              <w:spacing w:after="30" w:line="240" w:lineRule="auto"/>
            </w:pPr>
            <w:r>
              <w:rPr>
                <w:rFonts w:ascii="Arial" w:hAnsi="Arial"/>
                <w:sz w:val="12"/>
              </w:rPr>
              <w:t>Large language model;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 Infer/Complete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AIEXP-00498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Lopes A.; Teixeira C.A. (2025). Data-Driven Optimization of Construction and Demolition Waste Management: Pattern Recognition and Anomaly Detection. Sustainability (Switzerland). https://doi.org/10.3390/su17094211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10.3390/su17094211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Waste-management records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2,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AIEXP-00499</w:t>
            </w:r>
          </w:p>
        </w:tc>
        <w:tc>
          <w:tcPr>
            <w:tcW w:type="dxa" w:w="1694"/>
            <w:vAlign w:val="top"/>
            <w:tcMar>
              <w:top w:w="75" w:type="dxa"/>
              <w:start w:w="75" w:type="dxa"/>
              <w:bottom w:w="75" w:type="dxa"/>
              <w:end w:w="75" w:type="dxa"/>
            </w:tcMar>
          </w:tcPr>
          <w:p>
            <w:pPr>
              <w:spacing w:after="30" w:line="240" w:lineRule="auto"/>
            </w:pPr>
            <w:r>
              <w:rPr>
                <w:rFonts w:ascii="Arial" w:hAnsi="Arial"/>
                <w:sz w:val="12"/>
              </w:rPr>
              <w:t>Lauble S.; Geiger A.; Zielke P. (2025). Leveraging Artificial Intelligence for Creating Material Passports from Building Stock Documents: A Workflow for Promoting Circularity in the Built Environment. IOP Conference Series: Earth and Environmental Science. https://doi.org/10.1088/1755-1315/1546/1/012076</w:t>
            </w:r>
          </w:p>
        </w:tc>
        <w:tc>
          <w:tcPr>
            <w:tcW w:type="dxa" w:w="1694"/>
            <w:vAlign w:val="top"/>
            <w:tcMar>
              <w:top w:w="75" w:type="dxa"/>
              <w:start w:w="75" w:type="dxa"/>
              <w:bottom w:w="75" w:type="dxa"/>
              <w:end w:w="75" w:type="dxa"/>
            </w:tcMar>
          </w:tcPr>
          <w:p>
            <w:pPr>
              <w:spacing w:after="30" w:line="240" w:lineRule="auto"/>
            </w:pPr>
            <w:r>
              <w:rPr>
                <w:rFonts w:ascii="Arial" w:hAnsi="Arial"/>
                <w:sz w:val="12"/>
              </w:rPr>
              <w:t>10.1088/1755-1315/1546/1/012076</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Operation</w:t>
            </w:r>
          </w:p>
        </w:tc>
        <w:tc>
          <w:tcPr>
            <w:tcW w:type="dxa" w:w="1694"/>
            <w:vAlign w:val="top"/>
            <w:tcMar>
              <w:top w:w="75" w:type="dxa"/>
              <w:start w:w="75" w:type="dxa"/>
              <w:bottom w:w="75" w:type="dxa"/>
              <w:end w:w="75" w:type="dxa"/>
            </w:tcMar>
          </w:tcPr>
          <w:p>
            <w:pPr>
              <w:spacing w:after="30" w:line="240" w:lineRule="auto"/>
            </w:pPr>
            <w:r>
              <w:rPr>
                <w:rFonts w:ascii="Arial" w:hAnsi="Arial"/>
                <w:sz w:val="12"/>
              </w:rPr>
              <w:t>Architectural drawing; Architectural drawing; text/document; EPD and external databases; Plans; documents; external databases</w:t>
            </w:r>
          </w:p>
        </w:tc>
        <w:tc>
          <w:tcPr>
            <w:tcW w:type="dxa" w:w="1694"/>
            <w:vAlign w:val="top"/>
            <w:tcMar>
              <w:top w:w="75" w:type="dxa"/>
              <w:start w:w="75" w:type="dxa"/>
              <w:bottom w:w="75" w:type="dxa"/>
              <w:end w:w="75" w:type="dxa"/>
            </w:tcMar>
          </w:tcPr>
          <w:p>
            <w:pPr>
              <w:spacing w:after="30" w:line="240" w:lineRule="auto"/>
            </w:pPr>
            <w:r>
              <w:rPr>
                <w:rFonts w:ascii="Arial" w:hAnsi="Arial"/>
                <w:sz w:val="12"/>
              </w:rPr>
              <w:t>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7, Sec. 5, Discussion based on the case study | PDF p. 6, Sec. 4, Presentation of the workflow</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AIEXP-00500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Zhang Y.; Peng J.; Wang Z.; Xi M.; Liu J.; Xu L. (2025). Machine Learning-Assisted Sustainable Mix Design of Waste Glass Powder Concrete with Strength–Cost–CO2 Emissions Trade-Offs. Buildings. https://doi.org/10.3390/buildings15152640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10.3390/buildings15152640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Concrete-mix variables; Cost data; Reference/experimental data</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Evolutionary optimization; Machine learning;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AIEXP-00505</w:t>
            </w:r>
          </w:p>
        </w:tc>
        <w:tc>
          <w:tcPr>
            <w:tcW w:type="dxa" w:w="1694"/>
            <w:vAlign w:val="top"/>
            <w:tcMar>
              <w:top w:w="75" w:type="dxa"/>
              <w:start w:w="75" w:type="dxa"/>
              <w:bottom w:w="75" w:type="dxa"/>
              <w:end w:w="75" w:type="dxa"/>
            </w:tcMar>
          </w:tcPr>
          <w:p>
            <w:pPr>
              <w:spacing w:after="30" w:line="240" w:lineRule="auto"/>
            </w:pPr>
            <w:r>
              <w:rPr>
                <w:rFonts w:ascii="Arial" w:hAnsi="Arial"/>
                <w:sz w:val="12"/>
              </w:rPr>
              <w:t>Wu P.-Y.; Mjörnell K.; Mangold M.; Sandels C.; Johansson T. (2021). A data-driven approach to assess the risk of encountering hazardous materials in the building stock based on environmental inventories. Sustainability (Switzerland). https://doi.org/10.3390/su13147836</w:t>
            </w:r>
          </w:p>
        </w:tc>
        <w:tc>
          <w:tcPr>
            <w:tcW w:type="dxa" w:w="1694"/>
            <w:vAlign w:val="top"/>
            <w:tcMar>
              <w:top w:w="75" w:type="dxa"/>
              <w:start w:w="75" w:type="dxa"/>
              <w:bottom w:w="75" w:type="dxa"/>
              <w:end w:w="75" w:type="dxa"/>
            </w:tcMar>
          </w:tcPr>
          <w:p>
            <w:pPr>
              <w:spacing w:after="30" w:line="240" w:lineRule="auto"/>
            </w:pPr>
            <w:r>
              <w:rPr>
                <w:rFonts w:ascii="Arial" w:hAnsi="Arial"/>
                <w:sz w:val="12"/>
              </w:rPr>
              <w:t>10.3390/su13147836</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Environmental inventory</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3,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AIEXP-00533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Rakhshan K.; Morel J.-C.; Daneshkhah A. (2021). A probabilistic predictive model for assessing the economic reusability of load-bearing building components: Developing a Circular Economy framework. Sustainable Production and Consumption. https://doi.org/10.1016/j.spc.2021.01.031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10.1016/j.spc.2021.01.031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Component/reusability factors; Reusability factors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Explainable 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Diagnose;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 | PDF p. 7,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AIEXP-00536</w:t>
            </w:r>
          </w:p>
        </w:tc>
        <w:tc>
          <w:tcPr>
            <w:tcW w:type="dxa" w:w="1694"/>
            <w:vAlign w:val="top"/>
            <w:tcMar>
              <w:top w:w="75" w:type="dxa"/>
              <w:start w:w="75" w:type="dxa"/>
              <w:bottom w:w="75" w:type="dxa"/>
              <w:end w:w="75" w:type="dxa"/>
            </w:tcMar>
          </w:tcPr>
          <w:p>
            <w:pPr>
              <w:spacing w:after="30" w:line="240" w:lineRule="auto"/>
            </w:pPr>
            <w:r>
              <w:rPr>
                <w:rFonts w:ascii="Arial" w:hAnsi="Arial"/>
                <w:sz w:val="12"/>
              </w:rPr>
              <w:t>Moussavi S.M.; Svatoš-Ražnjević H.; Körner A.; Tahouni Y.; Menges A.; Knippers J. (2022). Design based on availability: Generative design and robotic fabrication workflow for non-standardized sheet metal with variable properties. International Journal of Space Structures. https://doi.org/10.1177/09560599221081104</w:t>
            </w:r>
          </w:p>
        </w:tc>
        <w:tc>
          <w:tcPr>
            <w:tcW w:type="dxa" w:w="1694"/>
            <w:vAlign w:val="top"/>
            <w:tcMar>
              <w:top w:w="75" w:type="dxa"/>
              <w:start w:w="75" w:type="dxa"/>
              <w:bottom w:w="75" w:type="dxa"/>
              <w:end w:w="75" w:type="dxa"/>
            </w:tcMar>
          </w:tcPr>
          <w:p>
            <w:pPr>
              <w:spacing w:after="30" w:line="240" w:lineRule="auto"/>
            </w:pPr>
            <w:r>
              <w:rPr>
                <w:rFonts w:ascii="Arial" w:hAnsi="Arial"/>
                <w:sz w:val="12"/>
              </w:rPr>
              <w:t>10.1177/09560599221081104</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Construction; Detailed Design</w:t>
            </w:r>
          </w:p>
        </w:tc>
        <w:tc>
          <w:tcPr>
            <w:tcW w:type="dxa" w:w="1694"/>
            <w:vAlign w:val="top"/>
            <w:tcMar>
              <w:top w:w="75" w:type="dxa"/>
              <w:start w:w="75" w:type="dxa"/>
              <w:bottom w:w="75" w:type="dxa"/>
              <w:end w:w="75" w:type="dxa"/>
            </w:tcMar>
          </w:tcPr>
          <w:p>
            <w:pPr>
              <w:spacing w:after="30" w:line="240" w:lineRule="auto"/>
            </w:pPr>
            <w:r>
              <w:rPr>
                <w:rFonts w:ascii="Arial" w:hAnsi="Arial"/>
                <w:sz w:val="12"/>
              </w:rPr>
              <w:t>Image/photo; Parametric model; Parametric model; image/photo; Reclaimed-material scan/database; parametric model</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Generative design; 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 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7, Computational workflow | PDF p. 10, Robotic fabrication workflow | PDF p. 6, Computational workflow | PDF p. 8, Search-engine grouping | PDF p. 8, Computational workflow | PDF p. 5, Computational workflow</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AIEXP-00565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Płoszaj-Mazurek M.; Ryńska E.; Grochulska-Salak M. (2020). Methods to optimize carbon footprint of buildings in regenerative architectural design with the use of machine learning, convolutional neural network, and parametric design. Energies. https://doi.org/10.3390/en13205289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10.3390/en13205289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Parametric design features; Parametric design variables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AIEXP-00637</w:t>
            </w:r>
          </w:p>
        </w:tc>
        <w:tc>
          <w:tcPr>
            <w:tcW w:type="dxa" w:w="1694"/>
            <w:vAlign w:val="top"/>
            <w:tcMar>
              <w:top w:w="75" w:type="dxa"/>
              <w:start w:w="75" w:type="dxa"/>
              <w:bottom w:w="75" w:type="dxa"/>
              <w:end w:w="75" w:type="dxa"/>
            </w:tcMar>
          </w:tcPr>
          <w:p>
            <w:pPr>
              <w:spacing w:after="30" w:line="240" w:lineRule="auto"/>
            </w:pPr>
            <w:r>
              <w:rPr>
                <w:rFonts w:ascii="Arial" w:hAnsi="Arial"/>
                <w:sz w:val="12"/>
              </w:rPr>
              <w:t>Hany Y.; Ahmed W.; Elshazly A.; Senousi A.M.; Darwish W. (2025). Automated 3D Reconstruction of Interior Structures from Unstructured Point Clouds. ISPRS International Journal of Geo-Information. https://doi.org/10.3390/ijgi14110428</w:t>
            </w:r>
          </w:p>
        </w:tc>
        <w:tc>
          <w:tcPr>
            <w:tcW w:type="dxa" w:w="1694"/>
            <w:vAlign w:val="top"/>
            <w:tcMar>
              <w:top w:w="75" w:type="dxa"/>
              <w:start w:w="75" w:type="dxa"/>
              <w:bottom w:w="75" w:type="dxa"/>
              <w:end w:w="75" w:type="dxa"/>
            </w:tcMar>
          </w:tcPr>
          <w:p>
            <w:pPr>
              <w:spacing w:after="30" w:line="240" w:lineRule="auto"/>
            </w:pPr>
            <w:r>
              <w:rPr>
                <w:rFonts w:ascii="Arial" w:hAnsi="Arial"/>
                <w:sz w:val="12"/>
              </w:rPr>
              <w:t>10.3390/ijgi14110428</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Operation</w:t>
            </w:r>
          </w:p>
        </w:tc>
        <w:tc>
          <w:tcPr>
            <w:tcW w:type="dxa" w:w="1694"/>
            <w:vAlign w:val="top"/>
            <w:tcMar>
              <w:top w:w="75" w:type="dxa"/>
              <w:start w:w="75" w:type="dxa"/>
              <w:bottom w:w="75" w:type="dxa"/>
              <w:end w:w="75" w:type="dxa"/>
            </w:tcMar>
          </w:tcPr>
          <w:p>
            <w:pPr>
              <w:spacing w:after="30" w:line="240" w:lineRule="auto"/>
            </w:pPr>
            <w:r>
              <w:rPr>
                <w:rFonts w:ascii="Arial" w:hAnsi="Arial"/>
                <w:sz w:val="12"/>
              </w:rPr>
              <w:t>Point cloud / scan</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Infer/Complete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AIEXP-00641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Lu Z.; Hu Y. (2026). BIM-based ontology-driven knowledge graph framework for policy-aligned building salvage assessment. Automation in Construction. https://doi.org/10.1016/j.autcon.2026.106985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10.1016/j.autcon.2026.106985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End of Life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As-built BIM/IFC; BIM; IFC; text/document; Policy/facility documents; Text/document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Large language model; Knowledge graph; 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 Infer/Complete; Recommend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11, Sec. 4.1, Data collection and extraction | PDF p. 16, Sec. 5.4 and Table 5 | PDF p. 14, Sec. 5.2, KG integrity results</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AIEXP-00800</w:t>
            </w:r>
          </w:p>
        </w:tc>
        <w:tc>
          <w:tcPr>
            <w:tcW w:type="dxa" w:w="1694"/>
            <w:vAlign w:val="top"/>
            <w:tcMar>
              <w:top w:w="75" w:type="dxa"/>
              <w:start w:w="75" w:type="dxa"/>
              <w:bottom w:w="75" w:type="dxa"/>
              <w:end w:w="75" w:type="dxa"/>
            </w:tcMar>
          </w:tcPr>
          <w:p>
            <w:pPr>
              <w:spacing w:after="30" w:line="240" w:lineRule="auto"/>
            </w:pPr>
            <w:r>
              <w:rPr>
                <w:rFonts w:ascii="Arial" w:hAnsi="Arial"/>
                <w:sz w:val="12"/>
              </w:rPr>
              <w:t>Li K.; Gan V.J.L.; Li M. (2025). Automating 3D As-Built BIM with Deep Learning and Knowledge-Driven Graphs. Computing in Civil Engineering 2025: Computational and Intelligent Technologies - Selected Papers from the ASCE International Conference on Computing in Civil Engineering 2025. https://doi.org/10.1061/9780784486436.069</w:t>
            </w:r>
          </w:p>
        </w:tc>
        <w:tc>
          <w:tcPr>
            <w:tcW w:type="dxa" w:w="1694"/>
            <w:vAlign w:val="top"/>
            <w:tcMar>
              <w:top w:w="75" w:type="dxa"/>
              <w:start w:w="75" w:type="dxa"/>
              <w:bottom w:w="75" w:type="dxa"/>
              <w:end w:w="75" w:type="dxa"/>
            </w:tcMar>
          </w:tcPr>
          <w:p>
            <w:pPr>
              <w:spacing w:after="30" w:line="240" w:lineRule="auto"/>
            </w:pPr>
            <w:r>
              <w:rPr>
                <w:rFonts w:ascii="Arial" w:hAnsi="Arial"/>
                <w:sz w:val="12"/>
              </w:rPr>
              <w:t>10.1061/9780784486436.069</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Operation</w:t>
            </w:r>
          </w:p>
        </w:tc>
        <w:tc>
          <w:tcPr>
            <w:tcW w:type="dxa" w:w="1694"/>
            <w:vAlign w:val="top"/>
            <w:tcMar>
              <w:top w:w="75" w:type="dxa"/>
              <w:start w:w="75" w:type="dxa"/>
              <w:bottom w:w="75" w:type="dxa"/>
              <w:end w:w="75" w:type="dxa"/>
            </w:tcMar>
          </w:tcPr>
          <w:p>
            <w:pPr>
              <w:spacing w:after="30" w:line="240" w:lineRule="auto"/>
            </w:pPr>
            <w:r>
              <w:rPr>
                <w:rFonts w:ascii="Arial" w:hAnsi="Arial"/>
                <w:sz w:val="12"/>
              </w:rPr>
              <w:t>Point cloud / scan; Point cloud / scan; knowledge graph</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Infer/Complete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AIEXP-00847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Won Ma J.; Jung J.; Leite F. (2024). Deep Learning-Based Scan-To-BIM Automation and Object Scope Expansion Using a Low-Cost 3D Scan Data. Journal of Computing in Civil Engineering. https://doi.org/10.1061/jccee5.cpeng-5751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10.1061/JCCEE5.CPENG-5751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Operation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Point cloud / scan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Machine learning; 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AIEXP-00879</w:t>
            </w:r>
          </w:p>
        </w:tc>
        <w:tc>
          <w:tcPr>
            <w:tcW w:type="dxa" w:w="1694"/>
            <w:vAlign w:val="top"/>
            <w:tcMar>
              <w:top w:w="75" w:type="dxa"/>
              <w:start w:w="75" w:type="dxa"/>
              <w:bottom w:w="75" w:type="dxa"/>
              <w:end w:w="75" w:type="dxa"/>
            </w:tcMar>
          </w:tcPr>
          <w:p>
            <w:pPr>
              <w:spacing w:after="30" w:line="240" w:lineRule="auto"/>
            </w:pPr>
            <w:r>
              <w:rPr>
                <w:rFonts w:ascii="Arial" w:hAnsi="Arial"/>
                <w:sz w:val="12"/>
              </w:rPr>
              <w:t>Moshari A.; Javanroodi K.; Nik V.M. (2026). LLM-enabled bidirectional material semantic alignment for automated BIM-to-building performance assessment. Automation in Construction. https://doi.org/10.1016/j.autcon.2026.107258</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10.1016/j.autcon.2026.107258</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tcPr>
          <w:p>
            <w:pPr>
              <w:spacing w:after="30" w:line="240" w:lineRule="auto"/>
            </w:pPr>
            <w:r>
              <w:rPr>
                <w:rFonts w:ascii="Arial" w:hAnsi="Arial"/>
                <w:sz w:val="12"/>
              </w:rPr>
              <w:t>Cost database; IFC; material database; IFC; material database; LCA/cost criteria; LCA database</w:t>
            </w:r>
          </w:p>
        </w:tc>
        <w:tc>
          <w:tcPr>
            <w:tcW w:type="dxa" w:w="1694"/>
            <w:vAlign w:val="top"/>
            <w:tcMar>
              <w:top w:w="75" w:type="dxa"/>
              <w:start w:w="75" w:type="dxa"/>
              <w:bottom w:w="75" w:type="dxa"/>
              <w:end w:w="75" w:type="dxa"/>
            </w:tcMar>
          </w:tcPr>
          <w:p>
            <w:pPr>
              <w:spacing w:after="30" w:line="240" w:lineRule="auto"/>
            </w:pPr>
            <w:r>
              <w:rPr>
                <w:rFonts w:ascii="Arial" w:hAnsi="Arial"/>
                <w:sz w:val="12"/>
              </w:rPr>
              <w:t>Large language model;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 Infer/Complete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 | PDF pp. 1 and 13, Abstract; limitations</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AIEXP-00946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Bayer H.; Schönfelder P.; König M. (2026). Deep learning-based structural element extraction and knowledge-graph-based validation of 2D bridge drawings. Automation in Construction. https://doi.org/10.1016/j.autcon.2026.107213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10.1016/j.autcon.2026.107213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Operation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Architectural/construction drawing; Drawing; knowledge graph</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Optical character recognition; 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 Infer/Complete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AIEXP-01043</w:t>
            </w:r>
          </w:p>
        </w:tc>
        <w:tc>
          <w:tcPr>
            <w:tcW w:type="dxa" w:w="1694"/>
            <w:vAlign w:val="top"/>
            <w:tcMar>
              <w:top w:w="75" w:type="dxa"/>
              <w:start w:w="75" w:type="dxa"/>
              <w:bottom w:w="75" w:type="dxa"/>
              <w:end w:w="75" w:type="dxa"/>
            </w:tcMar>
          </w:tcPr>
          <w:p>
            <w:pPr>
              <w:spacing w:after="30" w:line="240" w:lineRule="auto"/>
            </w:pPr>
            <w:r>
              <w:rPr>
                <w:rFonts w:ascii="Arial" w:hAnsi="Arial"/>
                <w:sz w:val="12"/>
              </w:rPr>
              <w:t>Rahman M.; Adebayo S.; Acevedo-Mejia D.A.; Hester D.; McPolin D.; Rafferty K.; Laefer D.F. (2026). ISC-Perception: A Hybrid Vision Dataset for Robotic Assembly with Novel Intermeshed Steel Connections. Buildings. https://doi.org/10.3390/buildings16173407</w:t>
            </w:r>
          </w:p>
        </w:tc>
        <w:tc>
          <w:tcPr>
            <w:tcW w:type="dxa" w:w="1694"/>
            <w:vAlign w:val="top"/>
            <w:tcMar>
              <w:top w:w="75" w:type="dxa"/>
              <w:start w:w="75" w:type="dxa"/>
              <w:bottom w:w="75" w:type="dxa"/>
              <w:end w:w="75" w:type="dxa"/>
            </w:tcMar>
          </w:tcPr>
          <w:p>
            <w:pPr>
              <w:spacing w:after="30" w:line="240" w:lineRule="auto"/>
            </w:pPr>
            <w:r>
              <w:rPr>
                <w:rFonts w:ascii="Arial" w:hAnsi="Arial"/>
                <w:sz w:val="12"/>
              </w:rPr>
              <w:t>10.3390/buildings16173407</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Construction</w:t>
            </w:r>
          </w:p>
        </w:tc>
        <w:tc>
          <w:tcPr>
            <w:tcW w:type="dxa" w:w="1694"/>
            <w:vAlign w:val="top"/>
            <w:tcMar>
              <w:top w:w="75" w:type="dxa"/>
              <w:start w:w="75" w:type="dxa"/>
              <w:bottom w:w="75" w:type="dxa"/>
              <w:end w:w="75" w:type="dxa"/>
            </w:tcMar>
          </w:tcPr>
          <w:p>
            <w:pPr>
              <w:spacing w:after="30" w:line="240" w:lineRule="auto"/>
            </w:pPr>
            <w:r>
              <w:rPr>
                <w:rFonts w:ascii="Arial" w:hAnsi="Arial"/>
                <w:sz w:val="12"/>
              </w:rPr>
              <w:t>Construction images; Image/photo</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tcPr>
          <w:p>
            <w:pPr>
              <w:spacing w:after="30" w:line="240" w:lineRule="auto"/>
            </w:pPr>
            <w:r>
              <w:rPr>
                <w:rFonts w:ascii="Arial" w:hAnsi="Arial"/>
                <w:sz w:val="12"/>
              </w:rPr>
              <w:t>PDF pp. 8 and 16–22, Methods and Results | PDF pp. 8 and 22, Methods and Conclusions</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AIEXP-01249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Austern G.; Bloch T.; Abulafia Y. (2024). Incorporating Context into BIM-Derived Data—Leveraging Graph Neural Networks for Building Element Classification. Buildings. https://doi.org/10.3390/buildings14020527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10.3390/buildings14020527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BIM geometry; BIM proximity graph</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Machine learning; 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pp. 1 and 15, Abstract and Results | PDF pp. 1–2, Abstract and Introduction | PDF pp. 1 and 13, Abstract and Methods</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AIEXP-01354</w:t>
            </w:r>
          </w:p>
        </w:tc>
        <w:tc>
          <w:tcPr>
            <w:tcW w:type="dxa" w:w="1694"/>
            <w:vAlign w:val="top"/>
            <w:tcMar>
              <w:top w:w="75" w:type="dxa"/>
              <w:start w:w="75" w:type="dxa"/>
              <w:bottom w:w="75" w:type="dxa"/>
              <w:end w:w="75" w:type="dxa"/>
            </w:tcMar>
          </w:tcPr>
          <w:p>
            <w:pPr>
              <w:spacing w:after="30" w:line="240" w:lineRule="auto"/>
            </w:pPr>
            <w:r>
              <w:rPr>
                <w:rFonts w:ascii="Arial" w:hAnsi="Arial"/>
                <w:sz w:val="12"/>
              </w:rPr>
              <w:t>Kim H.; Kim C. (2021). 3D as-built modeling from incomplete point clouds using connectivity relations. Automation in Construction. https://doi.org/10.1016/j.autcon.2021.103855</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10.1016/j.autcon.2021.103855</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Operation</w:t>
            </w:r>
          </w:p>
        </w:tc>
        <w:tc>
          <w:tcPr>
            <w:tcW w:type="dxa" w:w="1694"/>
            <w:vAlign w:val="top"/>
            <w:tcMar>
              <w:top w:w="75" w:type="dxa"/>
              <w:start w:w="75" w:type="dxa"/>
              <w:bottom w:w="75" w:type="dxa"/>
              <w:end w:w="75" w:type="dxa"/>
            </w:tcMar>
          </w:tcPr>
          <w:p>
            <w:pPr>
              <w:spacing w:after="30" w:line="240" w:lineRule="auto"/>
            </w:pPr>
            <w:r>
              <w:rPr>
                <w:rFonts w:ascii="Arial" w:hAnsi="Arial"/>
                <w:sz w:val="12"/>
              </w:rPr>
              <w:t>Point cloud / scan</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Infer/Complete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AIEXP-01509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Karmakar A.; Delhi V.S.K. (2023). Restructuring Elements in IFC Topology through Semantic Enrichment: A Case of Automated Compliance Checking. Proceedings of the International Symposium on Automation and Robotics in Construction. https://doi.org/10.22260/isarc2023/0062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10.22260/ISARC2023/0062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IFC; IFC geometry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6, Sec. 5</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AIEXP-01537</w:t>
            </w:r>
          </w:p>
        </w:tc>
        <w:tc>
          <w:tcPr>
            <w:tcW w:type="dxa" w:w="1694"/>
            <w:vAlign w:val="top"/>
            <w:tcMar>
              <w:top w:w="75" w:type="dxa"/>
              <w:start w:w="75" w:type="dxa"/>
              <w:bottom w:w="75" w:type="dxa"/>
              <w:end w:w="75" w:type="dxa"/>
            </w:tcMar>
          </w:tcPr>
          <w:p>
            <w:pPr>
              <w:spacing w:after="30" w:line="240" w:lineRule="auto"/>
            </w:pPr>
            <w:r>
              <w:rPr>
                <w:rFonts w:ascii="Arial" w:hAnsi="Arial"/>
                <w:sz w:val="12"/>
              </w:rPr>
              <w:t>Kim S.; Yajima Y.; Park J.; Chen J.; Cho Y.K. (2022). A Hybrid Semantic-Geometric Approach for Clutter-Resistant Floorplan Generation from Building Point Clouds. International Conference on Construction Engineering and Project Management.</w:t>
            </w:r>
          </w:p>
        </w:tc>
        <w:tc>
          <w:tcPr>
            <w:tcW w:type="dxa" w:w="1694"/>
            <w:vAlign w:val="top"/>
            <w:tcMar>
              <w:top w:w="75" w:type="dxa"/>
              <w:start w:w="75" w:type="dxa"/>
              <w:bottom w:w="75" w:type="dxa"/>
              <w:end w:w="75" w:type="dxa"/>
            </w:tcMar>
          </w:tcPr>
          <w:p>
            <w:pPr>
              <w:spacing w:after="30" w:line="240" w:lineRule="auto"/>
            </w:pPr>
            <w:r>
              <w:rPr>
                <w:rFonts w:ascii="Arial" w:hAnsi="Arial"/>
                <w:sz w:val="12"/>
              </w:rPr>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Operation</w:t>
            </w:r>
          </w:p>
        </w:tc>
        <w:tc>
          <w:tcPr>
            <w:tcW w:type="dxa" w:w="1694"/>
            <w:vAlign w:val="top"/>
            <w:tcMar>
              <w:top w:w="75" w:type="dxa"/>
              <w:start w:w="75" w:type="dxa"/>
              <w:bottom w:w="75" w:type="dxa"/>
              <w:end w:w="75" w:type="dxa"/>
            </w:tcMar>
          </w:tcPr>
          <w:p>
            <w:pPr>
              <w:spacing w:after="30" w:line="240" w:lineRule="auto"/>
            </w:pPr>
            <w:r>
              <w:rPr>
                <w:rFonts w:ascii="Arial" w:hAnsi="Arial"/>
                <w:sz w:val="12"/>
              </w:rPr>
              <w:t>Point cloud / scan; Point cloud / scan; drawing</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Infer/Complete</w:t>
            </w:r>
          </w:p>
        </w:tc>
        <w:tc>
          <w:tcPr>
            <w:tcW w:type="dxa" w:w="1694"/>
            <w:vAlign w:val="top"/>
            <w:tcMar>
              <w:top w:w="75" w:type="dxa"/>
              <w:start w:w="75" w:type="dxa"/>
              <w:bottom w:w="75" w:type="dxa"/>
              <w:end w:w="75" w:type="dxa"/>
            </w:tcMar>
          </w:tcPr>
          <w:p>
            <w:pPr>
              <w:spacing w:after="30" w:line="240" w:lineRule="auto"/>
            </w:pPr>
            <w:r>
              <w:rPr>
                <w:rFonts w:ascii="Arial" w:hAnsi="Arial"/>
                <w:sz w:val="12"/>
              </w:rPr>
              <w:t>PDF pp. 3–4, Secs. 2–3 | PDF p. 3, Sec. 2</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AIEXP-01543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Xiong Z.; Wang T. (2021). Research on BIM Reconstruction Method Using Semantic Segmentation Point Cloud Data Based on PointNet. IOP Conference Series: Earth and Environmental Science. https://doi.org/10.1088/1755-1315/719/2/022042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10.1088/1755-1315/719/2/022042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Operation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Point cloud / scan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Machine learning; 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AIEXP-01636</w:t>
            </w:r>
          </w:p>
        </w:tc>
        <w:tc>
          <w:tcPr>
            <w:tcW w:type="dxa" w:w="1694"/>
            <w:vAlign w:val="top"/>
            <w:tcMar>
              <w:top w:w="75" w:type="dxa"/>
              <w:start w:w="75" w:type="dxa"/>
              <w:bottom w:w="75" w:type="dxa"/>
              <w:end w:w="75" w:type="dxa"/>
            </w:tcMar>
          </w:tcPr>
          <w:p>
            <w:pPr>
              <w:spacing w:after="30" w:line="240" w:lineRule="auto"/>
            </w:pPr>
            <w:r>
              <w:rPr>
                <w:rFonts w:ascii="Arial" w:hAnsi="Arial"/>
                <w:sz w:val="12"/>
              </w:rPr>
              <w:t>Stellmacher D.; Lögten K.G.; Theißen S.; Kelm A.; Meins-Becker H.A. (2025). DIGITAL DECISION SUPPORT IN CONSTRUCTION: ANALYSIS OF INFORMATION REQUIREMENTS AND DATA PROVISION FOR AI-BASED SELECTION OF SUSTAINABLE BUILDING PRODUCTS. Proceedings of the European Conference on Computing in Construction. https://doi.org/10.35490/ec3.2025.236</w:t>
            </w:r>
          </w:p>
        </w:tc>
        <w:tc>
          <w:tcPr>
            <w:tcW w:type="dxa" w:w="1694"/>
            <w:vAlign w:val="top"/>
            <w:tcMar>
              <w:top w:w="75" w:type="dxa"/>
              <w:start w:w="75" w:type="dxa"/>
              <w:bottom w:w="75" w:type="dxa"/>
              <w:end w:w="75" w:type="dxa"/>
            </w:tcMar>
          </w:tcPr>
          <w:p>
            <w:pPr>
              <w:spacing w:after="30" w:line="240" w:lineRule="auto"/>
            </w:pPr>
            <w:r>
              <w:rPr>
                <w:rFonts w:ascii="Arial" w:hAnsi="Arial"/>
                <w:sz w:val="12"/>
              </w:rPr>
              <w:t>10.35490/EC3.2025.236</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EPD; EPD; product datasheet; EPD; text/document; Knowledge graph; EPD; product datasheet; Manufacturer documentation; product datasheet; Product datasheet; EPD; Product datasheets; manufacturer websites; Safety Data Sheet; product datasheet</w:t>
            </w:r>
          </w:p>
        </w:tc>
        <w:tc>
          <w:tcPr>
            <w:tcW w:type="dxa" w:w="1694"/>
            <w:vAlign w:val="top"/>
            <w:tcMar>
              <w:top w:w="75" w:type="dxa"/>
              <w:start w:w="75" w:type="dxa"/>
              <w:bottom w:w="75" w:type="dxa"/>
              <w:end w:w="75" w:type="dxa"/>
            </w:tcMar>
          </w:tcPr>
          <w:p>
            <w:pPr>
              <w:spacing w:after="30" w:line="240" w:lineRule="auto"/>
            </w:pPr>
            <w:r>
              <w:rPr>
                <w:rFonts w:ascii="Arial" w:hAnsi="Arial"/>
                <w:sz w:val="12"/>
              </w:rPr>
              <w:t>Graph retrieval-augmented generation; Large language model</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 Infer/Complete; Recommend</w:t>
            </w:r>
          </w:p>
        </w:tc>
        <w:tc>
          <w:tcPr>
            <w:tcW w:type="dxa" w:w="1694"/>
            <w:vAlign w:val="top"/>
            <w:tcMar>
              <w:top w:w="75" w:type="dxa"/>
              <w:start w:w="75" w:type="dxa"/>
              <w:bottom w:w="75" w:type="dxa"/>
              <w:end w:w="75" w:type="dxa"/>
            </w:tcMar>
          </w:tcPr>
          <w:p>
            <w:pPr>
              <w:spacing w:after="30" w:line="240" w:lineRule="auto"/>
            </w:pPr>
            <w:r>
              <w:rPr>
                <w:rFonts w:ascii="Arial" w:hAnsi="Arial"/>
                <w:sz w:val="12"/>
              </w:rPr>
              <w:t>PDF pp. 5-7, Information acquisition, processing, and results | PDF pp. 3-6, Tables 1-2; extraction workflow | PDF pp. 3-6, Table 1; extraction workflow | PDF p. 7, Results</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AIEXP-01656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Stellmacher D.; Kelm A.; Pomp A.; Meins-Becker A. (2025). AN INNOVATIVE APPROACH TO THE SEMANTIC INTEGRATION OF CONSTRUCTION AND SUSTAINABILITY INFORMATION USING GRAPHRAG. Proceedings of International Structural Engineering and Construction. https://doi.org/10.14455/isec.2025.12(1).con-25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10.14455/ISEC.2025.12(1).CON-25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EPD; product datasheet; certificate; EPD; text/document; Manufacturer documentation; product datasheet; Product datasheets; manufacturer websites; Safety Data Sheet; product datasheet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Graph retrieval-augmented generation; Large language model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 Infer/Complete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pp. 1-6, Method and results | PDF p. 6, Discussion</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AIEXP-01687</w:t>
            </w:r>
          </w:p>
        </w:tc>
        <w:tc>
          <w:tcPr>
            <w:tcW w:type="dxa" w:w="1694"/>
            <w:vAlign w:val="top"/>
            <w:tcMar>
              <w:top w:w="75" w:type="dxa"/>
              <w:start w:w="75" w:type="dxa"/>
              <w:bottom w:w="75" w:type="dxa"/>
              <w:end w:w="75" w:type="dxa"/>
            </w:tcMar>
          </w:tcPr>
          <w:p>
            <w:pPr>
              <w:spacing w:after="30" w:line="240" w:lineRule="auto"/>
            </w:pPr>
            <w:r>
              <w:rPr>
                <w:rFonts w:ascii="Arial" w:hAnsi="Arial"/>
                <w:sz w:val="12"/>
              </w:rPr>
              <w:t>Abdulrahman A.A.; Kay R. (2024). CAN MACHINE LEARNING AUTOMATE CARBON CLASSIFICATION OF MATERIALS WITHIN A BUILDING INFORMATION MODEL?. Proceedings of the European Conference on Computing in Construction. https://doi.org/10.35490/ec3.2024.229</w:t>
            </w:r>
          </w:p>
        </w:tc>
        <w:tc>
          <w:tcPr>
            <w:tcW w:type="dxa" w:w="1694"/>
            <w:vAlign w:val="top"/>
            <w:tcMar>
              <w:top w:w="75" w:type="dxa"/>
              <w:start w:w="75" w:type="dxa"/>
              <w:bottom w:w="75" w:type="dxa"/>
              <w:end w:w="75" w:type="dxa"/>
            </w:tcMar>
          </w:tcPr>
          <w:p>
            <w:pPr>
              <w:spacing w:after="30" w:line="240" w:lineRule="auto"/>
            </w:pPr>
            <w:r>
              <w:rPr>
                <w:rFonts w:ascii="Arial" w:hAnsi="Arial"/>
                <w:sz w:val="12"/>
              </w:rPr>
              <w:t>10.35490/EC3.2024.229</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BIM; carbon database; BIM; material/carbon database</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 Infer/Complete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AIEXP-01711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Neupane B.; Hilloulin B.; Chenouard R.; Roziere E. (2026). Quantifying the impact of data quality on machine learning prediction: a large-scale study of construction product environmental declarations. International Journal of Life Cycle Assessment. https://doi.org/10.1007/s11367-026-02676-3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10.1007/s11367-026-02676-3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EPD dataset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Explainable machine learning; 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Diagnose;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 | PDF p. 18, Conclusions</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AIEXP-01718</w:t>
            </w:r>
          </w:p>
        </w:tc>
        <w:tc>
          <w:tcPr>
            <w:tcW w:type="dxa" w:w="1694"/>
            <w:vAlign w:val="top"/>
            <w:tcMar>
              <w:top w:w="75" w:type="dxa"/>
              <w:start w:w="75" w:type="dxa"/>
              <w:bottom w:w="75" w:type="dxa"/>
              <w:end w:w="75" w:type="dxa"/>
            </w:tcMar>
          </w:tcPr>
          <w:p>
            <w:pPr>
              <w:spacing w:after="30" w:line="240" w:lineRule="auto"/>
            </w:pPr>
            <w:r>
              <w:rPr>
                <w:rFonts w:ascii="Arial" w:hAnsi="Arial"/>
                <w:sz w:val="12"/>
              </w:rPr>
              <w:t>Adu-Duodu K.; Wilson S.; Li Y.; Rana O.; Wang Y.; Ranjan R.; Shah T.; Solaiman E. (2026). Human-in-the-loop semantic middleware for construction compliance checking and safe product reuse. Advanced Engineering Informatics. https://doi.org/10.1016/j.aei.2026.105112</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10.1016/j.aei.2026.105112</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End of Life</w:t>
            </w:r>
          </w:p>
        </w:tc>
        <w:tc>
          <w:tcPr>
            <w:tcW w:type="dxa" w:w="1694"/>
            <w:vAlign w:val="top"/>
            <w:tcMar>
              <w:top w:w="75" w:type="dxa"/>
              <w:start w:w="75" w:type="dxa"/>
              <w:bottom w:w="75" w:type="dxa"/>
              <w:end w:w="75" w:type="dxa"/>
            </w:tcMar>
          </w:tcPr>
          <w:p>
            <w:pPr>
              <w:spacing w:after="30" w:line="240" w:lineRule="auto"/>
            </w:pPr>
            <w:r>
              <w:rPr>
                <w:rFonts w:ascii="Arial" w:hAnsi="Arial"/>
                <w:sz w:val="12"/>
              </w:rPr>
              <w:t>Expert review; Product datasheets; EPD; regulation text; knowledge graph; Product documents; regulation ontology; Study data source</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Diagnose; Generate plus Rank/Optimize; Infer/Complete;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pp. 12-13, Case Study II | PDF pp. 8 and 13, Human verification; Case Study II | PDF pp. 8 and 15, Human verification layer | 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AIEXP-01724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Arslan M.; Munawar S. (2026). Environmental impact analysis of structural steels using retrieval-augmented generation and large language models. Green Technologies and Sustainability. https://doi.org/10.1016/j.grets.2026.100352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10.1016/j.grets.2026.100352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EPD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Large language model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pp. 1-2 and 9, Abstract; Sec. 1; Table 9 | PDF p. 2, Sec. 1 | PDF p. 9, Table 9</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AIEXP-01731</w:t>
            </w:r>
          </w:p>
        </w:tc>
        <w:tc>
          <w:tcPr>
            <w:tcW w:type="dxa" w:w="1694"/>
            <w:vAlign w:val="top"/>
            <w:tcMar>
              <w:top w:w="75" w:type="dxa"/>
              <w:start w:w="75" w:type="dxa"/>
              <w:bottom w:w="75" w:type="dxa"/>
              <w:end w:w="75" w:type="dxa"/>
            </w:tcMar>
          </w:tcPr>
          <w:p>
            <w:pPr>
              <w:spacing w:after="30" w:line="240" w:lineRule="auto"/>
            </w:pPr>
            <w:r>
              <w:rPr>
                <w:rFonts w:ascii="Arial" w:hAnsi="Arial"/>
                <w:sz w:val="12"/>
              </w:rPr>
              <w:t>Billah W.; Abdou A.A.; Budaiwi I.M. (2026). A data-driven framework for environmental impact assessment of building materials using environmental product declarations. Current Research in Environmental Sustainability. https://doi.org/10.1016/j.crsust.2026.100376</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10.1016/j.crsust.2026.100376</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tcPr>
          <w:p>
            <w:pPr>
              <w:spacing w:after="30" w:line="240" w:lineRule="auto"/>
            </w:pPr>
            <w:r>
              <w:rPr>
                <w:rFonts w:ascii="Arial" w:hAnsi="Arial"/>
                <w:sz w:val="12"/>
              </w:rPr>
              <w:t>333 EPD records; EPD; EPD dataset</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Diagnose; Extract/Retrieve;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 | PDF p. 12, Secs. 3.8-3.9 | PDF p. 3, Sec. 2.1</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AIEXP-01743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Stellmacher D.; Lögten K.G.; Theißen S.; Kelm A.; Meins-Becker A. (2025). GRAPHRAG-BASED DECISION SUPPORT SYSTEM INTEGRATING AND SELECTING SUSTAINABLE BUILDING PRODUCTS. Proceedings of International Structural Engineering and Construction. https://doi.org/10.14455/isec.2025.12(1).con-08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10.14455/ISEC.2025.12(1).CON-08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EPD; text/document; Knowledge graph; EPD; datasheet; Manufacturer documentation; product datasheet; Product datasheet; Product datasheets; manufacturer websites; Safety Data Sheet; product datasheet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Graph retrieval-augmented generation; Large language model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Extract/Retrieve; Infer/Complete; Recommend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pp. 2-6, Secs. 3-5 | PDF pp. 3-4, Method and Table 1 | PDF p. 5, Sec. 4.2</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AIEXP-01750</w:t>
            </w:r>
          </w:p>
        </w:tc>
        <w:tc>
          <w:tcPr>
            <w:tcW w:type="dxa" w:w="1694"/>
            <w:vAlign w:val="top"/>
            <w:tcMar>
              <w:top w:w="75" w:type="dxa"/>
              <w:start w:w="75" w:type="dxa"/>
              <w:bottom w:w="75" w:type="dxa"/>
              <w:end w:w="75" w:type="dxa"/>
            </w:tcMar>
          </w:tcPr>
          <w:p>
            <w:pPr>
              <w:spacing w:after="30" w:line="240" w:lineRule="auto"/>
            </w:pPr>
            <w:r>
              <w:rPr>
                <w:rFonts w:ascii="Arial" w:hAnsi="Arial"/>
                <w:sz w:val="12"/>
              </w:rPr>
              <w:t>Forth K.; Abualdenien J.; Borrmann A. (2023). Calculation of embodied GHG emissions in early building design stages using BIM and NLP-based semantic model healing. Energy and Buildings. https://doi.org/10.1016/j.enbuild.2023.112837</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10.1016/j.enbuild.2023.112837</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tcPr>
          <w:p>
            <w:pPr>
              <w:spacing w:after="30" w:line="240" w:lineRule="auto"/>
            </w:pPr>
            <w:r>
              <w:rPr>
                <w:rFonts w:ascii="Arial" w:hAnsi="Arial"/>
                <w:sz w:val="12"/>
              </w:rPr>
              <w:t>BIM/IFC and LCA knowledge database; BIM; IFC; LCA database</w:t>
            </w:r>
          </w:p>
        </w:tc>
        <w:tc>
          <w:tcPr>
            <w:tcW w:type="dxa" w:w="1694"/>
            <w:vAlign w:val="top"/>
            <w:tcMar>
              <w:top w:w="75" w:type="dxa"/>
              <w:start w:w="75" w:type="dxa"/>
              <w:bottom w:w="75" w:type="dxa"/>
              <w:end w:w="75" w:type="dxa"/>
            </w:tcMar>
          </w:tcPr>
          <w:p>
            <w:pPr>
              <w:spacing w:after="30" w:line="240" w:lineRule="auto"/>
            </w:pPr>
            <w:r>
              <w:rPr>
                <w:rFonts w:ascii="Arial" w:hAnsi="Arial"/>
                <w:sz w:val="12"/>
              </w:rPr>
              <w:t>Natural language processing;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Infer/Complete;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2, Sec. 1, Introduction | PDF p. 1, Abstract | PDF p. 2, Method and nomenclature | PDF p. 15, Method and nomenclature | PDF p. 1, Method and nomenclature</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AIEXP-01769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Emunds C.; Frisch J.; van Treeck C. (2025). Spatial Link Prediction: Learning topological relationships in MEP systems. Advanced Engineering Informatics. https://doi.org/10.1016/j.aei.2025.103414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10.1016/j.aei.2025.103414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IFC; graph</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pp. 1-2, Abstract; contributions</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AIEXP-01773</w:t>
            </w:r>
          </w:p>
        </w:tc>
        <w:tc>
          <w:tcPr>
            <w:tcW w:type="dxa" w:w="1694"/>
            <w:vAlign w:val="top"/>
            <w:tcMar>
              <w:top w:w="75" w:type="dxa"/>
              <w:start w:w="75" w:type="dxa"/>
              <w:bottom w:w="75" w:type="dxa"/>
              <w:end w:w="75" w:type="dxa"/>
            </w:tcMar>
          </w:tcPr>
          <w:p>
            <w:pPr>
              <w:spacing w:after="30" w:line="240" w:lineRule="auto"/>
            </w:pPr>
            <w:r>
              <w:rPr>
                <w:rFonts w:ascii="Arial" w:hAnsi="Arial"/>
                <w:sz w:val="12"/>
              </w:rPr>
              <w:t>Allam A.S.; Nik-Bakht M. (2026). IFC-based automated deconstructability analysis with market data integration through knowledge graphs. Automation in Construction. https://doi.org/10.1016/j.autcon.2026.107219</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10.1016/j.autcon.2026.107219</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End of Life</w:t>
            </w:r>
          </w:p>
        </w:tc>
        <w:tc>
          <w:tcPr>
            <w:tcW w:type="dxa" w:w="1694"/>
            <w:vAlign w:val="top"/>
            <w:tcMar>
              <w:top w:w="75" w:type="dxa"/>
              <w:start w:w="75" w:type="dxa"/>
              <w:bottom w:w="75" w:type="dxa"/>
              <w:end w:w="75" w:type="dxa"/>
            </w:tcMar>
          </w:tcPr>
          <w:p>
            <w:pPr>
              <w:spacing w:after="30" w:line="240" w:lineRule="auto"/>
            </w:pPr>
            <w:r>
              <w:rPr>
                <w:rFonts w:ascii="Arial" w:hAnsi="Arial"/>
                <w:sz w:val="12"/>
              </w:rPr>
              <w:t>BIM/IFC and market webpages; BIM; IFC; BIM; IFC; knowledge graph; BIM; IFC; text/document; Text/document; product database</w:t>
            </w:r>
          </w:p>
        </w:tc>
        <w:tc>
          <w:tcPr>
            <w:tcW w:type="dxa" w:w="1694"/>
            <w:vAlign w:val="top"/>
            <w:tcMar>
              <w:top w:w="75" w:type="dxa"/>
              <w:start w:w="75" w:type="dxa"/>
              <w:bottom w:w="75" w:type="dxa"/>
              <w:end w:w="75" w:type="dxa"/>
            </w:tcMar>
          </w:tcPr>
          <w:p>
            <w:pPr>
              <w:spacing w:after="30" w:line="240" w:lineRule="auto"/>
            </w:pPr>
            <w:r>
              <w:rPr>
                <w:rFonts w:ascii="Arial" w:hAnsi="Arial"/>
                <w:sz w:val="12"/>
              </w:rPr>
              <w:t>Large language model; Knowledge graph;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Extract/Retrieve; Infer/Complete; Recommend</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14, Sec. 4.1, Case study | PDF p. 13, Sec. 4, Framework implementation and evaluation | PDF p. 12, Sec. 3.2, AI-powered semantic enhancement | PDF p. 12, Sec. 3.2, Market-to-building integration</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AIEXP-01779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Luo L.; Chen Y.; Feng W.; Wu J.; Cai W. (2025). Progressive prediction of embodied carbon emissions across stages of schematic design with machine learning. Journal of Cleaner Production. https://doi.org/10.1016/j.jclepro.2025.145799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10.1016/j.jclepro.2025.145799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Schematic</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Design-stage data; Design-stage variables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AIEXP-01780</w:t>
            </w:r>
          </w:p>
        </w:tc>
        <w:tc>
          <w:tcPr>
            <w:tcW w:type="dxa" w:w="1694"/>
            <w:vAlign w:val="top"/>
            <w:tcMar>
              <w:top w:w="75" w:type="dxa"/>
              <w:start w:w="75" w:type="dxa"/>
              <w:bottom w:w="75" w:type="dxa"/>
              <w:end w:w="75" w:type="dxa"/>
            </w:tcMar>
          </w:tcPr>
          <w:p>
            <w:pPr>
              <w:spacing w:after="30" w:line="240" w:lineRule="auto"/>
            </w:pPr>
            <w:r>
              <w:rPr>
                <w:rFonts w:ascii="Arial" w:hAnsi="Arial"/>
                <w:sz w:val="12"/>
              </w:rPr>
              <w:t>Mao L.; Xiang C. (2026). A cross-climate multi-stage approach to life-cycle carbon sensitivity analysis in BIPV-integrated building design. Energy and Buildings. https://doi.org/10.1016/j.enbuild.2026.117011</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10.1016/j.enbuild.2026.117011</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Multiple</w:t>
            </w:r>
          </w:p>
        </w:tc>
        <w:tc>
          <w:tcPr>
            <w:tcW w:type="dxa" w:w="1694"/>
            <w:vAlign w:val="top"/>
            <w:tcMar>
              <w:top w:w="75" w:type="dxa"/>
              <w:start w:w="75" w:type="dxa"/>
              <w:bottom w:w="75" w:type="dxa"/>
              <w:end w:w="75" w:type="dxa"/>
            </w:tcMar>
          </w:tcPr>
          <w:p>
            <w:pPr>
              <w:spacing w:after="30" w:line="240" w:lineRule="auto"/>
            </w:pPr>
            <w:r>
              <w:rPr>
                <w:rFonts w:ascii="Arial" w:hAnsi="Arial"/>
                <w:sz w:val="12"/>
              </w:rPr>
              <w:t>Parametric model; BPS-LCA simulation; Parametric model; simulation output; Study data source</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 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Diagnose; Generate plus Rank/Optimize; Infer/Complete;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AIEXP-01785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Wang Z.; Zhang L.; Pu M. (2026). Project-Level Embodied Carbon Prediction Across Building Design Stages Using a Machine Learning Framework. Sustainability (Switzerland). https://doi.org/10.3390/su18157723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10.3390/su18157723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Construction Documentation; Not Reported; Schematic</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Project geometric/material variables; Project variables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Explainable machine learning; 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Diagnose;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AIEXP-01788</w:t>
            </w:r>
          </w:p>
        </w:tc>
        <w:tc>
          <w:tcPr>
            <w:tcW w:type="dxa" w:w="1694"/>
            <w:vAlign w:val="top"/>
            <w:tcMar>
              <w:top w:w="75" w:type="dxa"/>
              <w:start w:w="75" w:type="dxa"/>
              <w:bottom w:w="75" w:type="dxa"/>
              <w:end w:w="75" w:type="dxa"/>
            </w:tcMar>
          </w:tcPr>
          <w:p>
            <w:pPr>
              <w:spacing w:after="30" w:line="240" w:lineRule="auto"/>
            </w:pPr>
            <w:r>
              <w:rPr>
                <w:rFonts w:ascii="Arial" w:hAnsi="Arial"/>
                <w:sz w:val="12"/>
              </w:rPr>
              <w:t>Zhang X.; Chen H.; Sun J.; Zhang X. (2024). Predictive models of embodied carbon emissions in building design phases: Machine learning approaches based on residential buildings in China. Building and Environment. https://doi.org/10.1016/j.buildenv.2024.111595</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10.1016/j.buildenv.2024.111595</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Multiple</w:t>
            </w:r>
          </w:p>
        </w:tc>
        <w:tc>
          <w:tcPr>
            <w:tcW w:type="dxa" w:w="1694"/>
            <w:vAlign w:val="top"/>
            <w:tcMar>
              <w:top w:w="75" w:type="dxa"/>
              <w:start w:w="75" w:type="dxa"/>
              <w:bottom w:w="75" w:type="dxa"/>
              <w:end w:w="75" w:type="dxa"/>
            </w:tcMar>
          </w:tcPr>
          <w:p>
            <w:pPr>
              <w:spacing w:after="30" w:line="240" w:lineRule="auto"/>
            </w:pPr>
            <w:r>
              <w:rPr>
                <w:rFonts w:ascii="Arial" w:hAnsi="Arial"/>
                <w:sz w:val="12"/>
              </w:rPr>
              <w:t>Project records; Project records; material quantities</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13, Sec. 6 Conclusion | PDF pp. 4 and 13, Secs. 3.3 and 6</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AIEXP-01789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Al-Habaibeh A.; Manu E.; Shakmak B.; Selvam J.; Lin T.-H.; Clement T. (2024). Rapid Evaluation of Cost and Whole Life Carbon of Buildings Using Artificial Intelligence. Proceedings - 2024 IEEE/ACM International Conference on Big Data Computing, Applications and Technologies, BDCAT 2024. https://doi.org/10.1109/bdcat63179.2024.00037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10.1109/BDCAT63179.2024.00037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Building design variables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AIEXP-01796</w:t>
            </w:r>
          </w:p>
        </w:tc>
        <w:tc>
          <w:tcPr>
            <w:tcW w:type="dxa" w:w="1694"/>
            <w:vAlign w:val="top"/>
            <w:tcMar>
              <w:top w:w="75" w:type="dxa"/>
              <w:start w:w="75" w:type="dxa"/>
              <w:bottom w:w="75" w:type="dxa"/>
              <w:end w:w="75" w:type="dxa"/>
            </w:tcMar>
          </w:tcPr>
          <w:p>
            <w:pPr>
              <w:spacing w:after="30" w:line="240" w:lineRule="auto"/>
            </w:pPr>
            <w:r>
              <w:rPr>
                <w:rFonts w:ascii="Arial" w:hAnsi="Arial"/>
                <w:sz w:val="12"/>
              </w:rPr>
              <w:t>Wadhwa J.; Bhadouria S.S.; Kumari P. (2025). AI-Driven Multi-Criteria Material Selection and Safety Analysis for Sustainable Building Design in India. 2025 International Conference on Emerging Technologies and Innovation for Sustainability, EmergIN 2025. https://doi.org/10.1109/emergin67762.2025.11450792</w:t>
            </w:r>
          </w:p>
        </w:tc>
        <w:tc>
          <w:tcPr>
            <w:tcW w:type="dxa" w:w="1694"/>
            <w:vAlign w:val="top"/>
            <w:tcMar>
              <w:top w:w="75" w:type="dxa"/>
              <w:start w:w="75" w:type="dxa"/>
              <w:bottom w:w="75" w:type="dxa"/>
              <w:end w:w="75" w:type="dxa"/>
            </w:tcMar>
          </w:tcPr>
          <w:p>
            <w:pPr>
              <w:spacing w:after="30" w:line="240" w:lineRule="auto"/>
            </w:pPr>
            <w:r>
              <w:rPr>
                <w:rFonts w:ascii="Arial" w:hAnsi="Arial"/>
                <w:sz w:val="12"/>
              </w:rPr>
              <w:t>10.1109/EmergIN67762.2025.11450792</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IFC India database; Material database; simulation output; Material database; site/design scenarios</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 Recommend</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AIEXP-01811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Guo D.; Di Modica P.; La Rosa A.D. (2025). A Semantic-enriched LCI database for the Embodied Environmental Evaluation of Buildings through Knowledge Graph Technologies. IFAC-PapersOnLine. https://doi.org/10.1016/j.ifacol.2025.09.416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10.1016/j.ifacol.2025.09.416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Multiple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LCI database; knowledge graph; LCI/LCA database; knowledge graph; Study data source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Knowledge graph</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AIEXP-01821</w:t>
            </w:r>
          </w:p>
        </w:tc>
        <w:tc>
          <w:tcPr>
            <w:tcW w:type="dxa" w:w="1694"/>
            <w:vAlign w:val="top"/>
            <w:tcMar>
              <w:top w:w="75" w:type="dxa"/>
              <w:start w:w="75" w:type="dxa"/>
              <w:bottom w:w="75" w:type="dxa"/>
              <w:end w:w="75" w:type="dxa"/>
            </w:tcMar>
          </w:tcPr>
          <w:p>
            <w:pPr>
              <w:spacing w:after="30" w:line="240" w:lineRule="auto"/>
            </w:pPr>
            <w:r>
              <w:rPr>
                <w:rFonts w:ascii="Arial" w:hAnsi="Arial"/>
                <w:sz w:val="12"/>
              </w:rPr>
              <w:t>Iqbal N.; Shabbir K.; Noureldin M. (2025). A novel explainable AI-based design optimization framework to estimate sustainability and economic impacts of reinforced concrete structures. Machine Learning with Applications. https://doi.org/10.1016/j.mlwa.2025.100760</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10.1016/j.mlwa.2025.100760</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tcPr>
          <w:p>
            <w:pPr>
              <w:spacing w:after="30" w:line="240" w:lineRule="auto"/>
            </w:pPr>
            <w:r>
              <w:rPr>
                <w:rFonts w:ascii="Arial" w:hAnsi="Arial"/>
                <w:sz w:val="12"/>
              </w:rPr>
              <w:t>ML/XAI counterfactual workflow; Parametric dataset; project data</w:t>
            </w:r>
          </w:p>
        </w:tc>
        <w:tc>
          <w:tcPr>
            <w:tcW w:type="dxa" w:w="1694"/>
            <w:vAlign w:val="top"/>
            <w:tcMar>
              <w:top w:w="75" w:type="dxa"/>
              <w:start w:w="75" w:type="dxa"/>
              <w:bottom w:w="75" w:type="dxa"/>
              <w:end w:w="75" w:type="dxa"/>
            </w:tcMar>
          </w:tcPr>
          <w:p>
            <w:pPr>
              <w:spacing w:after="30" w:line="240" w:lineRule="auto"/>
            </w:pPr>
            <w:r>
              <w:rPr>
                <w:rFonts w:ascii="Arial" w:hAnsi="Arial"/>
                <w:sz w:val="12"/>
              </w:rPr>
              <w:t>Explainable machine learning; Machine learning; 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Diagnose; Predict/Assess; Recommend</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 | PDF pp. 8 and 24, Secs. 2.4.3 and 5 | PDF p. 24, Sec. 5 Conclusions | PDF pp. 23-24, Counterfactual results; Sec. 5</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AIEXP-01838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Pournaghshband A.; Piadeh F.; Ahmadi M.; Sahaf A. (2026). Modular multi-domain AI framework for sustainable construction material optimisation. Environmental Impact Assessment Review. https://doi.org/10.1016/j.eiar.2026.108582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10.1016/j.eiar.2026.108582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Cost-related LCA outputs; EoL scenarios; LCA database; LCA database; product/material scenarios; LCA database; structured scenario table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 Predict/Assess; Recommend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pp. 1 and 9, Abstract and Methods | PDF pp. 9 and 15, Optimization and Results | PDF p. 15, Results and Discussion | PDF p. 15, Results | PDF pp. 7 and 15, Methods and Results</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AIEXP-01859</w:t>
            </w:r>
          </w:p>
        </w:tc>
        <w:tc>
          <w:tcPr>
            <w:tcW w:type="dxa" w:w="1694"/>
            <w:vAlign w:val="top"/>
            <w:tcMar>
              <w:top w:w="75" w:type="dxa"/>
              <w:start w:w="75" w:type="dxa"/>
              <w:bottom w:w="75" w:type="dxa"/>
              <w:end w:w="75" w:type="dxa"/>
            </w:tcMar>
          </w:tcPr>
          <w:p>
            <w:pPr>
              <w:spacing w:after="30" w:line="240" w:lineRule="auto"/>
            </w:pPr>
            <w:r>
              <w:rPr>
                <w:rFonts w:ascii="Arial" w:hAnsi="Arial"/>
                <w:sz w:val="12"/>
              </w:rPr>
              <w:t>Vlasenko T.; Hutsol T.; Vlasovets V.; Glowacki S.; Nurek T.; Horetska I.; Kukharets S.; Firman Y.; Bilovod O. (2025). Ensemble learning based sustainable approach to rebuilding metal structures prediction. Scientific Reports. https://doi.org/10.1038/s41598-024-84996-8</w:t>
            </w:r>
          </w:p>
        </w:tc>
        <w:tc>
          <w:tcPr>
            <w:tcW w:type="dxa" w:w="1694"/>
            <w:vAlign w:val="top"/>
            <w:tcMar>
              <w:top w:w="75" w:type="dxa"/>
              <w:start w:w="75" w:type="dxa"/>
              <w:bottom w:w="75" w:type="dxa"/>
              <w:end w:w="75" w:type="dxa"/>
            </w:tcMar>
          </w:tcPr>
          <w:p>
            <w:pPr>
              <w:spacing w:after="30" w:line="240" w:lineRule="auto"/>
            </w:pPr>
            <w:r>
              <w:rPr>
                <w:rFonts w:ascii="Arial" w:hAnsi="Arial"/>
                <w:sz w:val="12"/>
              </w:rPr>
              <w:t>10.1038/s41598-024-84996-8</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Non-destructive magnetic data</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AIEXP-01864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Wang B.; Lu W.; Li X.; Jin F. (2026). A graph neural network-enhanced surrogate model for rapid optimization of carbon-efficient building thermal insulation systems. Journal of Building Engineering. https://doi.org/10.1016/j.jobe.2026.115234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10.1016/j.jobe.2026.115234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Graph representation; Parametric model; GNN surrogate; Parametric model; simulation output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Evolutionary optimization; Machine learning;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AIEXP-01871</w:t>
            </w:r>
          </w:p>
        </w:tc>
        <w:tc>
          <w:tcPr>
            <w:tcW w:type="dxa" w:w="1694"/>
            <w:vAlign w:val="top"/>
            <w:tcMar>
              <w:top w:w="75" w:type="dxa"/>
              <w:start w:w="75" w:type="dxa"/>
              <w:bottom w:w="75" w:type="dxa"/>
              <w:end w:w="75" w:type="dxa"/>
            </w:tcMar>
          </w:tcPr>
          <w:p>
            <w:pPr>
              <w:spacing w:after="30" w:line="240" w:lineRule="auto"/>
            </w:pPr>
            <w:r>
              <w:rPr>
                <w:rFonts w:ascii="Arial" w:hAnsi="Arial"/>
                <w:sz w:val="12"/>
              </w:rPr>
              <w:t>Budig M.; Heckmann O.; Boon A.N.Q.; Hudert M.; Lork C.; Cheah L. (2020). Data-driven Embodied Carbon Evaluation of Early Building Design Iterations. RE: Anthropocene, Design in the Age of Humans - Proceedings of the 25th International Conference on Computer-Aided Architectural Design Research in Asia, CAADRIA 2020.</w:t>
            </w:r>
          </w:p>
        </w:tc>
        <w:tc>
          <w:tcPr>
            <w:tcW w:type="dxa" w:w="1694"/>
            <w:vAlign w:val="top"/>
            <w:tcMar>
              <w:top w:w="75" w:type="dxa"/>
              <w:start w:w="75" w:type="dxa"/>
              <w:bottom w:w="75" w:type="dxa"/>
              <w:end w:w="75" w:type="dxa"/>
            </w:tcMar>
          </w:tcPr>
          <w:p>
            <w:pPr>
              <w:spacing w:after="30" w:line="240" w:lineRule="auto"/>
            </w:pPr>
            <w:r>
              <w:rPr>
                <w:rFonts w:ascii="Arial" w:hAnsi="Arial"/>
                <w:sz w:val="12"/>
              </w:rPr>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tcPr>
          <w:p>
            <w:pPr>
              <w:spacing w:after="30" w:line="240" w:lineRule="auto"/>
            </w:pPr>
            <w:r>
              <w:rPr>
                <w:rFonts w:ascii="Arial" w:hAnsi="Arial"/>
                <w:sz w:val="12"/>
              </w:rPr>
              <w:t>Floor plan; Floor plan; parametric model; Floor plan; reference data</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AIEXP-01872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Zawaideh F. (2026). BIM-integrated explainable machine learning for cost, schedule, and carbon risk prediction in high-rise building construction. Asian Journal of Civil Engineering. https://doi.org/10.1007/s42107-026-01761-0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10.1007/s42107-026-01761-0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IFC; BIM; IFC; parametric scenarios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Explainable machine learning; Evolutionary optimization; 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Diagnose; Generate plus Rank/Optimize;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 | PDF pp. 12-14, Results and sensitivity analysis | PDF pp. 13-14, Multi-objective optimization</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AIEXP-01875</w:t>
            </w:r>
          </w:p>
        </w:tc>
        <w:tc>
          <w:tcPr>
            <w:tcW w:type="dxa" w:w="1694"/>
            <w:vAlign w:val="top"/>
            <w:tcMar>
              <w:top w:w="75" w:type="dxa"/>
              <w:start w:w="75" w:type="dxa"/>
              <w:bottom w:w="75" w:type="dxa"/>
              <w:end w:w="75" w:type="dxa"/>
            </w:tcMar>
          </w:tcPr>
          <w:p>
            <w:pPr>
              <w:spacing w:after="30" w:line="240" w:lineRule="auto"/>
            </w:pPr>
            <w:r>
              <w:rPr>
                <w:rFonts w:ascii="Arial" w:hAnsi="Arial"/>
                <w:sz w:val="12"/>
              </w:rPr>
              <w:t>Torabi M.; Norouzi M.; Evins R. (2026). A machine learning-based surrogate model to approximate building carbon footprint in early-stage architectural design. Energy and Buildings. https://doi.org/10.1016/j.enbuild.2026.117362</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10.1016/j.enbuild.2026.117362</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tcPr>
          <w:p>
            <w:pPr>
              <w:spacing w:after="30" w:line="240" w:lineRule="auto"/>
            </w:pPr>
            <w:r>
              <w:rPr>
                <w:rFonts w:ascii="Arial" w:hAnsi="Arial"/>
                <w:sz w:val="12"/>
              </w:rPr>
              <w:t>Parametric LCA; simulation output; Parametric model</w:t>
            </w:r>
          </w:p>
        </w:tc>
        <w:tc>
          <w:tcPr>
            <w:tcW w:type="dxa" w:w="1694"/>
            <w:vAlign w:val="top"/>
            <w:tcMar>
              <w:top w:w="75" w:type="dxa"/>
              <w:start w:w="75" w:type="dxa"/>
              <w:bottom w:w="75" w:type="dxa"/>
              <w:end w:w="75" w:type="dxa"/>
            </w:tcMar>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AIEXP-01888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Gai M.; Kam K.J.; Flor J.-F.; Chai C.; Gunasagaran S. (2026). A Generative AI Framework for Carbon-Oriented Biomimetic Façade Design in Architecture. Buildings. https://doi.org/10.3390/buildings16112082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10.3390/buildings16112082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Material carbon factors; simulation output; Material options; Parametric model; simulation output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Generative design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8, Sec. 2.2 | PDF pp. 14–15, Secs. 2.8–2.9 | PDF pp. 13–17, Secs. 2.7 and 3.2 | PDF pp. 16–17, Secs. 3 and 3.2 | PDF pp. 15–17, Secs. 2.9–3.2</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AIEXP-01902</w:t>
            </w:r>
          </w:p>
        </w:tc>
        <w:tc>
          <w:tcPr>
            <w:tcW w:type="dxa" w:w="1694"/>
            <w:vAlign w:val="top"/>
            <w:tcMar>
              <w:top w:w="75" w:type="dxa"/>
              <w:start w:w="75" w:type="dxa"/>
              <w:bottom w:w="75" w:type="dxa"/>
              <w:end w:w="75" w:type="dxa"/>
            </w:tcMar>
          </w:tcPr>
          <w:p>
            <w:pPr>
              <w:spacing w:after="30" w:line="240" w:lineRule="auto"/>
            </w:pPr>
            <w:r>
              <w:rPr>
                <w:rFonts w:ascii="Arial" w:hAnsi="Arial"/>
                <w:sz w:val="12"/>
              </w:rPr>
              <w:t>Hsiang S.-H.; Shih S.-G. (2025). Application of Hybrid AI Technology in Calculating Carbon Emissions in Interior Design: Optimizing designers’ efficiency and accuracy in sustainable design decision-making. Proceedings of the International Conference on Education and Research in Computer Aided Architectural Design in Europe.</w:t>
            </w:r>
          </w:p>
        </w:tc>
        <w:tc>
          <w:tcPr>
            <w:tcW w:type="dxa" w:w="1694"/>
            <w:vAlign w:val="top"/>
            <w:tcMar>
              <w:top w:w="75" w:type="dxa"/>
              <w:start w:w="75" w:type="dxa"/>
              <w:bottom w:w="75" w:type="dxa"/>
              <w:end w:w="75" w:type="dxa"/>
            </w:tcMar>
          </w:tcPr>
          <w:p>
            <w:pPr>
              <w:spacing w:after="30" w:line="240" w:lineRule="auto"/>
            </w:pPr>
            <w:r>
              <w:rPr>
                <w:rFonts w:ascii="Arial" w:hAnsi="Arial"/>
                <w:sz w:val="12"/>
              </w:rPr>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Carbon-emission database; LCA database; material database; Material and carbon database; Material database; LCA database</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Predict/Assess; Recommend</w:t>
            </w:r>
          </w:p>
        </w:tc>
        <w:tc>
          <w:tcPr>
            <w:tcW w:type="dxa" w:w="1694"/>
            <w:vAlign w:val="top"/>
            <w:tcMar>
              <w:top w:w="75" w:type="dxa"/>
              <w:start w:w="75" w:type="dxa"/>
              <w:bottom w:w="75" w:type="dxa"/>
              <w:end w:w="75" w:type="dxa"/>
            </w:tcMar>
          </w:tcPr>
          <w:p>
            <w:pPr>
              <w:spacing w:after="30" w:line="240" w:lineRule="auto"/>
            </w:pPr>
            <w:r>
              <w:rPr>
                <w:rFonts w:ascii="Arial" w:hAnsi="Arial"/>
                <w:sz w:val="12"/>
              </w:rPr>
              <w:t>PDF p. 5, Results | PDF p. 9, Discussion and conclusion</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AIEXP-01907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Li M.; Pang H.; Yao S.; Yuan J.; Feng Y.; Jiao F. (2026). Cascaded generative design framework for modular prefabricated buildings involving multi-performance response. Energy and Buildings. https://doi.org/10.1016/j.enbuild.2026.117818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10.1016/j.enbuild.2026.117818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Parametric model; Parametric model and simulations; Parametric model; simulation output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Evolutionary optimization; Generative design;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5, Sec. 2.1.4, Generative framework | PDF p. 6, Sec. 2.2, Multi-performance decision-making | PDF p. 6, Sec. 2.1.4, Generative framework</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AIEXP-02074</w:t>
            </w:r>
          </w:p>
        </w:tc>
        <w:tc>
          <w:tcPr>
            <w:tcW w:type="dxa" w:w="1694"/>
            <w:vAlign w:val="top"/>
            <w:tcMar>
              <w:top w:w="75" w:type="dxa"/>
              <w:start w:w="75" w:type="dxa"/>
              <w:bottom w:w="75" w:type="dxa"/>
              <w:end w:w="75" w:type="dxa"/>
            </w:tcMar>
          </w:tcPr>
          <w:p>
            <w:pPr>
              <w:spacing w:after="30" w:line="240" w:lineRule="auto"/>
            </w:pPr>
            <w:r>
              <w:rPr>
                <w:rFonts w:ascii="Arial" w:hAnsi="Arial"/>
                <w:sz w:val="12"/>
              </w:rPr>
              <w:t>Bhagat R.M.; Pande P.B.; Madurwar K.V.; Raut J.M.; Vairagade V.S. (2025). Life cycle assessment of 3D-printed building materials towards sustainability-driven optimization and environmental impact analysis using computational intelligence techniques. International Journal of Life Cycle Assessment. https://doi.org/10.1007/s11367-025-02530-y</w:t>
            </w:r>
          </w:p>
        </w:tc>
        <w:tc>
          <w:tcPr>
            <w:tcW w:type="dxa" w:w="1694"/>
            <w:vAlign w:val="top"/>
            <w:tcMar>
              <w:top w:w="75" w:type="dxa"/>
              <w:start w:w="75" w:type="dxa"/>
              <w:bottom w:w="75" w:type="dxa"/>
              <w:end w:w="75" w:type="dxa"/>
            </w:tcMar>
          </w:tcPr>
          <w:p>
            <w:pPr>
              <w:spacing w:after="30" w:line="240" w:lineRule="auto"/>
            </w:pPr>
            <w:r>
              <w:rPr>
                <w:rFonts w:ascii="Arial" w:hAnsi="Arial"/>
                <w:sz w:val="12"/>
              </w:rPr>
              <w:t>10.1007/s11367-025-02530-y</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Material and LCA data; Material database; LCA database</w:t>
            </w:r>
          </w:p>
        </w:tc>
        <w:tc>
          <w:tcPr>
            <w:tcW w:type="dxa" w:w="1694"/>
            <w:vAlign w:val="top"/>
            <w:tcMar>
              <w:top w:w="75" w:type="dxa"/>
              <w:start w:w="75" w:type="dxa"/>
              <w:bottom w:w="75" w:type="dxa"/>
              <w:end w:w="75" w:type="dxa"/>
            </w:tcMar>
          </w:tcPr>
          <w:p>
            <w:pPr>
              <w:spacing w:after="30" w:line="240" w:lineRule="auto"/>
            </w:pPr>
            <w:r>
              <w:rPr>
                <w:rFonts w:ascii="Arial" w:hAnsi="Arial"/>
                <w:sz w:val="12"/>
              </w:rPr>
              <w:t>Explainable machine learning; 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 | PDF p. 1, Abstract and framework summary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AIEXP-02103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Meng X.; Chang J.; Liu X.; Zhuang F. (2026). Classifying the Reuse Value of Industrial Heritage Sites Using Random Forest: A Case Study of Jiangsu’s Salt Reclamation Zone. Buildings. https://doi.org/10.3390/buildings16040796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10.3390/buildings16040796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Expert and heritage-site data</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AIEXP-02216</w:t>
            </w:r>
          </w:p>
        </w:tc>
        <w:tc>
          <w:tcPr>
            <w:tcW w:type="dxa" w:w="1694"/>
            <w:vAlign w:val="top"/>
            <w:tcMar>
              <w:top w:w="75" w:type="dxa"/>
              <w:start w:w="75" w:type="dxa"/>
              <w:bottom w:w="75" w:type="dxa"/>
              <w:end w:w="75" w:type="dxa"/>
            </w:tcMar>
          </w:tcPr>
          <w:p>
            <w:pPr>
              <w:spacing w:after="30" w:line="240" w:lineRule="auto"/>
            </w:pPr>
            <w:r>
              <w:rPr>
                <w:rFonts w:ascii="Arial" w:hAnsi="Arial"/>
                <w:sz w:val="12"/>
              </w:rPr>
              <w:t>Ye F.; Demartino C.; Contiguglia C.P.; Albanesi T.; Wang X.; Xiao Y. (2026). Optimizing bio-based SCM concrete for sustainable construction through structural and environmental evaluation driven by explainable surrogate modeling. Construction and Building Materials. https://doi.org/10.1016/j.conbuildmat.2026.147552</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10.1016/j.conbuildmat.2026.147552</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Literature database; LCA factors; Literature database; carbon factors</w:t>
            </w:r>
          </w:p>
        </w:tc>
        <w:tc>
          <w:tcPr>
            <w:tcW w:type="dxa" w:w="1694"/>
            <w:vAlign w:val="top"/>
            <w:tcMar>
              <w:top w:w="75" w:type="dxa"/>
              <w:start w:w="75" w:type="dxa"/>
              <w:bottom w:w="75" w:type="dxa"/>
              <w:end w:w="75" w:type="dxa"/>
            </w:tcMar>
          </w:tcPr>
          <w:p>
            <w:pPr>
              <w:spacing w:after="30" w:line="240" w:lineRule="auto"/>
            </w:pPr>
            <w:r>
              <w:rPr>
                <w:rFonts w:ascii="Arial" w:hAnsi="Arial"/>
                <w:sz w:val="12"/>
              </w:rPr>
              <w:t>Explainable machine learning; Evolutionary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AIEXP-02243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Čantrak M.; Micić D.; Prokić D.; Pezo L.; Ćurčić L.; Mladenović M. (2024). Construction Waste Modeling for the Republic of Serbia. Journal of Scientific and Industrial Research. https://doi.org/10.56042/jsir.v83i5.2474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10.56042/jsir.v83i5.2474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Historical waste data</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AIEXP-02540</w:t>
            </w:r>
          </w:p>
        </w:tc>
        <w:tc>
          <w:tcPr>
            <w:tcW w:type="dxa" w:w="1694"/>
            <w:vAlign w:val="top"/>
            <w:tcMar>
              <w:top w:w="75" w:type="dxa"/>
              <w:start w:w="75" w:type="dxa"/>
              <w:bottom w:w="75" w:type="dxa"/>
              <w:end w:w="75" w:type="dxa"/>
            </w:tcMar>
          </w:tcPr>
          <w:p>
            <w:pPr>
              <w:spacing w:after="30" w:line="240" w:lineRule="auto"/>
            </w:pPr>
            <w:r>
              <w:rPr>
                <w:rFonts w:ascii="Arial" w:hAnsi="Arial"/>
                <w:sz w:val="12"/>
              </w:rPr>
              <w:t>Zhang W.; Husseini B.; Smerat A.; Elkotb M.A. (2026). Robust frameworks for assessing volumetric carbon footprint of ground granulated blast furnace slag geopolymer concretes. Materials Today Advances. https://doi.org/10.1016/j.mtadv.2026.100923</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10.1016/j.mtadv.2026.100923</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Literature-derived mixture database; LCA factors</w:t>
            </w:r>
          </w:p>
        </w:tc>
        <w:tc>
          <w:tcPr>
            <w:tcW w:type="dxa" w:w="1694"/>
            <w:vAlign w:val="top"/>
            <w:tcMar>
              <w:top w:w="75" w:type="dxa"/>
              <w:start w:w="75" w:type="dxa"/>
              <w:bottom w:w="75" w:type="dxa"/>
              <w:end w:w="75" w:type="dxa"/>
            </w:tcMar>
          </w:tcPr>
          <w:p>
            <w:pPr>
              <w:spacing w:after="30" w:line="240" w:lineRule="auto"/>
            </w:pPr>
            <w:r>
              <w:rPr>
                <w:rFonts w:ascii="Arial" w:hAnsi="Arial"/>
                <w:sz w:val="12"/>
              </w:rPr>
              <w:t>Explainable machine learning</w:t>
            </w:r>
          </w:p>
        </w:tc>
        <w:tc>
          <w:tcPr>
            <w:tcW w:type="dxa" w:w="1694"/>
            <w:vAlign w:val="top"/>
            <w:tcMar>
              <w:top w:w="75" w:type="dxa"/>
              <w:start w:w="75" w:type="dxa"/>
              <w:bottom w:w="75" w:type="dxa"/>
              <w:end w:w="75" w:type="dxa"/>
            </w:tcMar>
          </w:tcPr>
          <w:p>
            <w:pPr>
              <w:spacing w:after="30" w:line="240" w:lineRule="auto"/>
            </w:pPr>
            <w:r>
              <w:rPr>
                <w:rFonts w:ascii="Arial" w:hAnsi="Arial"/>
                <w:sz w:val="12"/>
              </w:rPr>
              <w:t>Diagnose;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AIEXP-02655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Wang H.; Liu S.; Luo Z.; Zhou X.; Ren J.; Qian Y. (2026). Assessing carbon emissions from prefabricated component production: Utilizing a Chinese factory dataset for explainable AI-driven prediction. Energy and Buildings. https://doi.org/10.1016/j.enbuild.2026.117305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10.1016/j.enbuild.2026.117305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Factory dataset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Explainable machine learning; Machine learning</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Diagnose;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 | PDF pp. 9-12, Sec. 3.3.2</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AIEXP-02680</w:t>
            </w:r>
          </w:p>
        </w:tc>
        <w:tc>
          <w:tcPr>
            <w:tcW w:type="dxa" w:w="1694"/>
            <w:vAlign w:val="top"/>
            <w:tcMar>
              <w:top w:w="75" w:type="dxa"/>
              <w:start w:w="75" w:type="dxa"/>
              <w:bottom w:w="75" w:type="dxa"/>
              <w:end w:w="75" w:type="dxa"/>
            </w:tcMar>
          </w:tcPr>
          <w:p>
            <w:pPr>
              <w:spacing w:after="30" w:line="240" w:lineRule="auto"/>
            </w:pPr>
            <w:r>
              <w:rPr>
                <w:rFonts w:ascii="Arial" w:hAnsi="Arial"/>
                <w:sz w:val="12"/>
              </w:rPr>
              <w:t>Huang X.; Huang J.; Kaewunruen S. (2025). An explainable machine learning system for efficient use of waste glasses in durable concrete to maximise carbon credits towards net zero emissions. Waste Management. https://doi.org/10.1016/j.wasman.2024.12.034</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10.1016/j.wasman.2024.12.034</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Experimental dataset; Experimental waste-glass concrete dataset</w:t>
            </w:r>
          </w:p>
        </w:tc>
        <w:tc>
          <w:tcPr>
            <w:tcW w:type="dxa" w:w="1694"/>
            <w:vAlign w:val="top"/>
            <w:tcMar>
              <w:top w:w="75" w:type="dxa"/>
              <w:start w:w="75" w:type="dxa"/>
              <w:bottom w:w="75" w:type="dxa"/>
              <w:end w:w="75" w:type="dxa"/>
            </w:tcMar>
          </w:tcPr>
          <w:p>
            <w:pPr>
              <w:spacing w:after="30" w:line="240" w:lineRule="auto"/>
            </w:pPr>
            <w:r>
              <w:rPr>
                <w:rFonts w:ascii="Arial" w:hAnsi="Arial"/>
                <w:sz w:val="12"/>
              </w:rPr>
              <w:t>Explainable machine learning; Machine learning</w:t>
            </w:r>
          </w:p>
        </w:tc>
        <w:tc>
          <w:tcPr>
            <w:tcW w:type="dxa" w:w="1694"/>
            <w:vAlign w:val="top"/>
            <w:tcMar>
              <w:top w:w="75" w:type="dxa"/>
              <w:start w:w="75" w:type="dxa"/>
              <w:bottom w:w="75" w:type="dxa"/>
              <w:end w:w="75" w:type="dxa"/>
            </w:tcMar>
          </w:tcPr>
          <w:p>
            <w:pPr>
              <w:spacing w:after="30" w:line="240" w:lineRule="auto"/>
            </w:pPr>
            <w:r>
              <w:rPr>
                <w:rFonts w:ascii="Arial" w:hAnsi="Arial"/>
                <w:sz w:val="12"/>
              </w:rPr>
              <w:t>Diagnose;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AIEXP-02802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Kiran K., V (2026). A physics-informed probabilistic machine learning framework for mix design optimisation of waste-based cementitious composites: Uncertainty quantification, SHAP interpretability, and multi-objective pareto analysis. Next Materials. https://doi.org/10.1016/j.nxmate.2026.103214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10.1016/j.nxmate.2026.103214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Experimental dataset; Material database; experimental data</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Explainable machine learning; Machine learning;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 Predict/Assess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AIEXP-03005</w:t>
            </w:r>
          </w:p>
        </w:tc>
        <w:tc>
          <w:tcPr>
            <w:tcW w:type="dxa" w:w="1694"/>
            <w:vAlign w:val="top"/>
            <w:tcMar>
              <w:top w:w="75" w:type="dxa"/>
              <w:start w:w="75" w:type="dxa"/>
              <w:bottom w:w="75" w:type="dxa"/>
              <w:end w:w="75" w:type="dxa"/>
            </w:tcMar>
          </w:tcPr>
          <w:p>
            <w:pPr>
              <w:spacing w:after="30" w:line="240" w:lineRule="auto"/>
            </w:pPr>
            <w:r>
              <w:rPr>
                <w:rFonts w:ascii="Arial" w:hAnsi="Arial"/>
                <w:sz w:val="12"/>
              </w:rPr>
              <w:t>Reisinger J.; Kugler S.; Kovacic I.; Knoll M. (2022). Parametric Optimization and Decision Support Model Framework for Life Cycle Cost Analysis and Life Cycle Assessment of Flexible Industrial Building Structures Integrating Production Planning. Buildings. https://doi.org/10.3390/buildings12020162</w:t>
            </w:r>
          </w:p>
        </w:tc>
        <w:tc>
          <w:tcPr>
            <w:tcW w:type="dxa" w:w="1694"/>
            <w:vAlign w:val="top"/>
            <w:tcMar>
              <w:top w:w="75" w:type="dxa"/>
              <w:start w:w="75" w:type="dxa"/>
              <w:bottom w:w="75" w:type="dxa"/>
              <w:end w:w="75" w:type="dxa"/>
            </w:tcMar>
          </w:tcPr>
          <w:p>
            <w:pPr>
              <w:spacing w:after="30" w:line="240" w:lineRule="auto"/>
            </w:pPr>
            <w:r>
              <w:rPr>
                <w:rFonts w:ascii="Arial" w:hAnsi="Arial"/>
                <w:sz w:val="12"/>
              </w:rPr>
              <w:t>10.3390/buildings12020162</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Cost data; LCA database; Parametric model; Parametric model; LCA/LCC data</w:t>
            </w:r>
          </w:p>
        </w:tc>
        <w:tc>
          <w:tcPr>
            <w:tcW w:type="dxa" w:w="1694"/>
            <w:vAlign w:val="top"/>
            <w:tcMar>
              <w:top w:w="75" w:type="dxa"/>
              <w:start w:w="75" w:type="dxa"/>
              <w:bottom w:w="75" w:type="dxa"/>
              <w:end w:w="75" w:type="dxa"/>
            </w:tcMar>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 | PDF p. 2,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AIEXP-03048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El Amaireh A.M.; AlZoubi R.S. (2026). A metaheuristic-driven framework for sustainable material selection in energy-conscious infrastructure projects. Asian Journal of Civil Engineering. https://doi.org/10.1007/s42107-025-01495-5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10.1007/s42107-025-01495-5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Material database; expert data; Material database; expert-weighted objectives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 Recommend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12, Results and decision maps</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AIEXP-03140</w:t>
            </w:r>
          </w:p>
        </w:tc>
        <w:tc>
          <w:tcPr>
            <w:tcW w:type="dxa" w:w="1694"/>
            <w:vAlign w:val="top"/>
            <w:tcMar>
              <w:top w:w="75" w:type="dxa"/>
              <w:start w:w="75" w:type="dxa"/>
              <w:bottom w:w="75" w:type="dxa"/>
              <w:end w:w="75" w:type="dxa"/>
            </w:tcMar>
          </w:tcPr>
          <w:p>
            <w:pPr>
              <w:spacing w:after="30" w:line="240" w:lineRule="auto"/>
            </w:pPr>
            <w:r>
              <w:rPr>
                <w:rFonts w:ascii="Arial" w:hAnsi="Arial"/>
                <w:sz w:val="12"/>
              </w:rPr>
              <w:t>Wu H.; Yu X.; Liu W.; Liu S.; Oteng D.; Bao Z. (2026). An automated BIM-driven framework for early-stage prediction and influencing factor analysis of construction and demolition waste from masonry infill walls. Case Studies in Construction Materials. https://doi.org/10.1016/j.cscm.2026.e06173</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10.1016/j.cscm.2026.e06173</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Design Development</w:t>
            </w:r>
          </w:p>
        </w:tc>
        <w:tc>
          <w:tcPr>
            <w:tcW w:type="dxa" w:w="1694"/>
            <w:vAlign w:val="top"/>
            <w:tcMar>
              <w:top w:w="75" w:type="dxa"/>
              <w:start w:w="75" w:type="dxa"/>
              <w:bottom w:w="75" w:type="dxa"/>
              <w:end w:w="75" w:type="dxa"/>
            </w:tcMar>
          </w:tcPr>
          <w:p>
            <w:pPr>
              <w:spacing w:after="30" w:line="240" w:lineRule="auto"/>
            </w:pPr>
            <w:r>
              <w:rPr>
                <w:rFonts w:ascii="Arial" w:hAnsi="Arial"/>
                <w:sz w:val="12"/>
              </w:rPr>
              <w:t>Revit BIM; Revit BIM; material parameters</w:t>
            </w:r>
          </w:p>
        </w:tc>
        <w:tc>
          <w:tcPr>
            <w:tcW w:type="dxa" w:w="1694"/>
            <w:vAlign w:val="top"/>
            <w:tcMar>
              <w:top w:w="75" w:type="dxa"/>
              <w:start w:w="75" w:type="dxa"/>
              <w:bottom w:w="75" w:type="dxa"/>
              <w:end w:w="75" w:type="dxa"/>
            </w:tcMar>
          </w:tcPr>
          <w:p>
            <w:pPr>
              <w:spacing w:after="30" w:line="240" w:lineRule="auto"/>
            </w:pPr>
            <w:r>
              <w:rPr>
                <w:rFonts w:ascii="Arial" w:hAnsi="Arial"/>
                <w:sz w:val="12"/>
              </w:rPr>
              <w:t>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Diagnose; Predict/Assess</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Full text | PDF p. 11,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AIEXP-03149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Zhang X.; Zhang X. (2024). Low-carbon design optimization of reinforced concrete building structures using genetic algorithm. Journal of Asian Architecture and Building Engineering. https://doi.org/10.1080/13467581.2023.2278466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10.1080/13467581.2023.2278466</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Structural model; carbon inventory; Structural model; material database; Study data source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Evolutionary optimization;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AIEXP-03166</w:t>
            </w:r>
          </w:p>
        </w:tc>
        <w:tc>
          <w:tcPr>
            <w:tcW w:type="dxa" w:w="1694"/>
            <w:vAlign w:val="top"/>
            <w:tcMar>
              <w:top w:w="75" w:type="dxa"/>
              <w:start w:w="75" w:type="dxa"/>
              <w:bottom w:w="75" w:type="dxa"/>
              <w:end w:w="75" w:type="dxa"/>
            </w:tcMar>
          </w:tcPr>
          <w:p>
            <w:pPr>
              <w:spacing w:after="30" w:line="240" w:lineRule="auto"/>
            </w:pPr>
            <w:r>
              <w:rPr>
                <w:rFonts w:ascii="Arial" w:hAnsi="Arial"/>
                <w:sz w:val="12"/>
              </w:rPr>
              <w:t>Xiang Y.; Mahamadu A.-M.; Florez-Perez L.; Wu Y. (2024). Design optimisation towards lower embodied carbon of prefabricated buildings: Balancing standardisation and customisation. Developments in the Built Environment. https://doi.org/10.1016/j.dibe.2024.100413</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10.1016/j.dibe.2024.100413</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Design Development</w:t>
            </w:r>
          </w:p>
        </w:tc>
        <w:tc>
          <w:tcPr>
            <w:tcW w:type="dxa" w:w="1694"/>
            <w:vAlign w:val="top"/>
            <w:tcMar>
              <w:top w:w="75" w:type="dxa"/>
              <w:start w:w="75" w:type="dxa"/>
              <w:bottom w:w="75" w:type="dxa"/>
              <w:end w:w="75" w:type="dxa"/>
            </w:tcMar>
          </w:tcPr>
          <w:p>
            <w:pPr>
              <w:spacing w:after="30" w:line="240" w:lineRule="auto"/>
            </w:pPr>
            <w:r>
              <w:rPr>
                <w:rFonts w:ascii="Arial" w:hAnsi="Arial"/>
                <w:sz w:val="12"/>
              </w:rPr>
              <w:t>Carbon calculation; Parametric model; Parametric model; BIM; Parametric model; genetic algorithm</w:t>
            </w:r>
          </w:p>
        </w:tc>
        <w:tc>
          <w:tcPr>
            <w:tcW w:type="dxa" w:w="1694"/>
            <w:vAlign w:val="top"/>
            <w:tcMar>
              <w:top w:w="75" w:type="dxa"/>
              <w:start w:w="75" w:type="dxa"/>
              <w:bottom w:w="75" w:type="dxa"/>
              <w:end w:w="75" w:type="dxa"/>
            </w:tcMar>
          </w:tcPr>
          <w:p>
            <w:pPr>
              <w:spacing w:after="30" w:line="240" w:lineRule="auto"/>
            </w:pPr>
            <w:r>
              <w:rPr>
                <w:rFonts w:ascii="Arial" w:hAnsi="Arial"/>
                <w:sz w:val="12"/>
              </w:rPr>
              <w:t>Evolutionary optimization; 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pp. 1 and 6, Abstract; Sec. 3.1.2 | PDF p. 1, Abstract | PDF pp. 1 and 4, Abstract; Sec. 3 Methodology | PDF pp. 1 and 18, Abstract; conclusions | PDF pp. 6 and 15, Sec. 3.1.2; results</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AIEXP-03172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Pei W.; Li Y.; Ang Y.Q.; Stouffs R. (2026). Design with Adaptability for Circular Building: A Graph-Informed Generative Framework. Proceedings of the International Conference on Education and Research in Computer Aided Architectural Design in Europe. https://doi.org/10.52842/conf.ecaade.2026.3.011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10.52842/conf.ecaade.2026.3.011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Floor plan; graph model; Graph metrics; Graph model; User-defined future living scenarios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Generative design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 | PDF p. 9, Results | PDF pp. 1 and 9, Abstract and Results | PDF p. 6, Future resilience metric</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AIEXP-03174</w:t>
            </w:r>
          </w:p>
        </w:tc>
        <w:tc>
          <w:tcPr>
            <w:tcW w:type="dxa" w:w="1694"/>
            <w:vAlign w:val="top"/>
            <w:tcMar>
              <w:top w:w="75" w:type="dxa"/>
              <w:start w:w="75" w:type="dxa"/>
              <w:bottom w:w="75" w:type="dxa"/>
              <w:end w:w="75" w:type="dxa"/>
            </w:tcMar>
          </w:tcPr>
          <w:p>
            <w:pPr>
              <w:spacing w:after="30" w:line="240" w:lineRule="auto"/>
            </w:pPr>
            <w:r>
              <w:rPr>
                <w:rFonts w:ascii="Arial" w:hAnsi="Arial"/>
                <w:sz w:val="12"/>
              </w:rPr>
              <w:t>Sanchez B.; Rausch C.; Haas C.; Saari R. (2020). A selective disassembly multi-objective optimization approach for adaptive reuse of building components. Resources, Conservation and Recycling. https://doi.org/10.1016/j.resconrec.2019.104605</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10.1016/j.resconrec.2019.104605</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End of Life</w:t>
            </w:r>
          </w:p>
        </w:tc>
        <w:tc>
          <w:tcPr>
            <w:tcW w:type="dxa" w:w="1694"/>
            <w:vAlign w:val="top"/>
            <w:tcMar>
              <w:top w:w="75" w:type="dxa"/>
              <w:start w:w="75" w:type="dxa"/>
              <w:bottom w:w="75" w:type="dxa"/>
              <w:end w:w="75" w:type="dxa"/>
            </w:tcMar>
          </w:tcPr>
          <w:p>
            <w:pPr>
              <w:spacing w:after="30" w:line="240" w:lineRule="auto"/>
            </w:pPr>
            <w:r>
              <w:rPr>
                <w:rFonts w:ascii="Arial" w:hAnsi="Arial"/>
                <w:sz w:val="12"/>
              </w:rPr>
              <w:t>BIM, LCA, and cost data; BIM; LCA database; cost data</w:t>
            </w:r>
          </w:p>
        </w:tc>
        <w:tc>
          <w:tcPr>
            <w:tcW w:type="dxa" w:w="1694"/>
            <w:vAlign w:val="top"/>
            <w:tcMar>
              <w:top w:w="75" w:type="dxa"/>
              <w:start w:w="75" w:type="dxa"/>
              <w:bottom w:w="75" w:type="dxa"/>
              <w:end w:w="75" w:type="dxa"/>
            </w:tcMar>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3, Sec. 3, Methodology</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AIEXP-03195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Sapitri D.; Chang Y.-T.; Hsieh S.-H. (2026). Evaluating Carbon Payback Period in Parametric Facade Optimization Using Genetic Algorithms and Multi-Criteria Decision-Making. Proceedings of the International Symposium on Automation and Robotics in Construction. https://doi.org/10.22260/isarc2026/0240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10.22260/ISARC2026/0240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LCA data; LCA factors; Parametric model; LCA factors; Parametric model; LCA factors; simulation output; Parametric model; simulation output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Evolutionary optimization;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 Recommend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pp. 4–5, Secs. 3.2–3.4 | PDF p. 5, Sec. 3.4</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AIEXP-03196</w:t>
            </w:r>
          </w:p>
        </w:tc>
        <w:tc>
          <w:tcPr>
            <w:tcW w:type="dxa" w:w="1694"/>
            <w:vAlign w:val="top"/>
            <w:tcMar>
              <w:top w:w="75" w:type="dxa"/>
              <w:start w:w="75" w:type="dxa"/>
              <w:bottom w:w="75" w:type="dxa"/>
              <w:end w:w="75" w:type="dxa"/>
            </w:tcMar>
          </w:tcPr>
          <w:p>
            <w:pPr>
              <w:spacing w:after="30" w:line="240" w:lineRule="auto"/>
            </w:pPr>
            <w:r>
              <w:rPr>
                <w:rFonts w:ascii="Arial" w:hAnsi="Arial"/>
                <w:sz w:val="12"/>
              </w:rPr>
              <w:t>Wang X.; Hu M.; Wen S. (2025). Research on Algorithms for Digital Design and Optimisation of Prefabricated Building Structures. 2025 IEEE International Conference on Electronics, Energy Systems and Power Engineering, EESPE 2025. https://doi.org/10.1109/eespe63401.2025.10986992</w:t>
            </w:r>
          </w:p>
        </w:tc>
        <w:tc>
          <w:tcPr>
            <w:tcW w:type="dxa" w:w="1694"/>
            <w:vAlign w:val="top"/>
            <w:tcMar>
              <w:top w:w="75" w:type="dxa"/>
              <w:start w:w="75" w:type="dxa"/>
              <w:bottom w:w="75" w:type="dxa"/>
              <w:end w:w="75" w:type="dxa"/>
            </w:tcMar>
          </w:tcPr>
          <w:p>
            <w:pPr>
              <w:spacing w:after="30" w:line="240" w:lineRule="auto"/>
            </w:pPr>
            <w:r>
              <w:rPr>
                <w:rFonts w:ascii="Arial" w:hAnsi="Arial"/>
                <w:sz w:val="12"/>
              </w:rPr>
              <w:t>10.1109/EESPE63401.2025.10986992</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BIM; genetic algorithm; BIM; optimization model; Study data source</w:t>
            </w:r>
          </w:p>
        </w:tc>
        <w:tc>
          <w:tcPr>
            <w:tcW w:type="dxa" w:w="1694"/>
            <w:vAlign w:val="top"/>
            <w:tcMar>
              <w:top w:w="75" w:type="dxa"/>
              <w:start w:w="75" w:type="dxa"/>
              <w:bottom w:w="75" w:type="dxa"/>
              <w:end w:w="75" w:type="dxa"/>
            </w:tcMar>
          </w:tcPr>
          <w:p>
            <w:pPr>
              <w:spacing w:after="30" w:line="240" w:lineRule="auto"/>
            </w:pPr>
            <w:r>
              <w:rPr>
                <w:rFonts w:ascii="Arial" w:hAnsi="Arial"/>
                <w:sz w:val="12"/>
              </w:rPr>
              <w:t>Evolutionary optimization; Computational optimization;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 Infer/Complete</w:t>
            </w:r>
          </w:p>
        </w:tc>
        <w:tc>
          <w:tcPr>
            <w:tcW w:type="dxa" w:w="1694"/>
            <w:vAlign w:val="top"/>
            <w:tcMar>
              <w:top w:w="75" w:type="dxa"/>
              <w:start w:w="75" w:type="dxa"/>
              <w:bottom w:w="75" w:type="dxa"/>
              <w:end w:w="75" w:type="dxa"/>
            </w:tcMar>
          </w:tcPr>
          <w:p>
            <w:pPr>
              <w:spacing w:after="30" w:line="240" w:lineRule="auto"/>
            </w:pPr>
            <w:r>
              <w:rPr>
                <w:rFonts w:ascii="Arial" w:hAnsi="Arial"/>
                <w:sz w:val="12"/>
              </w:rPr>
              <w:t>PDF pp. 5-6, Experiment and case analysis | PDF p. 6, Experiment and case analysis | 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AIEXP-03198</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Cudzik J.; Nessel M. (2025). Algorithmic space optimization in building adaptations: Generative design comparison. Journal of Building Engineering. https://doi.org/10.1016/j.jobe.2025.113660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10.1016/j.jobe.2025.113660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Existing-building floor boundaries; Generated layouts; Parametric model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Generative design;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pp. 1 and 5, Abstract; method | 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AIEXP-03203</w:t>
            </w:r>
          </w:p>
        </w:tc>
        <w:tc>
          <w:tcPr>
            <w:tcW w:type="dxa" w:w="1694"/>
            <w:vAlign w:val="top"/>
            <w:tcMar>
              <w:top w:w="75" w:type="dxa"/>
              <w:start w:w="75" w:type="dxa"/>
              <w:bottom w:w="75" w:type="dxa"/>
              <w:end w:w="75" w:type="dxa"/>
            </w:tcMar>
          </w:tcPr>
          <w:p>
            <w:pPr>
              <w:spacing w:after="30" w:line="240" w:lineRule="auto"/>
            </w:pPr>
            <w:r>
              <w:rPr>
                <w:rFonts w:ascii="Arial" w:hAnsi="Arial"/>
                <w:sz w:val="12"/>
              </w:rPr>
              <w:t>Sajjadian S.M. (2025). Carbon-optimised refurbishment measures for a simulated house in Edinburgh. Intelligent Buildings International. https://doi.org/10.1080/17508975.2025.2480114</w:t>
            </w:r>
          </w:p>
        </w:tc>
        <w:tc>
          <w:tcPr>
            <w:tcW w:type="dxa" w:w="1694"/>
            <w:vAlign w:val="top"/>
            <w:tcMar>
              <w:top w:w="75" w:type="dxa"/>
              <w:start w:w="75" w:type="dxa"/>
              <w:bottom w:w="75" w:type="dxa"/>
              <w:end w:w="75" w:type="dxa"/>
            </w:tcMar>
          </w:tcPr>
          <w:p>
            <w:pPr>
              <w:spacing w:after="30" w:line="240" w:lineRule="auto"/>
            </w:pPr>
            <w:r>
              <w:rPr>
                <w:rFonts w:ascii="Arial" w:hAnsi="Arial"/>
                <w:sz w:val="12"/>
              </w:rPr>
              <w:t>10.1080/17508975.2025.2480114</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Product/material data; simulation; Simulation output; material data; Study data source</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AIEXP-03217</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Abrishami S.; Ramos Boada M. (2026). BIM-Integrated Multi-Objective Optimisation of Prefabricated Construction Configurations: A WBS-Based Generative Decomposition Framework. Buildings. https://doi.org/10.3390/buildings16122373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10.3390/buildings16122373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component database; ICE database; BIM</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Evolutionary optimization; Generative design;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3, Sec. 2.2 | PDF pp. 13 and 17, Secs. 5 and 6 | PDF p. 13, Sec. 5 | PDF pp. 7 and 13, Database and Results</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AIEXP-03218</w:t>
            </w:r>
          </w:p>
        </w:tc>
        <w:tc>
          <w:tcPr>
            <w:tcW w:type="dxa" w:w="1694"/>
            <w:vAlign w:val="top"/>
            <w:tcMar>
              <w:top w:w="75" w:type="dxa"/>
              <w:start w:w="75" w:type="dxa"/>
              <w:bottom w:w="75" w:type="dxa"/>
              <w:end w:w="75" w:type="dxa"/>
            </w:tcMar>
          </w:tcPr>
          <w:p>
            <w:pPr>
              <w:spacing w:after="30" w:line="240" w:lineRule="auto"/>
            </w:pPr>
            <w:r>
              <w:rPr>
                <w:rFonts w:ascii="Arial" w:hAnsi="Arial"/>
                <w:sz w:val="12"/>
              </w:rPr>
              <w:t>Atashbar H.; Noorzai E. (2023). Optimization of Exterior Wall Cladding Materials for Residential Buildings Using the Non-Dominated Sorting Genetic Algorithm II (NSGAII) Based on the Integration of Building Information Modeling (BIM) and Life Cycle Assessment (LCA) for Energy Consumption: A Case Study. Sustainability (Switzerland). https://doi.org/10.3390/su152115647</w:t>
            </w:r>
          </w:p>
        </w:tc>
        <w:tc>
          <w:tcPr>
            <w:tcW w:type="dxa" w:w="1694"/>
            <w:vAlign w:val="top"/>
            <w:tcMar>
              <w:top w:w="75" w:type="dxa"/>
              <w:start w:w="75" w:type="dxa"/>
              <w:bottom w:w="75" w:type="dxa"/>
              <w:end w:w="75" w:type="dxa"/>
            </w:tcMar>
          </w:tcPr>
          <w:p>
            <w:pPr>
              <w:spacing w:after="30" w:line="240" w:lineRule="auto"/>
            </w:pPr>
            <w:r>
              <w:rPr>
                <w:rFonts w:ascii="Arial" w:hAnsi="Arial"/>
                <w:sz w:val="12"/>
              </w:rPr>
              <w:t>10.3390/su152115647</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BIM; LCA database; BIM; LCA database; simulation output; LCA database</w:t>
            </w:r>
          </w:p>
        </w:tc>
        <w:tc>
          <w:tcPr>
            <w:tcW w:type="dxa" w:w="1694"/>
            <w:vAlign w:val="top"/>
            <w:tcMar>
              <w:top w:w="75" w:type="dxa"/>
              <w:start w:w="75" w:type="dxa"/>
              <w:bottom w:w="75" w:type="dxa"/>
              <w:end w:w="75" w:type="dxa"/>
            </w:tcMar>
          </w:tcPr>
          <w:p>
            <w:pPr>
              <w:spacing w:after="30" w:line="240" w:lineRule="auto"/>
            </w:pPr>
            <w:r>
              <w:rPr>
                <w:rFonts w:ascii="Arial" w:hAnsi="Arial"/>
                <w:sz w:val="12"/>
              </w:rPr>
              <w:t>Evolutionary optimization; Computational optimization; 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 Recommend</w:t>
            </w:r>
          </w:p>
        </w:tc>
        <w:tc>
          <w:tcPr>
            <w:tcW w:type="dxa" w:w="1694"/>
            <w:vAlign w:val="top"/>
            <w:tcMar>
              <w:top w:w="75" w:type="dxa"/>
              <w:start w:w="75" w:type="dxa"/>
              <w:bottom w:w="75" w:type="dxa"/>
              <w:end w:w="75" w:type="dxa"/>
            </w:tcMar>
          </w:tcPr>
          <w:p>
            <w:pPr>
              <w:spacing w:after="30" w:line="240" w:lineRule="auto"/>
            </w:pPr>
            <w:r>
              <w:rPr>
                <w:rFonts w:ascii="Arial" w:hAnsi="Arial"/>
                <w:sz w:val="12"/>
              </w:rPr>
              <w:t>PDF pp. 16–18, Secs. 3.3 and Conclusions | PDF pp. 17–18, Results and Conclusions | PDF pp. 16–18, Optimization and Conclusions</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AIEXP-03223</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Kamazani M.A.; Dixit M.K. (2023). Multi-objective optimization of embodied and operational energy and carbon emission of a building envelope. Journal of Cleaner Production. https://doi.org/10.1016/j.jclepro.2023.139510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10.1016/j.jclepro.2023.139510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Embodied-carbon database; EnergyPlus; embodied databases; Material/carbon database; Parametric model; genetic algorithm</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AIEXP-03238</w:t>
            </w:r>
          </w:p>
        </w:tc>
        <w:tc>
          <w:tcPr>
            <w:tcW w:type="dxa" w:w="1694"/>
            <w:vAlign w:val="top"/>
            <w:tcMar>
              <w:top w:w="75" w:type="dxa"/>
              <w:start w:w="75" w:type="dxa"/>
              <w:bottom w:w="75" w:type="dxa"/>
              <w:end w:w="75" w:type="dxa"/>
            </w:tcMar>
          </w:tcPr>
          <w:p>
            <w:pPr>
              <w:spacing w:after="30" w:line="240" w:lineRule="auto"/>
            </w:pPr>
            <w:r>
              <w:rPr>
                <w:rFonts w:ascii="Arial" w:hAnsi="Arial"/>
                <w:sz w:val="12"/>
              </w:rPr>
              <w:t>Li Y.; Mei Y.; Yan X.; Wang S.; Fingrut A. (2025). Digital Framework for Generative Design of Reused Concrete Structure Rubbles. Proceedings of the International Conference on Computer-Aided Architectural Design Research in Asia. https://doi.org/10.52842/conf.caadria.2025.3.457</w:t>
            </w:r>
          </w:p>
        </w:tc>
        <w:tc>
          <w:tcPr>
            <w:tcW w:type="dxa" w:w="1694"/>
            <w:vAlign w:val="top"/>
            <w:tcMar>
              <w:top w:w="75" w:type="dxa"/>
              <w:start w:w="75" w:type="dxa"/>
              <w:bottom w:w="75" w:type="dxa"/>
              <w:end w:w="75" w:type="dxa"/>
            </w:tcMar>
          </w:tcPr>
          <w:p>
            <w:pPr>
              <w:spacing w:after="30" w:line="240" w:lineRule="auto"/>
            </w:pPr>
            <w:r>
              <w:rPr>
                <w:rFonts w:ascii="Arial" w:hAnsi="Arial"/>
                <w:sz w:val="12"/>
              </w:rPr>
              <w:t>10.52842/conf.caadria.2025.3.457</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Generated configurations; Generated rubble configurations; Point cloud; rubble inventory</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Generative design</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8,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AIEXP-03242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Gan V.J.L. (2022). BIM-Based Building Geometric Modeling and Automatic Generative Design for Sustainable Offsite Construction. Journal of Construction Engineering and Management. https://doi.org/10.1061/(asce)co.1943-7862.0002369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10.1061/(ASCE)CO.1943-7862.0002369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object library; BIM; carbon/cost database; BIM; object library; BIM; parametric model; Carbon-factor database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Generative design; 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AIEXP-03246</w:t>
            </w:r>
          </w:p>
        </w:tc>
        <w:tc>
          <w:tcPr>
            <w:tcW w:type="dxa" w:w="1694"/>
            <w:vAlign w:val="top"/>
            <w:tcMar>
              <w:top w:w="75" w:type="dxa"/>
              <w:start w:w="75" w:type="dxa"/>
              <w:bottom w:w="75" w:type="dxa"/>
              <w:end w:w="75" w:type="dxa"/>
            </w:tcMar>
          </w:tcPr>
          <w:p>
            <w:pPr>
              <w:spacing w:after="30" w:line="240" w:lineRule="auto"/>
            </w:pPr>
            <w:r>
              <w:rPr>
                <w:rFonts w:ascii="Arial" w:hAnsi="Arial"/>
                <w:sz w:val="12"/>
              </w:rPr>
              <w:t>Sanchez B.; Rausch C.; Haas C.; Saari R. (2019). Multi-objective optimization analysis for selective disassembly planning of buildings. Proceedings of the 36th International Symposium on Automation and Robotics in Construction, ISARC 2019. https://doi.org/10.22260/isarc2019/0018</w:t>
            </w:r>
          </w:p>
        </w:tc>
        <w:tc>
          <w:tcPr>
            <w:tcW w:type="dxa" w:w="1694"/>
            <w:vAlign w:val="top"/>
            <w:tcMar>
              <w:top w:w="75" w:type="dxa"/>
              <w:start w:w="75" w:type="dxa"/>
              <w:bottom w:w="75" w:type="dxa"/>
              <w:end w:w="75" w:type="dxa"/>
            </w:tcMar>
          </w:tcPr>
          <w:p>
            <w:pPr>
              <w:spacing w:after="30" w:line="240" w:lineRule="auto"/>
            </w:pPr>
            <w:r>
              <w:rPr>
                <w:rFonts w:ascii="Arial" w:hAnsi="Arial"/>
                <w:sz w:val="12"/>
              </w:rPr>
              <w:t>10.22260/isarc2019/0018</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Cost data; Existing-building inventory; Existing-building inventory; disassembly data</w:t>
            </w:r>
          </w:p>
        </w:tc>
        <w:tc>
          <w:tcPr>
            <w:tcW w:type="dxa" w:w="1694"/>
            <w:vAlign w:val="top"/>
            <w:tcMar>
              <w:top w:w="75" w:type="dxa"/>
              <w:start w:w="75" w:type="dxa"/>
              <w:bottom w:w="75" w:type="dxa"/>
              <w:end w:w="75" w:type="dxa"/>
            </w:tcMar>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6,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AIEXP-03250</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Mirzaei G.; Hammad A.; Homayounfard F. (2025). Design Optimization of Steel Structures with Reused Components Using Generative Design. Proceedings of the International Symposium on Automation and Robotics in Construction. https://doi.org/10.22260/isarc2025/0094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10.22260/ISARC2025/0094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Parametric model; reused stock; Reused-stock inventory; Reused-stock inventory; structural variables</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Evolutionary optimization; Generative design;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2, Full text</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AIEXP-03264</w:t>
            </w:r>
          </w:p>
        </w:tc>
        <w:tc>
          <w:tcPr>
            <w:tcW w:type="dxa" w:w="1694"/>
            <w:vAlign w:val="top"/>
            <w:tcMar>
              <w:top w:w="75" w:type="dxa"/>
              <w:start w:w="75" w:type="dxa"/>
              <w:bottom w:w="75" w:type="dxa"/>
              <w:end w:w="75" w:type="dxa"/>
            </w:tcMar>
          </w:tcPr>
          <w:p>
            <w:pPr>
              <w:spacing w:after="30" w:line="240" w:lineRule="auto"/>
            </w:pPr>
            <w:r>
              <w:rPr>
                <w:rFonts w:ascii="Arial" w:hAnsi="Arial"/>
                <w:sz w:val="12"/>
              </w:rPr>
              <w:t>Kiss B.; Szalay Z. (2023). Sensitivity of buildings’ carbon footprint to electricity decarbonization: a life cycle–based multi-objective optimization approach. International Journal of Life Cycle Assessment. https://doi.org/10.1007/s11367-022-02043-y</w:t>
            </w:r>
          </w:p>
        </w:tc>
        <w:tc>
          <w:tcPr>
            <w:tcW w:type="dxa" w:w="1694"/>
            <w:vAlign w:val="top"/>
            <w:tcMar>
              <w:top w:w="75" w:type="dxa"/>
              <w:start w:w="75" w:type="dxa"/>
              <w:bottom w:w="75" w:type="dxa"/>
              <w:end w:w="75" w:type="dxa"/>
            </w:tcMar>
          </w:tcPr>
          <w:p>
            <w:pPr>
              <w:spacing w:after="30" w:line="240" w:lineRule="auto"/>
            </w:pPr>
            <w:r>
              <w:rPr>
                <w:rFonts w:ascii="Arial" w:hAnsi="Arial"/>
                <w:sz w:val="12"/>
              </w:rPr>
              <w:t>10.1007/s11367-022-02043-y</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Not Reported</w:t>
            </w:r>
          </w:p>
        </w:tc>
        <w:tc>
          <w:tcPr>
            <w:tcW w:type="dxa" w:w="1694"/>
            <w:vAlign w:val="top"/>
            <w:tcMar>
              <w:top w:w="75" w:type="dxa"/>
              <w:start w:w="75" w:type="dxa"/>
              <w:bottom w:w="75" w:type="dxa"/>
              <w:end w:w="75" w:type="dxa"/>
            </w:tcMar>
          </w:tcPr>
          <w:p>
            <w:pPr>
              <w:spacing w:after="30" w:line="240" w:lineRule="auto"/>
            </w:pPr>
            <w:r>
              <w:rPr>
                <w:rFonts w:ascii="Arial" w:hAnsi="Arial"/>
                <w:sz w:val="12"/>
              </w:rPr>
              <w:t>LCA; energy simulation; Study data source</w:t>
            </w:r>
          </w:p>
        </w:tc>
        <w:tc>
          <w:tcPr>
            <w:tcW w:type="dxa" w:w="1694"/>
            <w:vAlign w:val="top"/>
            <w:tcMar>
              <w:top w:w="75" w:type="dxa"/>
              <w:start w:w="75" w:type="dxa"/>
              <w:bottom w:w="75" w:type="dxa"/>
              <w:end w:w="75" w:type="dxa"/>
            </w:tcMar>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Diagnose; 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1, Abstract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AIEXP-03279</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Kim S.; Namgung H.; Oh K.; Lee J.; Jeong K.; Hong T.; Kong M. (2025). BIM-IGL: a BIM-based framework for automated conceptual design integrating generative design and life cycle assessment. Energy and Buildings. https://doi.org/10.1016/j.enbuild.2025.116401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10.1016/j.enbuild.2025.116401</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BIM/parametric model and LCA data; BIM; parametric model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Evolutionary optimization; Generative design; BIM/IFC computational workflow</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4, Sec. 2.1, Generative design for space layout planning | PDF p. 4, Secs. 2.1-2.2</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AIEXP-03283</w:t>
            </w:r>
          </w:p>
        </w:tc>
        <w:tc>
          <w:tcPr>
            <w:tcW w:type="dxa" w:w="1694"/>
            <w:vAlign w:val="top"/>
            <w:tcMar>
              <w:top w:w="75" w:type="dxa"/>
              <w:start w:w="75" w:type="dxa"/>
              <w:bottom w:w="75" w:type="dxa"/>
              <w:end w:w="75" w:type="dxa"/>
            </w:tcMar>
          </w:tcPr>
          <w:p>
            <w:pPr>
              <w:spacing w:after="30" w:line="240" w:lineRule="auto"/>
            </w:pPr>
            <w:r>
              <w:rPr>
                <w:rFonts w:ascii="Arial" w:hAnsi="Arial"/>
                <w:sz w:val="12"/>
              </w:rPr>
              <w:t>Dunant C.F.; Drewniok M.P.; Orr J.J.; Allwood J.M. (2021). Good early stage design decisions can halve embodied CO2 and lower structural frames’ cost. Structures. https://doi.org/10.1016/j.istruc.2021.04.033</w:t>
            </w:r>
          </w:p>
        </w:tc>
        <w:tc>
          <w:tcPr>
            <w:tcW w:type="dxa" w:w="1694"/>
            <w:vAlign w:val="top"/>
            <w:tcMar>
              <w:top w:w="75" w:type="dxa"/>
              <w:start w:w="75" w:type="dxa"/>
              <w:bottom w:w="75" w:type="dxa"/>
              <w:end w:w="75" w:type="dxa"/>
            </w:tcMar>
          </w:tcPr>
          <w:p>
            <w:pPr>
              <w:spacing w:after="30" w:line="240" w:lineRule="auto"/>
            </w:pPr>
            <w:r>
              <w:rPr>
                <w:rFonts w:ascii="Arial" w:hAnsi="Arial"/>
                <w:sz w:val="12"/>
              </w:rPr>
              <w:t>10.1016/j.istruc.2021.04.033</w:t>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tcPr>
          <w:p>
            <w:pPr>
              <w:spacing w:after="30" w:line="240" w:lineRule="auto"/>
            </w:pPr>
            <w:r>
              <w:rPr>
                <w:rFonts w:ascii="Arial" w:hAnsi="Arial"/>
                <w:sz w:val="12"/>
              </w:rPr>
              <w:t>Carbon factors; design database; Design database; Design database; generative structural model; Design database; product options; Design database; structural model</w:t>
            </w:r>
          </w:p>
        </w:tc>
        <w:tc>
          <w:tcPr>
            <w:tcW w:type="dxa" w:w="1694"/>
            <w:vAlign w:val="top"/>
            <w:tcMar>
              <w:top w:w="75" w:type="dxa"/>
              <w:start w:w="75" w:type="dxa"/>
              <w:bottom w:w="75" w:type="dxa"/>
              <w:end w:w="75" w:type="dxa"/>
            </w:tcMar>
          </w:tcPr>
          <w:p>
            <w:pPr>
              <w:spacing w:after="30" w:line="240" w:lineRule="auto"/>
            </w:pPr>
            <w:r>
              <w:rPr>
                <w:rFonts w:ascii="Arial" w:hAnsi="Arial"/>
                <w:sz w:val="12"/>
              </w:rPr>
              <w:t>Implemented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6, Sec. 2 | PDF pp. 11–15, Secs. 2.4 and 3 | PDF pp. 6 and 13–15, Secs. 2 and 3 | PDF pp. 13–15, Results | PDF p. 6, Generation algorithm</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AIEXP-03292</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Zaraza J.; McCabe B.; Duhamel M.; Posen D. (2022). Generative design to reduce embodied GHG emissions of high-rise buildings. Automation in Construction. https://doi.org/10.1016/j.autcon.2022.104274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10.1016/j.autcon.2022.104274</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BIM; parametric model; BIM; parametric model; simulation output; Embodied-GHG model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Evolutionary optimization; Generative design;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52, Sec. 3.4 | PDF pp. 50–53, Secs. 3.3–3.4 | PDF pp. 52–53, Sec. 3.4 | PDF p. 26, Tool inputs</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AIEXP-03298</w:t>
            </w:r>
          </w:p>
        </w:tc>
        <w:tc>
          <w:tcPr>
            <w:tcW w:type="dxa" w:w="1694"/>
            <w:vAlign w:val="top"/>
            <w:tcMar>
              <w:top w:w="75" w:type="dxa"/>
              <w:start w:w="75" w:type="dxa"/>
              <w:bottom w:w="75" w:type="dxa"/>
              <w:end w:w="75" w:type="dxa"/>
            </w:tcMar>
          </w:tcPr>
          <w:p>
            <w:pPr>
              <w:spacing w:after="30" w:line="240" w:lineRule="auto"/>
            </w:pPr>
            <w:r>
              <w:rPr>
                <w:rFonts w:ascii="Arial" w:hAnsi="Arial"/>
                <w:sz w:val="12"/>
              </w:rPr>
              <w:t>Klejs O.V.; Damgaard M.H.; Jensen M.B. (2026). Designing with Scarcity: A Computational Framework for Embedding Reclaimed Timber in Early Stage Architectural Design. Proceedings of the International Conference on Education and Research in Computer Aided Architectural Design in Europe. https://doi.org/10.52842/conf.ecaade.2026.3.079</w:t>
            </w:r>
          </w:p>
        </w:tc>
        <w:tc>
          <w:tcPr>
            <w:tcW w:type="dxa" w:w="1694"/>
            <w:vAlign w:val="top"/>
            <w:tcMar>
              <w:top w:w="75" w:type="dxa"/>
              <w:start w:w="75" w:type="dxa"/>
              <w:bottom w:w="75" w:type="dxa"/>
              <w:end w:w="75" w:type="dxa"/>
            </w:tcMar>
          </w:tcPr>
          <w:p>
            <w:pPr>
              <w:spacing w:after="30" w:line="240" w:lineRule="auto"/>
            </w:pPr>
            <w:r>
              <w:rPr>
                <w:rFonts w:ascii="Arial" w:hAnsi="Arial"/>
                <w:sz w:val="12"/>
              </w:rPr>
              <w:t>10.52842/conf.ecaade.2026.3.079</w:t>
            </w:r>
          </w:p>
        </w:tc>
        <w:tc>
          <w:tcPr>
            <w:tcW w:type="dxa" w:w="1694"/>
            <w:vAlign w:val="top"/>
            <w:tcMar>
              <w:top w:w="75" w:type="dxa"/>
              <w:start w:w="75" w:type="dxa"/>
              <w:bottom w:w="75" w:type="dxa"/>
              <w:end w:w="75" w:type="dxa"/>
            </w:tcMar>
          </w:tcPr>
          <w:p>
            <w:pPr>
              <w:spacing w:after="30" w:line="240" w:lineRule="auto"/>
            </w:pPr>
            <w:r>
              <w:rPr>
                <w:rFonts w:ascii="Arial" w:hAnsi="Arial"/>
                <w:sz w:val="12"/>
              </w:rPr>
              <w:t>Direct</w:t>
            </w:r>
          </w:p>
        </w:tc>
        <w:tc>
          <w:tcPr>
            <w:tcW w:type="dxa" w:w="1694"/>
            <w:vAlign w:val="top"/>
            <w:tcMar>
              <w:top w:w="75" w:type="dxa"/>
              <w:start w:w="75" w:type="dxa"/>
              <w:bottom w:w="75" w:type="dxa"/>
              <w:end w:w="75" w:type="dxa"/>
            </w:tcMar>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tcPr>
          <w:p>
            <w:pPr>
              <w:spacing w:after="30" w:line="240" w:lineRule="auto"/>
            </w:pPr>
            <w:r>
              <w:rPr>
                <w:rFonts w:ascii="Arial" w:hAnsi="Arial"/>
                <w:sz w:val="12"/>
              </w:rPr>
              <w:t>Parametric model; reclaimed timber inventory; Reclaimed-timber inventory</w:t>
            </w:r>
          </w:p>
        </w:tc>
        <w:tc>
          <w:tcPr>
            <w:tcW w:type="dxa" w:w="1694"/>
            <w:vAlign w:val="top"/>
            <w:tcMar>
              <w:top w:w="75" w:type="dxa"/>
              <w:start w:w="75" w:type="dxa"/>
              <w:bottom w:w="75" w:type="dxa"/>
              <w:end w:w="75" w:type="dxa"/>
            </w:tcMar>
          </w:tcPr>
          <w:p>
            <w:pPr>
              <w:spacing w:after="30" w:line="240" w:lineRule="auto"/>
            </w:pPr>
            <w:r>
              <w:rPr>
                <w:rFonts w:ascii="Arial" w:hAnsi="Arial"/>
                <w:sz w:val="12"/>
              </w:rPr>
              <w:t>Computational optimization</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tcPr>
          <w:p>
            <w:pPr>
              <w:spacing w:after="30" w:line="240" w:lineRule="auto"/>
            </w:pPr>
            <w:r>
              <w:rPr>
                <w:rFonts w:ascii="Arial" w:hAnsi="Arial"/>
                <w:sz w:val="12"/>
              </w:rPr>
              <w:t>PDF p. 6, Full text | PDF p. 3, Full text</w:t>
            </w:r>
          </w:p>
        </w:tc>
      </w:tr>
      <w:tr>
        <w:trPr>
          <w:cantSplit/>
        </w:trPr>
        <w:tc>
          <w:tcPr>
            <w:tcW w:type="dxa" w:w="1694"/>
            <w:vAlign w:val="top"/>
            <w:tcMar>
              <w:top w:w="75" w:type="dxa"/>
              <w:start w:w="75" w:type="dxa"/>
              <w:bottom w:w="75" w:type="dxa"/>
              <w:end w:w="75" w:type="dxa"/>
            </w:tcMar>
            <w:shd w:fill="EDF3F5"/>
          </w:tcPr>
          <w:p>
            <w:pPr>
              <w:spacing w:after="30" w:line="240" w:lineRule="auto"/>
            </w:pPr>
            <w:r>
              <w:rPr>
                <w:rFonts w:ascii="Arial" w:hAnsi="Arial"/>
                <w:sz w:val="12"/>
              </w:rPr>
              <w:t>AIEXP-03355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Li M.; Zhao S.; Yao S.; Huo Q.; Yuan J.; Li Y. (2025). A performance-responsive generative design framework integrating multi-objective optimization for the layout of residential buildings oriented towards low-carbon emission: A case study of Tianjin in China. Journal of Building Engineering. https://doi.org/10.1016/j.jobe.2025.112805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10.1016/j.jobe.2025.112805</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Parametric model; Parametric model; neural surrogate; Parametric model; simulation output; Parametric/multi-agent model; Prototype topology</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Generative design; Computational optimization</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694"/>
            <w:vAlign w:val="top"/>
            <w:tcMar>
              <w:top w:w="75" w:type="dxa"/>
              <w:start w:w="75" w:type="dxa"/>
              <w:bottom w:w="75" w:type="dxa"/>
              <w:end w:w="75" w:type="dxa"/>
            </w:tcMar>
            <w:shd w:fill="EDF3F5"/>
          </w:tcPr>
          <w:p>
            <w:pPr>
              <w:spacing w:after="30" w:line="240" w:lineRule="auto"/>
            </w:pPr>
            <w:r>
              <w:rPr>
                <w:rFonts w:ascii="Arial" w:hAnsi="Arial"/>
                <w:sz w:val="12"/>
              </w:rPr>
              <w:t>PDF p. 1, Abstract | PDF pp. 1 and 3, Abstract; contribution</w:t>
            </w:r>
          </w:p>
        </w:tc>
      </w:tr>
      <w:tr>
        <w:trPr>
          <w:cantSplit/>
        </w:trPr>
        <w:tc>
          <w:tcPr>
            <w:tcW w:type="dxa" w:w="1694"/>
            <w:vAlign w:val="top"/>
            <w:tcMar>
              <w:top w:w="75" w:type="dxa"/>
              <w:start w:w="75" w:type="dxa"/>
              <w:bottom w:w="75" w:type="dxa"/>
              <w:end w:w="75" w:type="dxa"/>
            </w:tcMar>
          </w:tcPr>
          <w:p>
            <w:pPr>
              <w:spacing w:after="30" w:line="240" w:lineRule="auto"/>
            </w:pPr>
            <w:r>
              <w:rPr>
                <w:rFonts w:ascii="Arial" w:hAnsi="Arial"/>
                <w:sz w:val="12"/>
              </w:rPr>
              <w:t>AIEXP-03807</w:t>
            </w:r>
          </w:p>
        </w:tc>
        <w:tc>
          <w:tcPr>
            <w:tcW w:type="dxa" w:w="1694"/>
            <w:vAlign w:val="top"/>
            <w:tcMar>
              <w:top w:w="75" w:type="dxa"/>
              <w:start w:w="75" w:type="dxa"/>
              <w:bottom w:w="75" w:type="dxa"/>
              <w:end w:w="75" w:type="dxa"/>
            </w:tcMar>
          </w:tcPr>
          <w:p>
            <w:pPr>
              <w:spacing w:after="30" w:line="240" w:lineRule="auto"/>
            </w:pPr>
            <w:r>
              <w:rPr>
                <w:rFonts w:ascii="Arial" w:hAnsi="Arial"/>
                <w:sz w:val="12"/>
              </w:rPr>
              <w:t>Jalaei F.; Jrade A.; Nassiri M. (2015). Integrating decision support system (DSS) and building information modeling (BIM) to optimize the selection of sustainable building components. Journal of Information Technology in Construction.</w:t>
            </w:r>
          </w:p>
        </w:tc>
        <w:tc>
          <w:tcPr>
            <w:tcW w:type="dxa" w:w="1694"/>
            <w:vAlign w:val="top"/>
            <w:tcMar>
              <w:top w:w="75" w:type="dxa"/>
              <w:start w:w="75" w:type="dxa"/>
              <w:bottom w:w="75" w:type="dxa"/>
              <w:end w:w="75" w:type="dxa"/>
            </w:tcMar>
          </w:tcPr>
          <w:p>
            <w:pPr>
              <w:spacing w:after="30" w:line="240" w:lineRule="auto"/>
            </w:pPr>
            <w:r>
              <w:rPr>
                <w:rFonts w:ascii="Arial" w:hAnsi="Arial"/>
                <w:sz w:val="12"/>
              </w:rPr>
            </w:r>
          </w:p>
        </w:tc>
        <w:tc>
          <w:tcPr>
            <w:tcW w:type="dxa" w:w="1694"/>
            <w:vAlign w:val="top"/>
            <w:tcMar>
              <w:top w:w="75" w:type="dxa"/>
              <w:start w:w="75" w:type="dxa"/>
              <w:bottom w:w="75" w:type="dxa"/>
              <w:end w:w="75" w:type="dxa"/>
            </w:tcMar>
          </w:tcPr>
          <w:p>
            <w:pPr>
              <w:spacing w:after="30" w:line="240" w:lineRule="auto"/>
            </w:pPr>
            <w:r>
              <w:rPr>
                <w:rFonts w:ascii="Arial" w:hAnsi="Arial"/>
                <w:sz w:val="12"/>
              </w:rPr>
              <w:t>Transferable</w:t>
            </w:r>
          </w:p>
        </w:tc>
        <w:tc>
          <w:tcPr>
            <w:tcW w:type="dxa" w:w="1694"/>
            <w:vAlign w:val="top"/>
            <w:tcMar>
              <w:top w:w="75" w:type="dxa"/>
              <w:start w:w="75" w:type="dxa"/>
              <w:bottom w:w="75" w:type="dxa"/>
              <w:end w:w="75" w:type="dxa"/>
            </w:tcMar>
          </w:tcPr>
          <w:p>
            <w:pPr>
              <w:spacing w:after="30" w:line="240" w:lineRule="auto"/>
            </w:pPr>
            <w:r>
              <w:rPr>
                <w:rFonts w:ascii="Arial" w:hAnsi="Arial"/>
                <w:sz w:val="12"/>
              </w:rPr>
              <w:t>Conceptual</w:t>
            </w:r>
          </w:p>
        </w:tc>
        <w:tc>
          <w:tcPr>
            <w:tcW w:type="dxa" w:w="1694"/>
            <w:vAlign w:val="top"/>
            <w:tcMar>
              <w:top w:w="75" w:type="dxa"/>
              <w:start w:w="75" w:type="dxa"/>
              <w:bottom w:w="75" w:type="dxa"/>
              <w:end w:w="75" w:type="dxa"/>
            </w:tcMar>
          </w:tcPr>
          <w:p>
            <w:pPr>
              <w:spacing w:after="30" w:line="240" w:lineRule="auto"/>
            </w:pPr>
            <w:r>
              <w:rPr>
                <w:rFonts w:ascii="Arial" w:hAnsi="Arial"/>
                <w:sz w:val="12"/>
              </w:rPr>
              <w:t>BIM; product database; Expert weights; Life-cycle cost data</w:t>
            </w:r>
          </w:p>
        </w:tc>
        <w:tc>
          <w:tcPr>
            <w:tcW w:type="dxa" w:w="1694"/>
            <w:vAlign w:val="top"/>
            <w:tcMar>
              <w:top w:w="75" w:type="dxa"/>
              <w:start w:w="75" w:type="dxa"/>
              <w:bottom w:w="75" w:type="dxa"/>
              <w:end w:w="75" w:type="dxa"/>
            </w:tcMar>
          </w:tcPr>
          <w:p>
            <w:pPr>
              <w:spacing w:after="30" w:line="240" w:lineRule="auto"/>
            </w:pPr>
            <w:r>
              <w:rPr>
                <w:rFonts w:ascii="Arial" w:hAnsi="Arial"/>
                <w:sz w:val="12"/>
              </w:rPr>
              <w:t>BIM/IFC computational workflow</w:t>
            </w:r>
          </w:p>
        </w:tc>
        <w:tc>
          <w:tcPr>
            <w:tcW w:type="dxa" w:w="1694"/>
            <w:vAlign w:val="top"/>
            <w:tcMar>
              <w:top w:w="75" w:type="dxa"/>
              <w:start w:w="75" w:type="dxa"/>
              <w:bottom w:w="75" w:type="dxa"/>
              <w:end w:w="75" w:type="dxa"/>
            </w:tcMar>
          </w:tcPr>
          <w:p>
            <w:pPr>
              <w:spacing w:after="30" w:line="240" w:lineRule="auto"/>
            </w:pPr>
            <w:r>
              <w:rPr>
                <w:rFonts w:ascii="Arial" w:hAnsi="Arial"/>
                <w:sz w:val="12"/>
              </w:rPr>
              <w:t>Generate plus Rank/Optimize; Recommend</w:t>
            </w:r>
          </w:p>
        </w:tc>
        <w:tc>
          <w:tcPr>
            <w:tcW w:type="dxa" w:w="1694"/>
            <w:vAlign w:val="top"/>
            <w:tcMar>
              <w:top w:w="75" w:type="dxa"/>
              <w:start w:w="75" w:type="dxa"/>
              <w:bottom w:w="75" w:type="dxa"/>
              <w:end w:w="75" w:type="dxa"/>
            </w:tcMar>
          </w:tcPr>
          <w:p>
            <w:pPr>
              <w:spacing w:after="30" w:line="240" w:lineRule="auto"/>
            </w:pPr>
            <w:r>
              <w:rPr>
                <w:rFonts w:ascii="Arial" w:hAnsi="Arial"/>
                <w:sz w:val="12"/>
              </w:rPr>
              <w:t>PDF pp. 9 and 17, DSS development and Validation | PDF p. 17, Validation | PDF pp. 11–13, DSS architecture | PDF pp. 9–13, DSS development | PDF pp. 7 and 18, Framework and Validation | PDF pp. 9 and 14–16, DSS development</w:t>
            </w:r>
          </w:p>
        </w:tc>
      </w:tr>
    </w:tbl>
    <w:p/>
    <w:p>
      <w:pPr>
        <w:pStyle w:val="Caption"/>
      </w:pPr>
      <w:r>
        <w:t>Table S7. Complete 48 x 6 AI capability matrix in long format.</w:t>
      </w:r>
    </w:p>
    <w:tbl>
      <w:tblPr>
        <w:tblStyle w:val="TableGrid"/>
        <w:tblW w:type="auto" w:w="0"/>
        <w:jc w:val="center"/>
        <w:tblLayout w:type="autofit"/>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1906"/>
            <w:shd w:fill="173D55"/>
            <w:vAlign w:val="center"/>
            <w:tcMar>
              <w:top w:w="90" w:type="dxa"/>
              <w:start w:w="85" w:type="dxa"/>
              <w:bottom w:w="90" w:type="dxa"/>
              <w:end w:w="85" w:type="dxa"/>
            </w:tcMar>
          </w:tcPr>
          <w:p>
            <w:pPr>
              <w:jc w:val="center"/>
            </w:pPr>
            <w:r>
              <w:rPr>
                <w:rFonts w:ascii="Arial" w:hAnsi="Arial"/>
                <w:b/>
                <w:color w:val="FFFFFF"/>
                <w:sz w:val="12"/>
              </w:rPr>
              <w:t>Attribute</w:t>
            </w:r>
          </w:p>
        </w:tc>
        <w:tc>
          <w:tcPr>
            <w:tcW w:type="dxa" w:w="1906"/>
            <w:shd w:fill="173D55"/>
            <w:vAlign w:val="center"/>
            <w:tcMar>
              <w:top w:w="90" w:type="dxa"/>
              <w:start w:w="85" w:type="dxa"/>
              <w:bottom w:w="90" w:type="dxa"/>
              <w:end w:w="85" w:type="dxa"/>
            </w:tcMar>
          </w:tcPr>
          <w:p>
            <w:pPr>
              <w:jc w:val="center"/>
            </w:pPr>
            <w:r>
              <w:rPr>
                <w:rFonts w:ascii="Arial" w:hAnsi="Arial"/>
                <w:b/>
                <w:color w:val="FFFFFF"/>
                <w:sz w:val="12"/>
              </w:rPr>
              <w:t>Family</w:t>
            </w:r>
          </w:p>
        </w:tc>
        <w:tc>
          <w:tcPr>
            <w:tcW w:type="dxa" w:w="1906"/>
            <w:shd w:fill="173D55"/>
            <w:vAlign w:val="center"/>
            <w:tcMar>
              <w:top w:w="90" w:type="dxa"/>
              <w:start w:w="85" w:type="dxa"/>
              <w:bottom w:w="90" w:type="dxa"/>
              <w:end w:w="85" w:type="dxa"/>
            </w:tcMar>
          </w:tcPr>
          <w:p>
            <w:pPr>
              <w:jc w:val="center"/>
            </w:pPr>
            <w:r>
              <w:rPr>
                <w:rFonts w:ascii="Arial" w:hAnsi="Arial"/>
                <w:b/>
                <w:color w:val="FFFFFF"/>
                <w:sz w:val="12"/>
              </w:rPr>
              <w:t>Function</w:t>
            </w:r>
          </w:p>
        </w:tc>
        <w:tc>
          <w:tcPr>
            <w:tcW w:type="dxa" w:w="1906"/>
            <w:shd w:fill="173D55"/>
            <w:vAlign w:val="center"/>
            <w:tcMar>
              <w:top w:w="90" w:type="dxa"/>
              <w:start w:w="85" w:type="dxa"/>
              <w:bottom w:w="90" w:type="dxa"/>
              <w:end w:w="85" w:type="dxa"/>
            </w:tcMar>
          </w:tcPr>
          <w:p>
            <w:pPr>
              <w:jc w:val="center"/>
            </w:pPr>
            <w:r>
              <w:rPr>
                <w:rFonts w:ascii="Arial" w:hAnsi="Arial"/>
                <w:b/>
                <w:color w:val="FFFFFF"/>
                <w:sz w:val="12"/>
              </w:rPr>
              <w:t>Grade</w:t>
            </w:r>
          </w:p>
        </w:tc>
        <w:tc>
          <w:tcPr>
            <w:tcW w:type="dxa" w:w="1906"/>
            <w:shd w:fill="173D55"/>
            <w:vAlign w:val="center"/>
            <w:tcMar>
              <w:top w:w="90" w:type="dxa"/>
              <w:start w:w="85" w:type="dxa"/>
              <w:bottom w:w="90" w:type="dxa"/>
              <w:end w:w="85" w:type="dxa"/>
            </w:tcMar>
          </w:tcPr>
          <w:p>
            <w:pPr>
              <w:jc w:val="center"/>
            </w:pPr>
            <w:r>
              <w:rPr>
                <w:rFonts w:ascii="Arial" w:hAnsi="Arial"/>
                <w:b/>
                <w:color w:val="FFFFFF"/>
                <w:sz w:val="12"/>
              </w:rPr>
              <w:t>Early design</w:t>
            </w:r>
          </w:p>
        </w:tc>
        <w:tc>
          <w:tcPr>
            <w:tcW w:type="dxa" w:w="1906"/>
            <w:shd w:fill="173D55"/>
            <w:vAlign w:val="center"/>
            <w:tcMar>
              <w:top w:w="90" w:type="dxa"/>
              <w:start w:w="85" w:type="dxa"/>
              <w:bottom w:w="90" w:type="dxa"/>
              <w:end w:w="85" w:type="dxa"/>
            </w:tcMar>
          </w:tcPr>
          <w:p>
            <w:pPr>
              <w:jc w:val="center"/>
            </w:pPr>
            <w:r>
              <w:rPr>
                <w:rFonts w:ascii="Arial" w:hAnsi="Arial"/>
                <w:b/>
                <w:color w:val="FFFFFF"/>
                <w:sz w:val="12"/>
              </w:rPr>
              <w:t>Evidence paper IDs</w:t>
            </w:r>
          </w:p>
        </w:tc>
        <w:tc>
          <w:tcPr>
            <w:tcW w:type="dxa" w:w="1906"/>
            <w:shd w:fill="173D55"/>
            <w:vAlign w:val="center"/>
            <w:tcMar>
              <w:top w:w="90" w:type="dxa"/>
              <w:start w:w="85" w:type="dxa"/>
              <w:bottom w:w="90" w:type="dxa"/>
              <w:end w:w="85" w:type="dxa"/>
            </w:tcMar>
          </w:tcPr>
          <w:p>
            <w:pPr>
              <w:jc w:val="center"/>
            </w:pPr>
            <w:r>
              <w:rPr>
                <w:rFonts w:ascii="Arial" w:hAnsi="Arial"/>
                <w:b/>
                <w:color w:val="FFFFFF"/>
                <w:sz w:val="12"/>
              </w:rPr>
              <w:t>Supporting role / C basis</w:t>
            </w:r>
          </w:p>
        </w:tc>
        <w:tc>
          <w:tcPr>
            <w:tcW w:type="dxa" w:w="1906"/>
            <w:shd w:fill="173D55"/>
            <w:vAlign w:val="center"/>
            <w:tcMar>
              <w:top w:w="90" w:type="dxa"/>
              <w:start w:w="85" w:type="dxa"/>
              <w:bottom w:w="90" w:type="dxa"/>
              <w:end w:w="85" w:type="dxa"/>
            </w:tcMar>
          </w:tcPr>
          <w:p>
            <w:pPr>
              <w:jc w:val="center"/>
            </w:pPr>
            <w:r>
              <w:rPr>
                <w:rFonts w:ascii="Arial" w:hAnsi="Arial"/>
                <w:b/>
                <w:color w:val="FFFFFF"/>
                <w:sz w:val="12"/>
              </w:rPr>
              <w:t>Audit note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accessibility</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accessibility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accessibility</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accessibility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accessibility</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accessibility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adaptability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adaptability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adaptability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adaptability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adaptability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adaptability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AIEXP-03172 (Criterion): Adaptability metrics score and rank generated floor plans.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area</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AIEXP-00015; AIEXP-00499</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area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area</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AIEXP-00034 (Input/Feature): Floor area is an input to demolition-waste prediction.; AIEXP-00450 (Input/Feature): Facade/opening area feeds material-stock and carbon estimation.; AIEXP-01779 (Input/Feature): Schematic area parameters feed embodied-carbon prediction.; AIEXP-01785 (Diagnostic Factor): SHAP identifies floor/land area as schematic carbon drivers.; ... (+2)</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area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area</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area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AIEXP-00015 (Constraint): Element area constrains candidate matching.; AIEXP-03283 (Constraint): Floor area and perimeter constrain placement of generated bays.; AIEXP-03355 (Design Variable): Area variables are changed within the generative workflow.</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assembly sequence</w:t>
            </w:r>
          </w:p>
        </w:tc>
        <w:tc>
          <w:tcPr>
            <w:tcW w:type="dxa" w:w="1906"/>
            <w:vAlign w:val="top"/>
            <w:tcMar>
              <w:top w:w="75" w:type="dxa"/>
              <w:start w:w="75" w:type="dxa"/>
              <w:bottom w:w="75" w:type="dxa"/>
              <w:end w:w="75" w:type="dxa"/>
            </w:tcMar>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assembly sequence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AIEXP-01773</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assembly sequence</w:t>
            </w:r>
          </w:p>
        </w:tc>
        <w:tc>
          <w:tcPr>
            <w:tcW w:type="dxa" w:w="1906"/>
            <w:vAlign w:val="top"/>
            <w:tcMar>
              <w:top w:w="75" w:type="dxa"/>
              <w:start w:w="75" w:type="dxa"/>
              <w:bottom w:w="75" w:type="dxa"/>
              <w:end w:w="75" w:type="dxa"/>
            </w:tcMar>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assembly sequence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assembly sequence</w:t>
            </w:r>
          </w:p>
        </w:tc>
        <w:tc>
          <w:tcPr>
            <w:tcW w:type="dxa" w:w="1906"/>
            <w:vAlign w:val="top"/>
            <w:tcMar>
              <w:top w:w="75" w:type="dxa"/>
              <w:start w:w="75" w:type="dxa"/>
              <w:bottom w:w="75" w:type="dxa"/>
              <w:end w:w="75" w:type="dxa"/>
            </w:tcMar>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assembly sequence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AIEXP-03246; AIEXP-03174</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component count</w:t>
            </w:r>
          </w:p>
        </w:tc>
        <w:tc>
          <w:tcPr>
            <w:tcW w:type="dxa" w:w="1906"/>
            <w:vAlign w:val="top"/>
            <w:tcMar>
              <w:top w:w="75" w:type="dxa"/>
              <w:start w:w="75" w:type="dxa"/>
              <w:bottom w:w="75" w:type="dxa"/>
              <w:end w:w="75" w:type="dxa"/>
            </w:tcMar>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AIEXP-00499</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count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B</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AIEXP-00946</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Transferable target/output evidence; no Direct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component count</w:t>
            </w:r>
          </w:p>
        </w:tc>
        <w:tc>
          <w:tcPr>
            <w:tcW w:type="dxa" w:w="1906"/>
            <w:vAlign w:val="top"/>
            <w:tcMar>
              <w:top w:w="75" w:type="dxa"/>
              <w:start w:w="75" w:type="dxa"/>
              <w:bottom w:w="75" w:type="dxa"/>
              <w:end w:w="75" w:type="dxa"/>
            </w:tcMar>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count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component count</w:t>
            </w:r>
          </w:p>
        </w:tc>
        <w:tc>
          <w:tcPr>
            <w:tcW w:type="dxa" w:w="1906"/>
            <w:vAlign w:val="top"/>
            <w:tcMar>
              <w:top w:w="75" w:type="dxa"/>
              <w:start w:w="75" w:type="dxa"/>
              <w:bottom w:w="75" w:type="dxa"/>
              <w:end w:w="75" w:type="dxa"/>
            </w:tcMar>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count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AIEXP-03250 (Constraint): Available reused-stock components constrain generation.; AIEXP-03198 (Criterion): Room count evaluates the methods; it is not the generated target by itself.</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component identity</w:t>
            </w:r>
          </w:p>
        </w:tc>
        <w:tc>
          <w:tcPr>
            <w:tcW w:type="dxa" w:w="1906"/>
            <w:vAlign w:val="top"/>
            <w:tcMar>
              <w:top w:w="75" w:type="dxa"/>
              <w:start w:w="75" w:type="dxa"/>
              <w:bottom w:w="75" w:type="dxa"/>
              <w:end w:w="75" w:type="dxa"/>
            </w:tcMar>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AIEXP-00183; AIEXP-00189; AIEXP-00216; AIEXP-00474; AIEXP-00469; AIEXP-00499; AIEXP-00536; AIEXP-01043; ... (+1)</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identity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Yes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AIEXP-00262; AIEXP-01750; AIEXP-01509; AIEXP-01249; AIEXP-01537; AIEXP-00847; AIEXP-01543; AIEXP-00637; ... (+2)</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AIEXP-03196 (Input/Feature): Bim Component Data serves as input/feature evidence and is not treated as the AI target.; AIEXP-01811 (Input/Feature): Building Elements serves as input/feature evidence and is not treated as the AI target.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component identity</w:t>
            </w:r>
          </w:p>
        </w:tc>
        <w:tc>
          <w:tcPr>
            <w:tcW w:type="dxa" w:w="1906"/>
            <w:vAlign w:val="top"/>
            <w:tcMar>
              <w:top w:w="75" w:type="dxa"/>
              <w:start w:w="75" w:type="dxa"/>
              <w:bottom w:w="75" w:type="dxa"/>
              <w:end w:w="75" w:type="dxa"/>
            </w:tcMar>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identity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component identity</w:t>
            </w:r>
          </w:p>
        </w:tc>
        <w:tc>
          <w:tcPr>
            <w:tcW w:type="dxa" w:w="1906"/>
            <w:vAlign w:val="top"/>
            <w:tcMar>
              <w:top w:w="75" w:type="dxa"/>
              <w:start w:w="75" w:type="dxa"/>
              <w:bottom w:w="75" w:type="dxa"/>
              <w:end w:w="75" w:type="dxa"/>
            </w:tcMar>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B</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AIEXP-03807</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AIEXP-00641 (Input/Feature): Element identity and class are inputs to salvage reasoning.; AIEXP-01773 (Input/Feature): Element identity is an input to sequence and market-link inference.</w:t>
            </w:r>
          </w:p>
        </w:tc>
        <w:tc>
          <w:tcPr>
            <w:tcW w:type="dxa" w:w="1906"/>
            <w:vAlign w:val="top"/>
            <w:tcMar>
              <w:top w:w="75" w:type="dxa"/>
              <w:start w:w="75" w:type="dxa"/>
              <w:bottom w:w="75" w:type="dxa"/>
              <w:end w:w="75" w:type="dxa"/>
            </w:tcMar>
          </w:tcPr>
          <w:p>
            <w:pPr>
              <w:spacing w:after="30" w:line="240" w:lineRule="auto"/>
            </w:pPr>
            <w:r>
              <w:rPr>
                <w:rFonts w:ascii="Arial" w:hAnsi="Arial"/>
                <w:sz w:val="12"/>
              </w:rPr>
              <w:t>Transferable target/output evidence; no Direct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identity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B</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AIEXP-03217</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Transferable target/output evidence; no Direct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component relationships</w:t>
            </w:r>
          </w:p>
        </w:tc>
        <w:tc>
          <w:tcPr>
            <w:tcW w:type="dxa" w:w="1906"/>
            <w:vAlign w:val="top"/>
            <w:tcMar>
              <w:top w:w="75" w:type="dxa"/>
              <w:start w:w="75" w:type="dxa"/>
              <w:bottom w:w="75" w:type="dxa"/>
              <w:end w:w="75" w:type="dxa"/>
            </w:tcMar>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AIEXP-00189</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relationships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AIEXP-01773; AIEXP-01509; AIEXP-01537; AIEXP-00800; AIEXP-00946; AIEXP-01769</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AIEXP-01249 (Input/Feature): Immediate-neighbor relations provide context for class inference.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component relationships</w:t>
            </w:r>
          </w:p>
        </w:tc>
        <w:tc>
          <w:tcPr>
            <w:tcW w:type="dxa" w:w="1906"/>
            <w:vAlign w:val="top"/>
            <w:tcMar>
              <w:top w:w="75" w:type="dxa"/>
              <w:start w:w="75" w:type="dxa"/>
              <w:bottom w:w="75" w:type="dxa"/>
              <w:end w:w="75" w:type="dxa"/>
            </w:tcMar>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AIEXP-01864 (Input/Feature): Spatial relationships are GNN input edges, not predicted outputs.</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relationships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component relationships</w:t>
            </w:r>
          </w:p>
        </w:tc>
        <w:tc>
          <w:tcPr>
            <w:tcW w:type="dxa" w:w="1906"/>
            <w:vAlign w:val="top"/>
            <w:tcMar>
              <w:top w:w="75" w:type="dxa"/>
              <w:start w:w="75" w:type="dxa"/>
              <w:bottom w:w="75" w:type="dxa"/>
              <w:end w:w="75" w:type="dxa"/>
            </w:tcMar>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relationships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Component and assembly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Yes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AIEXP-03250; AIEXP-00536; AIEXP-01907; AIEXP-03279; AIEXP-03217</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AIEXP-01907 (Constraint): Required adjacencies constrain generated layouts.; AIEXP-03174 (Constraint): Component dependencies constrain sequence generation.; AIEXP-03355 (Constraint): Extracted space relationships constrain generation rather than being the generated target.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connection type</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 type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AIEXP-00495</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connection type</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AIEXP-00361 (Input/Feature): Connection variables predict deconstructability.; AIEXP-00533 (Input/Feature): Connection characteristics predict technical reusability.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 type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AIEXP-00361 (Diagnostic Factor): Connection variables are contributors, not diagnosis targets.; AIEXP-00533 (Diagnostic Factor): Feature importance tests connection factors as reuse drivers.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connection type</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 type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AIEXP-00536 (Constraint): Connection logic constrains generated object placement and fabrication.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deconstruction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deconstruction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deconstruction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AIEXP-00361</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deconstruction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AIEXP-00361</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deconstruction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deconstruction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dimensions</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AIEXP-00015; AIEXP-00189; AIEXP-01743</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dimensions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dimensions</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B</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AIEXP-01888</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AIEXP-00139 (Input/Feature): Envelope and shading dimensions are carbon/comfort model inputs.; AIEXP-00450 (Input/Feature): Thickness and density assumptions feed carbon estimation.</w:t>
            </w:r>
          </w:p>
        </w:tc>
        <w:tc>
          <w:tcPr>
            <w:tcW w:type="dxa" w:w="1906"/>
            <w:vAlign w:val="top"/>
            <w:tcMar>
              <w:top w:w="75" w:type="dxa"/>
              <w:start w:w="75" w:type="dxa"/>
              <w:bottom w:w="75" w:type="dxa"/>
              <w:end w:w="75" w:type="dxa"/>
            </w:tcMar>
          </w:tcPr>
          <w:p>
            <w:pPr>
              <w:spacing w:after="30" w:line="240" w:lineRule="auto"/>
            </w:pPr>
            <w:r>
              <w:rPr>
                <w:rFonts w:ascii="Arial" w:hAnsi="Arial"/>
                <w:sz w:val="12"/>
              </w:rPr>
              <w:t>Transferable target/output evidence; no Direct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dimensions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dimensions</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dimensions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B</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AIEXP-01907; AIEXP-03283</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AIEXP-00014 (Constraint): Reclaimed-stock lengths constrain gridshell optimization.; AIEXP-00015 (Constraint): Element length constrains candidate matching.; AIEXP-00536 (Input/Feature): Piece dimensions guide neighborhood matching and placement.; AIEXP-01907 (Design Variable): Room dimensions are varied during layout optimization.; ... (+1)</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Transferable target/output evidence; no Direct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disassembly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AIEXP-00408</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disassembly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disassembly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AIEXP-00495</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disassembly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disassembly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disassembly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Disassembly and deconstruction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economic value</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economic value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economic value</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AIEXP-00023; AIEXP-01789; AIEXP-01821</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AIEXP-01788 (Input/Feature): Material Cost is used as a feature for embodied-carbon prediction.</w:t>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economic value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B</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Yes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AIEXP-01821</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Transferable target/output evidence; no Direct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economic value</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AIEXP-01838 (Criterion): Life-cycle cost is retained as a comparative decision criterion.; AIEXP-03807 (Criterion): Life-cycle cost contributes to component selection.</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economic value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AIEXP-00500 (Criterion): Unit cost is an optimization objective.; AIEXP-03005 (Criterion): Life-cycle cost evaluates building variants.; AIEXP-03246 (Criterion): Deconstruction cost is an optimization objective.; AIEXP-02074 (Criterion): Cost is an optimization criterion.; ... (+5)</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embodied carbon</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AIEXP-00408</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embodied carbon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AIEXP-01811 (Input/Feature): Environmental Impact Parameters serves as input/feature evidence and is not treated as the AI target.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embodied carbon</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AIEXP-00139; AIEXP-00450; AIEXP-01711; AIEXP-02540; AIEXP-02680; AIEXP-00565; AIEXP-01779; AIEXP-01785; ... (+12)</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embodied carbon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Yes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AIEXP-01711; AIEXP-02540; AIEXP-02680; AIEXP-01785; AIEXP-00350; AIEXP-02655; AIEXP-01872; AIEXP-01821; ... (+1)</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embodied carbon</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AIEXP-01838 (Criterion): Embodied-carbon performance contributes to the sustainability objective.; AIEXP-03218 (Criterion): Global-warming and energy indicators evaluate material alternatives.; AIEXP-01796 (Criterion): Embodied carbon is a selection criterion, not the recommended output.</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embodied carbon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AIEXP-02802; AIEXP-02216; AIEXP-01872; AIEXP-03264; AIEXP-03203; AIEXP-03149</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AIEXP-00139 (Criterion): Embodied carbon is an optimization objective.; AIEXP-00500 (Criterion): CO2 emissions are an optimization objective.; AIEXP-02074 (Criterion): Carbon footprint is an objective/criterion.; AIEXP-02074 (Diagnostic Factor): SHAP identifies carbon footprint as a driver of the material ranking; it is not the diagnosis target.; ... (+10)</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expert judgment</w:t>
            </w:r>
          </w:p>
        </w:tc>
        <w:tc>
          <w:tcPr>
            <w:tcW w:type="dxa" w:w="1906"/>
            <w:vAlign w:val="top"/>
            <w:tcMar>
              <w:top w:w="75" w:type="dxa"/>
              <w:start w:w="75" w:type="dxa"/>
              <w:bottom w:w="75" w:type="dxa"/>
              <w:end w:w="75" w:type="dxa"/>
            </w:tcMar>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expert judgment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expert judgment</w:t>
            </w:r>
          </w:p>
        </w:tc>
        <w:tc>
          <w:tcPr>
            <w:tcW w:type="dxa" w:w="1906"/>
            <w:vAlign w:val="top"/>
            <w:tcMar>
              <w:top w:w="75" w:type="dxa"/>
              <w:start w:w="75" w:type="dxa"/>
              <w:bottom w:w="75" w:type="dxa"/>
              <w:end w:w="75" w:type="dxa"/>
            </w:tcMar>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AIEXP-01718 (Input/Feature): Human reviewers may accept or override automated compliance outcomes.</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expert judgment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expert judgment</w:t>
            </w:r>
          </w:p>
        </w:tc>
        <w:tc>
          <w:tcPr>
            <w:tcW w:type="dxa" w:w="1906"/>
            <w:vAlign w:val="top"/>
            <w:tcMar>
              <w:top w:w="75" w:type="dxa"/>
              <w:start w:w="75" w:type="dxa"/>
              <w:bottom w:w="75" w:type="dxa"/>
              <w:end w:w="75" w:type="dxa"/>
            </w:tcMar>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AIEXP-03807 (Input/Feature): Expert and practitioner weights define sustainability priorities.</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expert judgment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flexibility</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flexibility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flexibility</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flexibility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flexibility</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flexibility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future value</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future value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future value</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future value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future value</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future value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geometry</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AIEXP-00015; AIEXP-00183; AIEXP-00471; AIEXP-00499; AIEXP-00536</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B</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AIEXP-01537; AIEXP-00847; AIEXP-01543; AIEXP-00637; AIEXP-01354; AIEXP-00800</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AIEXP-01509 (Input/Feature): Geometric calculations support enrichment of missing IFC class and relation information.; AIEXP-01249 (Input/Feature): Geometric features are model inputs; they are not inferred outputs.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Transferable target/output evidence; no Direct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geometry</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AIEXP-00023 (Input/Feature): Image geometry and bounding boxes are classifier features.; AIEXP-00183 (Input/Feature): BIM element geometry is used to estimate waste.; AIEXP-01779 (Input/Feature): Schematic geometry feeds embodied-carbon prediction.; AIEXP-01875 (Input/Feature): Parametric geometry feeds the surrogate carbon model.; ... (+4)</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AIEXP-03140 (Diagnostic Factor): Geometric variables are tested as waste drivers.; AIEXP-00350 (Diagnostic Factor): SHAP tests the contribution and effect direction of geometric variables.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geometry</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AIEXP-01773 (Input/Feature): Geometry enables missing-connection inference.</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Yes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AIEXP-00014; AIEXP-00261; AIEXP-03238; AIEXP-03250; AIEXP-03298; AIEXP-00536; AIEXP-03172; AIEXP-03166; ... (+14)</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AIEXP-01780 (Design Variable): Window/Volume Variables serves as design variable evidence and is not treated as the AI target.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LCA Data</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AIEXP-01636; AIEXP-01743; AIEXP-01656; AIEXP-01724; AIEXP-01731; AIEXP-01687</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LCA 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AIEXP-01811</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AIEXP-01718 (Input/Feature): Epd/Product Documentation serves as input/feature evidence and is not treated as the AI target.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LCA Data</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AIEXP-01838; AIEXP-01731; AIEXP-02074; AIEXP-01780</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AIEXP-01750 (Input/Feature): LCA database values are retrieved inputs to the assessment.; AIEXP-01711 (Input/Feature): EPD fields are model inputs, not extracted outputs in this workflow.</w:t>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LCA 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Yes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AIEXP-01731; AIEXP-01780</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LCA Data</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AIEXP-01902 (Criterion): Lifecycle carbon is the criterion for material selection.; AIEXP-03218 (Criterion): LCA outputs are criteria, not the recommended target.</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LCA 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AIEXP-03005 (Criterion): LCA impacts evaluate building variants.; AIEXP-03174 (Criterion): Environmental LCA impact is an optimization objective.; AIEXP-03279 (Criterion): LCA results evaluate/rank generated layouts.; AIEXP-03195 (Criterion): LCA indicators evaluate generated facade alternatives.; ... (+3)</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location</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location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location</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location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location</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AIEXP-01773 (Input/Feature): Location constrains stakeholder discovery and matching.</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location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maintainability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maintainability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maintainability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maintainability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maintainability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maintainability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manufacturer information</w:t>
            </w:r>
          </w:p>
        </w:tc>
        <w:tc>
          <w:tcPr>
            <w:tcW w:type="dxa" w:w="1906"/>
            <w:vAlign w:val="top"/>
            <w:tcMar>
              <w:top w:w="75" w:type="dxa"/>
              <w:start w:w="75" w:type="dxa"/>
              <w:bottom w:w="75" w:type="dxa"/>
              <w:end w:w="75" w:type="dxa"/>
            </w:tcMar>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AIEXP-00408; AIEXP-01636; AIEXP-01743; AIEXP-01656</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manufacturer information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manufacturer information</w:t>
            </w:r>
          </w:p>
        </w:tc>
        <w:tc>
          <w:tcPr>
            <w:tcW w:type="dxa" w:w="1906"/>
            <w:vAlign w:val="top"/>
            <w:tcMar>
              <w:top w:w="75" w:type="dxa"/>
              <w:start w:w="75" w:type="dxa"/>
              <w:bottom w:w="75" w:type="dxa"/>
              <w:end w:w="75" w:type="dxa"/>
            </w:tcMar>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manufacturer information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manufacturer information</w:t>
            </w:r>
          </w:p>
        </w:tc>
        <w:tc>
          <w:tcPr>
            <w:tcW w:type="dxa" w:w="1906"/>
            <w:vAlign w:val="top"/>
            <w:tcMar>
              <w:top w:w="75" w:type="dxa"/>
              <w:start w:w="75" w:type="dxa"/>
              <w:bottom w:w="75" w:type="dxa"/>
              <w:end w:w="75" w:type="dxa"/>
            </w:tcMar>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manufacturer information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mass</w:t>
            </w:r>
          </w:p>
        </w:tc>
        <w:tc>
          <w:tcPr>
            <w:tcW w:type="dxa" w:w="1906"/>
            <w:vAlign w:val="top"/>
            <w:tcMar>
              <w:top w:w="75" w:type="dxa"/>
              <w:start w:w="75" w:type="dxa"/>
              <w:bottom w:w="75" w:type="dxa"/>
              <w:end w:w="75" w:type="dxa"/>
            </w:tcMar>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AIEXP-00183</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mass</w:t>
            </w:r>
          </w:p>
        </w:tc>
        <w:tc>
          <w:tcPr>
            <w:tcW w:type="dxa" w:w="1906"/>
            <w:vAlign w:val="top"/>
            <w:tcMar>
              <w:top w:w="75" w:type="dxa"/>
              <w:start w:w="75" w:type="dxa"/>
              <w:bottom w:w="75" w:type="dxa"/>
              <w:end w:w="75" w:type="dxa"/>
            </w:tcMar>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mass</w:t>
            </w:r>
          </w:p>
        </w:tc>
        <w:tc>
          <w:tcPr>
            <w:tcW w:type="dxa" w:w="1906"/>
            <w:vAlign w:val="top"/>
            <w:tcMar>
              <w:top w:w="75" w:type="dxa"/>
              <w:start w:w="75" w:type="dxa"/>
              <w:bottom w:w="75" w:type="dxa"/>
              <w:end w:w="75" w:type="dxa"/>
            </w:tcMar>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passport</w:t>
            </w:r>
          </w:p>
        </w:tc>
        <w:tc>
          <w:tcPr>
            <w:tcW w:type="dxa" w:w="1906"/>
            <w:vAlign w:val="top"/>
            <w:tcMar>
              <w:top w:w="75" w:type="dxa"/>
              <w:start w:w="75" w:type="dxa"/>
              <w:bottom w:w="75" w:type="dxa"/>
              <w:end w:w="75" w:type="dxa"/>
            </w:tcMar>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AIEXP-00015; AIEXP-00216; AIEXP-00497</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passport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passport</w:t>
            </w:r>
          </w:p>
        </w:tc>
        <w:tc>
          <w:tcPr>
            <w:tcW w:type="dxa" w:w="1906"/>
            <w:vAlign w:val="top"/>
            <w:tcMar>
              <w:top w:w="75" w:type="dxa"/>
              <w:start w:w="75" w:type="dxa"/>
              <w:bottom w:w="75" w:type="dxa"/>
              <w:end w:w="75" w:type="dxa"/>
            </w:tcMar>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passport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passport</w:t>
            </w:r>
          </w:p>
        </w:tc>
        <w:tc>
          <w:tcPr>
            <w:tcW w:type="dxa" w:w="1906"/>
            <w:vAlign w:val="top"/>
            <w:tcMar>
              <w:top w:w="75" w:type="dxa"/>
              <w:start w:w="75" w:type="dxa"/>
              <w:bottom w:w="75" w:type="dxa"/>
              <w:end w:w="75" w:type="dxa"/>
            </w:tcMar>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passport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quantity</w:t>
            </w:r>
          </w:p>
        </w:tc>
        <w:tc>
          <w:tcPr>
            <w:tcW w:type="dxa" w:w="1906"/>
            <w:vAlign w:val="top"/>
            <w:tcMar>
              <w:top w:w="75" w:type="dxa"/>
              <w:start w:w="75" w:type="dxa"/>
              <w:bottom w:w="75" w:type="dxa"/>
              <w:end w:w="75" w:type="dxa"/>
            </w:tcMar>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quantity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quantity</w:t>
            </w:r>
          </w:p>
        </w:tc>
        <w:tc>
          <w:tcPr>
            <w:tcW w:type="dxa" w:w="1906"/>
            <w:vAlign w:val="top"/>
            <w:tcMar>
              <w:top w:w="75" w:type="dxa"/>
              <w:start w:w="75" w:type="dxa"/>
              <w:bottom w:w="75" w:type="dxa"/>
              <w:end w:w="75" w:type="dxa"/>
            </w:tcMar>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AIEXP-00110</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AIEXP-01785 (Diagnostic Factor): SHAP identifies concrete/reinforcement quantities as later carbon drivers.; AIEXP-01750 (Input/Feature): Element/material quantities feed the GHG calculation.; AIEXP-01872 (Input/Feature): Material Volumes is an input to carbon prediction, not a predicted output.; AIEXP-01788 (Input/Feature): Primary-Material Consumption is used as a feature for embodied-carbon prediction.</w:t>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quantity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quantity</w:t>
            </w:r>
          </w:p>
        </w:tc>
        <w:tc>
          <w:tcPr>
            <w:tcW w:type="dxa" w:w="1906"/>
            <w:vAlign w:val="top"/>
            <w:tcMar>
              <w:top w:w="75" w:type="dxa"/>
              <w:start w:w="75" w:type="dxa"/>
              <w:bottom w:w="75" w:type="dxa"/>
              <w:end w:w="75" w:type="dxa"/>
            </w:tcMar>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B</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AIEXP-01821</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Transferable target/output evidence; no Direct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quantity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Quantity and mass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AIEXP-03298 (Constraint): Documented reclaimed stock constrains generated variants.; AIEXP-00536 (Constraint): The available stock constrains the generated solution space.; AIEXP-03279 (Criterion): Material quantity is an evaluation input/criterion, not an AI-generated output.; AIEXP-03166 (Design Variable): Material quantities change with design variables and are not the optimization target themselves.; ... (+1)</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toxicity</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AIEXP-01636; AIEXP-01743; AIEXP-01656</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toxicity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toxicity</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AIEXP-00406; AIEXP-00505</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toxicity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toxicity</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toxicity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type</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AIEXP-00023; AIEXP-00126; AIEXP-00216; AIEXP-00261; AIEXP-00406; AIEXP-00408; AIEXP-00431; AIEXP-00450; ... (+3)</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type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Yes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AIEXP-00262; AIEXP-00497; AIEXP-00469; AIEXP-01636; AIEXP-01743; AIEXP-01656; AIEXP-01811; AIEXP-01750; ... (+2)</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type</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AIEXP-00034 (Input/Feature): Wall, roof, and floor types are prediction inputs.; AIEXP-00139 (Input/Feature): Material options are prediction inputs.; AIEXP-00183 (Input/Feature): Element/material class is used to estimate waste.; AIEXP-00450 (Input/Feature): Detected facade material class feeds carbon estimation.; ... (+4)</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type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AIEXP-00350 (Diagnostic Factor): Material/structural choices appear as explanatory features rather than diagnosis targets.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material type</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AIEXP-01838; AIEXP-01636; AIEXP-01743; AIEXP-01902; AIEXP-03048; AIEXP-03195; AIEXP-03218; AIEXP-03807; ... (+1)</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AIEXP-00641 (Input/Feature): Material associations are inputs to salvage reasoning.; AIEXP-01773 (Input/Feature): Material descriptors are inputs to lexical stakeholder matching.</w:t>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type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Yes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AIEXP-00015; AIEXP-00139; AIEXP-01838; AIEXP-03005; AIEXP-01907; AIEXP-02074; AIEXP-03048; AIEXP-03283; ... (+11)</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AIEXP-00261 (Design Variable): Fragment material class is assigned within generated patterns.; AIEXP-00261 (Design Variable): Fragment material class participates in pattern optimization.; AIEXP-03250 (Design Variable): Reused-steel components are assigned in optimization.; AIEXP-00536 (Input/Feature): Material properties accompany scanned piece geometry in the object database.; ... (+7)</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mechanical fastener</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AIEXP-00406</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mechanical fastener</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mechanical fastener</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mechanical fastener</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mechanical fastener</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mechanical fastener</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AIEXP-03174 (Constraint): Fasteners appear as constrained parts in the disassembly graph.</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modularity</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modularity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modularity</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modularity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modularity</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modularity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permanent connection</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permanent connection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permanent connection</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permanent connection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permanent connection</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permanent connection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product passport</w:t>
            </w:r>
          </w:p>
        </w:tc>
        <w:tc>
          <w:tcPr>
            <w:tcW w:type="dxa" w:w="1906"/>
            <w:vAlign w:val="top"/>
            <w:tcMar>
              <w:top w:w="75" w:type="dxa"/>
              <w:start w:w="75" w:type="dxa"/>
              <w:bottom w:w="75" w:type="dxa"/>
              <w:end w:w="75" w:type="dxa"/>
            </w:tcMar>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passport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product passport</w:t>
            </w:r>
          </w:p>
        </w:tc>
        <w:tc>
          <w:tcPr>
            <w:tcW w:type="dxa" w:w="1906"/>
            <w:vAlign w:val="top"/>
            <w:tcMar>
              <w:top w:w="75" w:type="dxa"/>
              <w:start w:w="75" w:type="dxa"/>
              <w:bottom w:w="75" w:type="dxa"/>
              <w:end w:w="75" w:type="dxa"/>
            </w:tcMar>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passport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product passport</w:t>
            </w:r>
          </w:p>
        </w:tc>
        <w:tc>
          <w:tcPr>
            <w:tcW w:type="dxa" w:w="1906"/>
            <w:vAlign w:val="top"/>
            <w:tcMar>
              <w:top w:w="75" w:type="dxa"/>
              <w:start w:w="75" w:type="dxa"/>
              <w:bottom w:w="75" w:type="dxa"/>
              <w:end w:w="75" w:type="dxa"/>
            </w:tcMar>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passport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Product and provenance metadata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recovery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AIEXP-00408; AIEXP-01724</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recovery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recovery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recovery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recovery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AIEXP-00641</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AIEXP-01838 (Criterion): Circularity-focused weighting promotes configurations with improved recovery performance.</w:t>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recovery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AIEXP-03246 (Criterion): Environmental recovery is an optimization objective.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recycled content</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AIEXP-00408; AIEXP-01636; AIEXP-01724</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recycled content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recycled content</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AIEXP-02680 (Input/Feature): Waste-glass content is an input feature, not the predicted target.; AIEXP-02802 (Input/Feature): Waste content is an input to the strength model, not itself predicted.</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recycled content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recycled content</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recycled content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AIEXP-00500; AIEXP-02802</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AIEXP-02074 (Design Variable): PPO adjusts recycled-content/material formulations.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recycling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AIEXP-00408; AIEXP-01636</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recycling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recycling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AIEXP-00023</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recycling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recycling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AIEXP-00641</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recycling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AIEXP-02074 (Criterion): Recyclability is an evaluation criterion.; AIEXP-03048 (Criterion): Recyclability is an evaluation criterion; it is not the recommended output.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renewable content</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renewable content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renewable content</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renewable content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renewable content</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renewable content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AIEXP-02216</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repairability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repairability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repairability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repairability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repairability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repairability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replaceability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replaceability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replaceability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replaceability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replaceability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replaceability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reuse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AIEXP-00408</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reuse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AIEXP-00023; AIEXP-00262; AIEXP-00533; AIEXP-01859; AIEXP-02103; AIEXP-01718</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AIEXP-00533; AIEXP-01718</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reuse potential</w:t>
            </w:r>
          </w:p>
        </w:tc>
        <w:tc>
          <w:tcPr>
            <w:tcW w:type="dxa" w:w="1906"/>
            <w:vAlign w:val="top"/>
            <w:tcMar>
              <w:top w:w="75" w:type="dxa"/>
              <w:start w:w="75" w:type="dxa"/>
              <w:bottom w:w="75" w:type="dxa"/>
              <w:end w:w="75" w:type="dxa"/>
            </w:tcMar>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AIEXP-00641</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potential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Reuse, recycling, and recovery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AIEXP-03238 (Criterion): Reuse feasibility helps select generated rubble configurations.; AIEXP-03298 (Criterion): Stock utilization/reuse rate is an optimization objective.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reversible connection</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reversible connection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reversible connection</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reversible connection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reversible connection</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reversible connection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AIEXP-00536 (Criterion): Reversibility is a stated joining objective rather than an AI-generated target.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scenario assumptions</w:t>
            </w:r>
          </w:p>
        </w:tc>
        <w:tc>
          <w:tcPr>
            <w:tcW w:type="dxa" w:w="1906"/>
            <w:vAlign w:val="top"/>
            <w:tcMar>
              <w:top w:w="75" w:type="dxa"/>
              <w:start w:w="75" w:type="dxa"/>
              <w:bottom w:w="75" w:type="dxa"/>
              <w:end w:w="75" w:type="dxa"/>
            </w:tcMar>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scenario assumptions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AIEXP-01780 (Input/Feature): Climate Scenario serves as input/feature evidence and is not treated as the AI target.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scenario assumptions</w:t>
            </w:r>
          </w:p>
        </w:tc>
        <w:tc>
          <w:tcPr>
            <w:tcW w:type="dxa" w:w="1906"/>
            <w:vAlign w:val="top"/>
            <w:tcMar>
              <w:top w:w="75" w:type="dxa"/>
              <w:start w:w="75" w:type="dxa"/>
              <w:bottom w:w="75" w:type="dxa"/>
              <w:end w:w="75" w:type="dxa"/>
            </w:tcMar>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scenario assumptions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scenario assumptions</w:t>
            </w:r>
          </w:p>
        </w:tc>
        <w:tc>
          <w:tcPr>
            <w:tcW w:type="dxa" w:w="1906"/>
            <w:vAlign w:val="top"/>
            <w:tcMar>
              <w:top w:w="75" w:type="dxa"/>
              <w:start w:w="75" w:type="dxa"/>
              <w:bottom w:w="75" w:type="dxa"/>
              <w:end w:w="75" w:type="dxa"/>
            </w:tcMar>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scenario assumptions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Scenario and expert inputs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AIEXP-03172 (Input/Feature): Future-living scenarios define resilience-sensitive rooms used in evaluation.; AIEXP-03264 (Criterion): Electricity Mix Scenario serves as criterion evidence and is not treated as the AI target.; AIEXP-03203 (Design Variable): Refurbishment Scenarios serves as design variable evidence and is not treated as the AI target.; AIEXP-01718 (Criterion): Future Reuse Conditions serves as criterion evidence and is not treated as the AI target.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separability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separability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separability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separability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separability</w:t>
            </w:r>
          </w:p>
        </w:tc>
        <w:tc>
          <w:tcPr>
            <w:tcW w:type="dxa" w:w="1906"/>
            <w:vAlign w:val="top"/>
            <w:tcMar>
              <w:top w:w="75" w:type="dxa"/>
              <w:start w:w="75" w:type="dxa"/>
              <w:bottom w:w="75" w:type="dxa"/>
              <w:end w:w="75" w:type="dxa"/>
            </w:tcMar>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separability</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Connections and interfaces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service life</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AIEXP-00408; AIEXP-01636</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life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service life</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AIEXP-00262</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life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service life</w:t>
            </w:r>
          </w:p>
        </w:tc>
        <w:tc>
          <w:tcPr>
            <w:tcW w:type="dxa" w:w="1906"/>
            <w:vAlign w:val="top"/>
            <w:tcMar>
              <w:top w:w="75" w:type="dxa"/>
              <w:start w:w="75" w:type="dxa"/>
              <w:bottom w:w="75" w:type="dxa"/>
              <w:end w:w="75" w:type="dxa"/>
            </w:tcMar>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life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Service, maintenance, and replacement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AIEXP-02655 (Diagnostic Factor): Standardization is diagnosed as a driver of carbon, not itself diagnosed.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Design adaptability and standardization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Yes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AIEXP-03166</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supply-chain information</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AIEXP-00641; AIEXP-01773</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supply-chain information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AIEXP-00641</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supply-chain information</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supply-chain information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supply-chain information</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AIEXP-01773</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AIEXP-00641 (Criterion): Policy and facility constraints determine disposition recommendations.</w:t>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supply-chain information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take-back information</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AIEXP-01773</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take-back information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take-back information</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take-back information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take-back information</w:t>
            </w:r>
          </w:p>
        </w:tc>
        <w:tc>
          <w:tcPr>
            <w:tcW w:type="dxa" w:w="1906"/>
            <w:vAlign w:val="top"/>
            <w:tcMar>
              <w:top w:w="75" w:type="dxa"/>
              <w:start w:w="75" w:type="dxa"/>
              <w:bottom w:w="75" w:type="dxa"/>
              <w:end w:w="75" w:type="dxa"/>
            </w:tcMar>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take-back information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Supply, take-back, and market conditions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transport</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AIEXP-00408</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transport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transport</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C</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AIEXP-01872 (Input/Feature): Transportation is an input to carbon prediction, not a predicted output.</w:t>
            </w:r>
          </w:p>
        </w:tc>
        <w:tc>
          <w:tcPr>
            <w:tcW w:type="dxa" w:w="1906"/>
            <w:vAlign w:val="top"/>
            <w:tcMar>
              <w:top w:w="75" w:type="dxa"/>
              <w:start w:w="75" w:type="dxa"/>
              <w:bottom w:w="75" w:type="dxa"/>
              <w:end w:w="75" w:type="dxa"/>
            </w:tcMar>
          </w:tcPr>
          <w:p>
            <w:pPr>
              <w:spacing w:after="30" w:line="240" w:lineRule="auto"/>
            </w:pPr>
            <w:r>
              <w:rPr>
                <w:rFonts w:ascii="Arial" w:hAnsi="Arial"/>
                <w:sz w:val="12"/>
              </w:rPr>
              <w:t>Same-attribute supporting role in the same function; no target/output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transport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transport</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B</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AIEXP-01821</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Transferable target/output evidence; no Direct row</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transport</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virgin material</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AIEXP-01636</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virgin material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virgin material</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virgin material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virgin material</w:t>
            </w:r>
          </w:p>
        </w:tc>
        <w:tc>
          <w:tcPr>
            <w:tcW w:type="dxa" w:w="1906"/>
            <w:vAlign w:val="top"/>
            <w:tcMar>
              <w:top w:w="75" w:type="dxa"/>
              <w:start w:w="75" w:type="dxa"/>
              <w:bottom w:w="75" w:type="dxa"/>
              <w:end w:w="75" w:type="dxa"/>
            </w:tcMar>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virgin material</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Material identity and composition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volume</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AIEXP-00183; AIEXP-00499</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volume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volume</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AIEXP-00246; AIEXP-01871</w:t>
            </w:r>
          </w:p>
        </w:tc>
        <w:tc>
          <w:tcPr>
            <w:tcW w:type="dxa" w:w="1906"/>
            <w:vAlign w:val="top"/>
            <w:tcMar>
              <w:top w:w="75" w:type="dxa"/>
              <w:start w:w="75" w:type="dxa"/>
              <w:bottom w:w="75" w:type="dxa"/>
              <w:end w:w="75" w:type="dxa"/>
            </w:tcMar>
          </w:tcPr>
          <w:p>
            <w:pPr>
              <w:spacing w:after="30" w:line="240" w:lineRule="auto"/>
            </w:pPr>
            <w:r>
              <w:rPr>
                <w:rFonts w:ascii="Arial" w:hAnsi="Arial"/>
                <w:sz w:val="12"/>
              </w:rPr>
              <w:t>AIEXP-02655 (Input/Feature): Component volume is an input feature, not the predicted target.</w:t>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volume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volume</w:t>
            </w:r>
          </w:p>
        </w:tc>
        <w:tc>
          <w:tcPr>
            <w:tcW w:type="dxa" w:w="1906"/>
            <w:vAlign w:val="top"/>
            <w:tcMar>
              <w:top w:w="75" w:type="dxa"/>
              <w:start w:w="75" w:type="dxa"/>
              <w:bottom w:w="75" w:type="dxa"/>
              <w:end w:w="75" w:type="dxa"/>
            </w:tcMar>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volume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Geometry and spatial definition</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waste</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Extract/Retrieve</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AIEXP-00038; AIEXP-00408</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waste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Infer/Complete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waste</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Predict/Assess</w:t>
            </w:r>
          </w:p>
        </w:tc>
        <w:tc>
          <w:tcPr>
            <w:tcW w:type="dxa" w:w="1906"/>
            <w:vAlign w:val="top"/>
            <w:tcMar>
              <w:top w:w="75" w:type="dxa"/>
              <w:start w:w="75" w:type="dxa"/>
              <w:bottom w:w="75" w:type="dxa"/>
              <w:end w:w="75" w:type="dxa"/>
            </w:tcMar>
          </w:tcPr>
          <w:p>
            <w:pPr>
              <w:spacing w:after="30" w:line="240" w:lineRule="auto"/>
            </w:pPr>
            <w:r>
              <w:rPr>
                <w:rFonts w:ascii="Arial" w:hAnsi="Arial"/>
                <w:sz w:val="12"/>
              </w:rPr>
              <w:t>A</w:t>
            </w:r>
          </w:p>
        </w:tc>
        <w:tc>
          <w:tcPr>
            <w:tcW w:type="dxa" w:w="1906"/>
            <w:vAlign w:val="top"/>
            <w:tcMar>
              <w:top w:w="75" w:type="dxa"/>
              <w:start w:w="75" w:type="dxa"/>
              <w:bottom w:w="75" w:type="dxa"/>
              <w:end w:w="75" w:type="dxa"/>
            </w:tcMar>
          </w:tcPr>
          <w:p>
            <w:pPr>
              <w:spacing w:after="30" w:line="240" w:lineRule="auto"/>
            </w:pPr>
            <w:r>
              <w:rPr>
                <w:rFonts w:ascii="Arial" w:hAnsi="Arial"/>
                <w:sz w:val="12"/>
              </w:rPr>
              <w:t>Yes</w:t>
            </w:r>
          </w:p>
        </w:tc>
        <w:tc>
          <w:tcPr>
            <w:tcW w:type="dxa" w:w="1906"/>
            <w:vAlign w:val="top"/>
            <w:tcMar>
              <w:top w:w="75" w:type="dxa"/>
              <w:start w:w="75" w:type="dxa"/>
              <w:bottom w:w="75" w:type="dxa"/>
              <w:end w:w="75" w:type="dxa"/>
            </w:tcMar>
          </w:tcPr>
          <w:p>
            <w:pPr>
              <w:spacing w:after="30" w:line="240" w:lineRule="auto"/>
            </w:pPr>
            <w:r>
              <w:rPr>
                <w:rFonts w:ascii="Arial" w:hAnsi="Arial"/>
                <w:sz w:val="12"/>
              </w:rPr>
              <w:t>AIEXP-00034; AIEXP-00069; AIEXP-00183; AIEXP-00246; AIEXP-00498; AIEXP-02243; AIEXP-03140; AIEXP-02074</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waste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Diagnose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Yes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AIEXP-03140</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Direct target/output evidence</w:t>
            </w:r>
          </w:p>
        </w:tc>
      </w:tr>
      <w:tr>
        <w:trPr>
          <w:cantSplit/>
        </w:trPr>
        <w:tc>
          <w:tcPr>
            <w:tcW w:type="dxa" w:w="1906"/>
            <w:vAlign w:val="top"/>
            <w:tcMar>
              <w:top w:w="75" w:type="dxa"/>
              <w:start w:w="75" w:type="dxa"/>
              <w:bottom w:w="75" w:type="dxa"/>
              <w:end w:w="75" w:type="dxa"/>
            </w:tcMar>
          </w:tcPr>
          <w:p>
            <w:pPr>
              <w:spacing w:after="30" w:line="240" w:lineRule="auto"/>
            </w:pPr>
            <w:r>
              <w:rPr>
                <w:rFonts w:ascii="Arial" w:hAnsi="Arial"/>
                <w:sz w:val="12"/>
              </w:rPr>
              <w:t>waste</w:t>
            </w:r>
          </w:p>
        </w:tc>
        <w:tc>
          <w:tcPr>
            <w:tcW w:type="dxa" w:w="1906"/>
            <w:vAlign w:val="top"/>
            <w:tcMar>
              <w:top w:w="75" w:type="dxa"/>
              <w:start w:w="75" w:type="dxa"/>
              <w:bottom w:w="75" w:type="dxa"/>
              <w:end w:w="75" w:type="dxa"/>
            </w:tcMar>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tcPr>
          <w:p>
            <w:pPr>
              <w:spacing w:after="30" w:line="240" w:lineRule="auto"/>
            </w:pPr>
            <w:r>
              <w:rPr>
                <w:rFonts w:ascii="Arial" w:hAnsi="Arial"/>
                <w:sz w:val="12"/>
              </w:rPr>
              <w:t>Recommend</w:t>
            </w:r>
          </w:p>
        </w:tc>
        <w:tc>
          <w:tcPr>
            <w:tcW w:type="dxa" w:w="1906"/>
            <w:vAlign w:val="top"/>
            <w:tcMar>
              <w:top w:w="75" w:type="dxa"/>
              <w:start w:w="75" w:type="dxa"/>
              <w:bottom w:w="75" w:type="dxa"/>
              <w:end w:w="75" w:type="dxa"/>
            </w:tcMar>
          </w:tcPr>
          <w:p>
            <w:pPr>
              <w:spacing w:after="30" w:line="240" w:lineRule="auto"/>
            </w:pPr>
            <w:r>
              <w:rPr>
                <w:rFonts w:ascii="Arial" w:hAnsi="Arial"/>
                <w:sz w:val="12"/>
              </w:rPr>
              <w:t>D</w:t>
            </w:r>
          </w:p>
        </w:tc>
        <w:tc>
          <w:tcPr>
            <w:tcW w:type="dxa" w:w="1906"/>
            <w:vAlign w:val="top"/>
            <w:tcMar>
              <w:top w:w="75" w:type="dxa"/>
              <w:start w:w="75" w:type="dxa"/>
              <w:bottom w:w="75" w:type="dxa"/>
              <w:end w:w="75" w:type="dxa"/>
            </w:tcMar>
          </w:tcPr>
          <w:p>
            <w:pPr>
              <w:spacing w:after="30" w:line="240" w:lineRule="auto"/>
            </w:pPr>
            <w:r>
              <w:rPr>
                <w:rFonts w:ascii="Arial" w:hAnsi="Arial"/>
                <w:sz w:val="12"/>
              </w:rPr>
              <w:t>No</w:t>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r>
          </w:p>
        </w:tc>
        <w:tc>
          <w:tcPr>
            <w:tcW w:type="dxa" w:w="1906"/>
            <w:vAlign w:val="top"/>
            <w:tcMar>
              <w:top w:w="75" w:type="dxa"/>
              <w:start w:w="75" w:type="dxa"/>
              <w:bottom w:w="75" w:type="dxa"/>
              <w:end w:w="75" w:type="dxa"/>
            </w:tcMar>
          </w:tcPr>
          <w:p>
            <w:pPr>
              <w:spacing w:after="30" w:line="240" w:lineRule="auto"/>
            </w:pPr>
            <w:r>
              <w:rPr>
                <w:rFonts w:ascii="Arial" w:hAnsi="Arial"/>
                <w:sz w:val="12"/>
              </w:rPr>
              <w:t>No target/output evidence or qualifying same-function supporting role</w:t>
            </w:r>
          </w:p>
        </w:tc>
      </w:tr>
      <w:tr>
        <w:trPr>
          <w:cantSplit/>
        </w:trPr>
        <w:tc>
          <w:tcPr>
            <w:tcW w:type="dxa" w:w="1906"/>
            <w:vAlign w:val="top"/>
            <w:tcMar>
              <w:top w:w="75" w:type="dxa"/>
              <w:start w:w="75" w:type="dxa"/>
              <w:bottom w:w="75" w:type="dxa"/>
              <w:end w:w="75" w:type="dxa"/>
            </w:tcMar>
            <w:shd w:fill="EDF3F5"/>
          </w:tcPr>
          <w:p>
            <w:pPr>
              <w:spacing w:after="30" w:line="240" w:lineRule="auto"/>
            </w:pPr>
            <w:r>
              <w:rPr>
                <w:rFonts w:ascii="Arial" w:hAnsi="Arial"/>
                <w:sz w:val="12"/>
              </w:rPr>
              <w:t>waste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Environmental and resource flows</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Generate plus Rank/Optimize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C</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No</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AIEXP-00536 (Criterion): Material waste is one optimization criterion.; AIEXP-03174 (Criterion): Discarded parts contribute to the environmental objective.</w:t>
            </w:r>
          </w:p>
        </w:tc>
        <w:tc>
          <w:tcPr>
            <w:tcW w:type="dxa" w:w="1906"/>
            <w:vAlign w:val="top"/>
            <w:tcMar>
              <w:top w:w="75" w:type="dxa"/>
              <w:start w:w="75" w:type="dxa"/>
              <w:bottom w:w="75" w:type="dxa"/>
              <w:end w:w="75" w:type="dxa"/>
            </w:tcMar>
            <w:shd w:fill="EDF3F5"/>
          </w:tcPr>
          <w:p>
            <w:pPr>
              <w:spacing w:after="30" w:line="240" w:lineRule="auto"/>
            </w:pPr>
            <w:r>
              <w:rPr>
                <w:rFonts w:ascii="Arial" w:hAnsi="Arial"/>
                <w:sz w:val="12"/>
              </w:rPr>
              <w:t>Same-attribute supporting role in the same function; no target/output row</w:t>
            </w:r>
          </w:p>
        </w:tc>
      </w:tr>
    </w:tbl>
    <w:p/>
    <w:p>
      <w:pPr>
        <w:sectPr>
          <w:footerReference w:type="default" r:id="rId10"/>
          <w:pgSz w:w="16838" w:h="11906" w:orient="landscape"/>
          <w:pgMar w:top="794" w:right="794" w:bottom="794" w:left="794" w:header="720" w:footer="720" w:gutter="0"/>
          <w:cols w:space="720"/>
          <w:docGrid w:linePitch="360"/>
        </w:sectPr>
      </w:pPr>
    </w:p>
    <w:p>
      <w:pPr>
        <w:pStyle w:val="Heading1"/>
      </w:pPr>
      <w:r>
        <w:t>Supplementary figures</w:t>
      </w:r>
    </w:p>
    <w:p>
      <w:pPr>
        <w:jc w:val="center"/>
      </w:pPr>
      <w:r>
        <w:drawing>
          <wp:inline xmlns:a="http://schemas.openxmlformats.org/drawingml/2006/main" xmlns:pic="http://schemas.openxmlformats.org/drawingml/2006/picture">
            <wp:extent cx="5806440" cy="7347786"/>
            <wp:docPr id="1" name="Picture 1"/>
            <wp:cNvGraphicFramePr>
              <a:graphicFrameLocks noChangeAspect="1"/>
            </wp:cNvGraphicFramePr>
            <a:graphic>
              <a:graphicData uri="http://schemas.openxmlformats.org/drawingml/2006/picture">
                <pic:pic>
                  <pic:nvPicPr>
                    <pic:cNvPr id="0" name="Figure_S1_Information_Source_Distribution.png"/>
                    <pic:cNvPicPr/>
                  </pic:nvPicPr>
                  <pic:blipFill>
                    <a:blip r:embed="rId12"/>
                    <a:stretch>
                      <a:fillRect/>
                    </a:stretch>
                  </pic:blipFill>
                  <pic:spPr>
                    <a:xfrm>
                      <a:off x="0" y="0"/>
                      <a:ext cx="5806440" cy="7347786"/>
                    </a:xfrm>
                    <a:prstGeom prst="rect"/>
                  </pic:spPr>
                </pic:pic>
              </a:graphicData>
            </a:graphic>
          </wp:inline>
        </w:drawing>
      </w:r>
    </w:p>
    <w:p>
      <w:pPr>
        <w:pStyle w:val="Caption"/>
        <w:keepNext w:val="0"/>
      </w:pPr>
      <w:r>
        <w:t>Figure S1. Information-source distribution across all 48 normalized circularity attributes. Cell values are counts of unique primary-review records with each locked broad source-group code. Source groups are non-exclusive. Not Reported includes relationships without a recorded broad source-group code; source categories were not inferred from drawing-extractability fields.</w:t>
      </w:r>
    </w:p>
    <w:p>
      <w:pPr>
        <w:pageBreakBefore/>
        <w:jc w:val="center"/>
      </w:pPr>
      <w:r>
        <w:drawing>
          <wp:inline xmlns:a="http://schemas.openxmlformats.org/drawingml/2006/main" xmlns:pic="http://schemas.openxmlformats.org/drawingml/2006/picture">
            <wp:extent cx="5806440" cy="5578736"/>
            <wp:docPr id="2" name="Picture 2"/>
            <wp:cNvGraphicFramePr>
              <a:graphicFrameLocks noChangeAspect="1"/>
            </wp:cNvGraphicFramePr>
            <a:graphic>
              <a:graphicData uri="http://schemas.openxmlformats.org/drawingml/2006/picture">
                <pic:pic>
                  <pic:nvPicPr>
                    <pic:cNvPr id="0" name="Figure_S2_Complete_48_Attribute_Vocabulary.png"/>
                    <pic:cNvPicPr/>
                  </pic:nvPicPr>
                  <pic:blipFill>
                    <a:blip r:embed="rId13"/>
                    <a:stretch>
                      <a:fillRect/>
                    </a:stretch>
                  </pic:blipFill>
                  <pic:spPr>
                    <a:xfrm>
                      <a:off x="0" y="0"/>
                      <a:ext cx="5806440" cy="5578736"/>
                    </a:xfrm>
                    <a:prstGeom prst="rect"/>
                  </pic:spPr>
                </pic:pic>
              </a:graphicData>
            </a:graphic>
          </wp:inline>
        </w:drawing>
      </w:r>
    </w:p>
    <w:p>
      <w:pPr>
        <w:pStyle w:val="Caption"/>
        <w:keepNext w:val="0"/>
      </w:pPr>
      <w:r>
        <w:t>Figure S2. Complete normalized 48-attribute circularity-information vocabulary by navigation family. Frequency is the number of unique circularity papers requiring the attribute. Readiness indicates the final source-grounded Core/non-Core classification.</w:t>
      </w:r>
    </w:p>
    <w:p>
      <w:pPr>
        <w:pageBreakBefore/>
        <w:jc w:val="center"/>
      </w:pPr>
      <w:r>
        <w:drawing>
          <wp:inline xmlns:a="http://schemas.openxmlformats.org/drawingml/2006/main" xmlns:pic="http://schemas.openxmlformats.org/drawingml/2006/picture">
            <wp:extent cx="5806440" cy="8251257"/>
            <wp:docPr id="3" name="Picture 3"/>
            <wp:cNvGraphicFramePr>
              <a:graphicFrameLocks noChangeAspect="1"/>
            </wp:cNvGraphicFramePr>
            <a:graphic>
              <a:graphicData uri="http://schemas.openxmlformats.org/drawingml/2006/picture">
                <pic:pic>
                  <pic:nvPicPr>
                    <pic:cNvPr id="0" name="Figure_S3_Complete_48x6_AI_Capability_Matrix.png"/>
                    <pic:cNvPicPr/>
                  </pic:nvPicPr>
                  <pic:blipFill>
                    <a:blip r:embed="rId14"/>
                    <a:stretch>
                      <a:fillRect/>
                    </a:stretch>
                  </pic:blipFill>
                  <pic:spPr>
                    <a:xfrm>
                      <a:off x="0" y="0"/>
                      <a:ext cx="5806440" cy="8251257"/>
                    </a:xfrm>
                    <a:prstGeom prst="rect"/>
                  </pic:spPr>
                </pic:pic>
              </a:graphicData>
            </a:graphic>
          </wp:inline>
        </w:drawing>
      </w:r>
    </w:p>
    <w:p>
      <w:pPr>
        <w:pStyle w:val="Caption"/>
        <w:keepNext w:val="0"/>
      </w:pPr>
      <w:r>
        <w:t>Figure S3. Complete 48 x 6 AI capability matrix. A denotes direct circularity target/output evidence, B transferable building-design target/output evidence, C a verified supporting-role plausibility basis, and D no qualifying evidence in the locked corpus. Early-design markers describe study context and do not alter information-readiness classification.</w:t>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0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ry">
    <w:name w:val="Query"/>
    <w:pPr>
      <w:spacing w:before="60" w:after="120"/>
      <w:ind w:left="283" w:right="283"/>
    </w:pPr>
    <w:rPr>
      <w:rFonts w:ascii="Consolas" w:hAnsi="Consolas"/>
      <w:color w:val="1E1E1E"/>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Circularity information readiness and demonstrated AI capability in architectural design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