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center"/>
        <w:tblLook w:val="04A0" w:firstRow="1" w:lastRow="0" w:firstColumn="1" w:lastColumn="0" w:noHBand="0" w:noVBand="1"/>
      </w:tblPr>
      <w:tblGrid>
        <w:gridCol w:w="4675"/>
        <w:gridCol w:w="4675"/>
      </w:tblGrid>
      <w:tr w:rsidR="00E63686" w14:paraId="2C3A3D7A" w14:textId="77777777" w:rsidTr="002034E4">
        <w:trPr>
          <w:jc w:val="center"/>
        </w:trPr>
        <w:tc>
          <w:tcPr>
            <w:tcW w:w="4675" w:type="dxa"/>
            <w:vAlign w:val="center"/>
          </w:tcPr>
          <w:p w14:paraId="5E580CD5" w14:textId="5F04F94D" w:rsidR="00E63686" w:rsidRPr="002034E4" w:rsidRDefault="00E63686" w:rsidP="002034E4">
            <w:pPr>
              <w:spacing w:line="360" w:lineRule="auto"/>
              <w:jc w:val="center"/>
              <w:rPr>
                <w:rFonts w:asciiTheme="majorBidi" w:eastAsia="Times New Roman" w:hAnsiTheme="majorBidi" w:cstheme="majorBidi"/>
                <w:b/>
                <w:bCs/>
                <w:sz w:val="24"/>
                <w:szCs w:val="24"/>
              </w:rPr>
            </w:pPr>
            <w:r w:rsidRPr="002034E4">
              <w:rPr>
                <w:rFonts w:asciiTheme="majorBidi" w:eastAsia="Times New Roman" w:hAnsiTheme="majorBidi" w:cstheme="majorBidi"/>
                <w:b/>
                <w:bCs/>
                <w:sz w:val="24"/>
                <w:szCs w:val="24"/>
              </w:rPr>
              <w:t>Reviewer Comment/question/suggestion</w:t>
            </w:r>
          </w:p>
        </w:tc>
        <w:tc>
          <w:tcPr>
            <w:tcW w:w="4675" w:type="dxa"/>
            <w:vAlign w:val="center"/>
          </w:tcPr>
          <w:p w14:paraId="72F1403C" w14:textId="77777777" w:rsidR="00E63686" w:rsidRPr="002034E4" w:rsidRDefault="00E63686" w:rsidP="002034E4">
            <w:pPr>
              <w:spacing w:line="360" w:lineRule="auto"/>
              <w:jc w:val="center"/>
              <w:rPr>
                <w:rFonts w:asciiTheme="majorBidi" w:hAnsiTheme="majorBidi" w:cstheme="majorBidi"/>
                <w:b/>
                <w:bCs/>
                <w:sz w:val="24"/>
                <w:szCs w:val="24"/>
              </w:rPr>
            </w:pPr>
            <w:r w:rsidRPr="002034E4">
              <w:rPr>
                <w:rFonts w:asciiTheme="majorBidi" w:hAnsiTheme="majorBidi" w:cstheme="majorBidi"/>
                <w:b/>
                <w:bCs/>
                <w:sz w:val="24"/>
                <w:szCs w:val="24"/>
              </w:rPr>
              <w:t>Author’s Response</w:t>
            </w:r>
          </w:p>
        </w:tc>
      </w:tr>
      <w:tr w:rsidR="00E63686" w14:paraId="3E0386A9" w14:textId="77777777" w:rsidTr="002034E4">
        <w:trPr>
          <w:jc w:val="center"/>
        </w:trPr>
        <w:tc>
          <w:tcPr>
            <w:tcW w:w="4675" w:type="dxa"/>
            <w:vAlign w:val="center"/>
          </w:tcPr>
          <w:p w14:paraId="51553894" w14:textId="77777777" w:rsidR="00967965" w:rsidRPr="002034E4" w:rsidRDefault="00967965"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In line 64</w:t>
            </w:r>
          </w:p>
          <w:p w14:paraId="4D6855A4" w14:textId="77777777" w:rsidR="00E63686" w:rsidRPr="002034E4" w:rsidRDefault="00E63686" w:rsidP="002034E4">
            <w:pPr>
              <w:jc w:val="center"/>
              <w:rPr>
                <w:rFonts w:asciiTheme="majorBidi" w:eastAsia="Times New Roman" w:hAnsiTheme="majorBidi" w:cstheme="majorBidi"/>
                <w:color w:val="FF0000"/>
                <w:sz w:val="24"/>
                <w:szCs w:val="24"/>
              </w:rPr>
            </w:pPr>
            <w:proofErr w:type="spellStart"/>
            <w:r w:rsidRPr="002034E4">
              <w:rPr>
                <w:rFonts w:asciiTheme="majorBidi" w:eastAsia="Times New Roman" w:hAnsiTheme="majorBidi" w:cstheme="majorBidi"/>
                <w:color w:val="FF0000"/>
                <w:sz w:val="24"/>
                <w:szCs w:val="24"/>
              </w:rPr>
              <w:t>Darvishi</w:t>
            </w:r>
            <w:proofErr w:type="spellEnd"/>
            <w:r w:rsidRPr="002034E4">
              <w:rPr>
                <w:rFonts w:asciiTheme="majorBidi" w:eastAsia="Times New Roman" w:hAnsiTheme="majorBidi" w:cstheme="majorBidi"/>
                <w:color w:val="FF0000"/>
                <w:sz w:val="24"/>
                <w:szCs w:val="24"/>
              </w:rPr>
              <w:t xml:space="preserve"> </w:t>
            </w:r>
            <w:proofErr w:type="spellStart"/>
            <w:r w:rsidRPr="002034E4">
              <w:rPr>
                <w:rFonts w:asciiTheme="majorBidi" w:eastAsia="Times New Roman" w:hAnsiTheme="majorBidi" w:cstheme="majorBidi"/>
                <w:color w:val="FF0000"/>
                <w:sz w:val="24"/>
                <w:szCs w:val="24"/>
              </w:rPr>
              <w:t>Boloorani</w:t>
            </w:r>
            <w:proofErr w:type="spellEnd"/>
            <w:r w:rsidRPr="002034E4">
              <w:rPr>
                <w:rFonts w:asciiTheme="majorBidi" w:eastAsia="Times New Roman" w:hAnsiTheme="majorBidi" w:cstheme="majorBidi"/>
                <w:color w:val="FF0000"/>
                <w:sz w:val="24"/>
                <w:szCs w:val="24"/>
              </w:rPr>
              <w:t xml:space="preserve"> et al., 2023a </w:t>
            </w:r>
            <w:proofErr w:type="gramStart"/>
            <w:r w:rsidRPr="002034E4">
              <w:rPr>
                <w:rFonts w:asciiTheme="majorBidi" w:eastAsia="Times New Roman" w:hAnsiTheme="majorBidi" w:cstheme="majorBidi"/>
                <w:color w:val="FF0000"/>
                <w:sz w:val="24"/>
                <w:szCs w:val="24"/>
              </w:rPr>
              <w:t>The</w:t>
            </w:r>
            <w:proofErr w:type="gramEnd"/>
            <w:r w:rsidRPr="002034E4">
              <w:rPr>
                <w:rFonts w:asciiTheme="majorBidi" w:eastAsia="Times New Roman" w:hAnsiTheme="majorBidi" w:cstheme="majorBidi"/>
                <w:color w:val="FF0000"/>
                <w:sz w:val="24"/>
                <w:szCs w:val="24"/>
              </w:rPr>
              <w:t xml:space="preserve"> order of the references needs to be corrected. For example, reference 2023a should be mentioned before reference 2023c to maintain proper numerical/alphabetical sequencing.</w:t>
            </w:r>
          </w:p>
          <w:p w14:paraId="36AA402F" w14:textId="77777777" w:rsidR="00E63686" w:rsidRPr="002034E4" w:rsidRDefault="00E63686" w:rsidP="002034E4">
            <w:pPr>
              <w:jc w:val="center"/>
              <w:rPr>
                <w:rFonts w:asciiTheme="majorBidi" w:hAnsiTheme="majorBidi" w:cstheme="majorBidi"/>
                <w:color w:val="FF0000"/>
                <w:sz w:val="24"/>
                <w:szCs w:val="24"/>
              </w:rPr>
            </w:pPr>
          </w:p>
        </w:tc>
        <w:tc>
          <w:tcPr>
            <w:tcW w:w="4675" w:type="dxa"/>
            <w:vAlign w:val="center"/>
          </w:tcPr>
          <w:p w14:paraId="3C6D091E" w14:textId="1DF3D3AF" w:rsidR="00E63686" w:rsidRPr="002034E4" w:rsidRDefault="009A4AF4"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 xml:space="preserve">We thank the reviewer for catching this sequencing error. We have thoroughly reviewed the citations and corrected the alphabetical and chronological ordering of the </w:t>
            </w:r>
            <w:proofErr w:type="spellStart"/>
            <w:r w:rsidRPr="002034E4">
              <w:rPr>
                <w:rFonts w:asciiTheme="majorBidi" w:hAnsiTheme="majorBidi" w:cstheme="majorBidi"/>
                <w:color w:val="0070C0"/>
                <w:sz w:val="24"/>
                <w:szCs w:val="24"/>
              </w:rPr>
              <w:t>Darvishi</w:t>
            </w:r>
            <w:proofErr w:type="spellEnd"/>
            <w:r w:rsidRPr="002034E4">
              <w:rPr>
                <w:rFonts w:asciiTheme="majorBidi" w:hAnsiTheme="majorBidi" w:cstheme="majorBidi"/>
                <w:color w:val="0070C0"/>
                <w:sz w:val="24"/>
                <w:szCs w:val="24"/>
              </w:rPr>
              <w:t xml:space="preserve"> </w:t>
            </w:r>
            <w:proofErr w:type="spellStart"/>
            <w:r w:rsidRPr="002034E4">
              <w:rPr>
                <w:rFonts w:asciiTheme="majorBidi" w:hAnsiTheme="majorBidi" w:cstheme="majorBidi"/>
                <w:color w:val="0070C0"/>
                <w:sz w:val="24"/>
                <w:szCs w:val="24"/>
              </w:rPr>
              <w:t>Boloorani</w:t>
            </w:r>
            <w:proofErr w:type="spellEnd"/>
            <w:r w:rsidRPr="002034E4">
              <w:rPr>
                <w:rFonts w:asciiTheme="majorBidi" w:hAnsiTheme="majorBidi" w:cstheme="majorBidi"/>
                <w:color w:val="0070C0"/>
                <w:sz w:val="24"/>
                <w:szCs w:val="24"/>
              </w:rPr>
              <w:t xml:space="preserve"> et al. (2023) references throughout the manuscript and reference list to ensure proper sequencing.</w:t>
            </w:r>
          </w:p>
        </w:tc>
      </w:tr>
      <w:tr w:rsidR="00E63686" w14:paraId="2490D022" w14:textId="77777777" w:rsidTr="002034E4">
        <w:trPr>
          <w:jc w:val="center"/>
        </w:trPr>
        <w:tc>
          <w:tcPr>
            <w:tcW w:w="4675" w:type="dxa"/>
            <w:vAlign w:val="center"/>
          </w:tcPr>
          <w:p w14:paraId="2851D52B" w14:textId="77777777" w:rsidR="004429AB" w:rsidRPr="002034E4" w:rsidRDefault="004429AB"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Lines 76 and 77</w:t>
            </w:r>
          </w:p>
          <w:p w14:paraId="666B88F1" w14:textId="77777777" w:rsidR="004429AB" w:rsidRPr="002034E4" w:rsidRDefault="004429AB" w:rsidP="002034E4">
            <w:pPr>
              <w:jc w:val="center"/>
              <w:rPr>
                <w:rFonts w:asciiTheme="majorBidi" w:eastAsia="Times New Roman" w:hAnsiTheme="majorBidi" w:cstheme="majorBidi"/>
                <w:color w:val="FF0000"/>
                <w:sz w:val="24"/>
                <w:szCs w:val="24"/>
              </w:rPr>
            </w:pPr>
          </w:p>
          <w:p w14:paraId="467179D7" w14:textId="77777777" w:rsidR="004429AB" w:rsidRPr="002034E4" w:rsidRDefault="004429AB"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based on the particle shape information from Cloud-Aerosol Lidar with Orthogonal Polarization (CALIOP), dust size, and... The relevance of this sentence is unclear. Could the authors please clarify its necessity and explain how it relates to your AOD-based work?</w:t>
            </w:r>
          </w:p>
          <w:p w14:paraId="0A5C035A" w14:textId="77777777" w:rsidR="00E63686" w:rsidRPr="002034E4" w:rsidRDefault="00E63686" w:rsidP="002034E4">
            <w:pPr>
              <w:jc w:val="center"/>
              <w:rPr>
                <w:rFonts w:asciiTheme="majorBidi" w:hAnsiTheme="majorBidi" w:cstheme="majorBidi"/>
                <w:color w:val="FF0000"/>
                <w:sz w:val="24"/>
                <w:szCs w:val="24"/>
              </w:rPr>
            </w:pPr>
          </w:p>
        </w:tc>
        <w:tc>
          <w:tcPr>
            <w:tcW w:w="4675" w:type="dxa"/>
            <w:vAlign w:val="center"/>
          </w:tcPr>
          <w:p w14:paraId="655B9BF3" w14:textId="77777777" w:rsidR="00BE63F4" w:rsidRPr="002034E4" w:rsidRDefault="00BE63F4"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The reviewer makes a valid point. Our study strictly relies on MODIS AOD data and visually interpreted hotspots, and does not utilize CALIOP data for analysis. To prevent any methodological confusion for the reader, we have removed this sentence from the manuscript.</w:t>
            </w:r>
          </w:p>
          <w:p w14:paraId="06F949CC" w14:textId="77777777" w:rsidR="00E63686" w:rsidRPr="002034E4" w:rsidRDefault="00E63686" w:rsidP="002034E4">
            <w:pPr>
              <w:jc w:val="center"/>
              <w:rPr>
                <w:rFonts w:asciiTheme="majorBidi" w:hAnsiTheme="majorBidi" w:cstheme="majorBidi"/>
                <w:color w:val="0070C0"/>
                <w:sz w:val="24"/>
                <w:szCs w:val="24"/>
              </w:rPr>
            </w:pPr>
          </w:p>
        </w:tc>
      </w:tr>
      <w:tr w:rsidR="00E63686" w14:paraId="0BDD1206" w14:textId="77777777" w:rsidTr="002034E4">
        <w:trPr>
          <w:trHeight w:val="3390"/>
          <w:jc w:val="center"/>
        </w:trPr>
        <w:tc>
          <w:tcPr>
            <w:tcW w:w="4675" w:type="dxa"/>
            <w:vAlign w:val="center"/>
          </w:tcPr>
          <w:p w14:paraId="628D6498" w14:textId="77777777" w:rsidR="00235890" w:rsidRPr="002034E4" w:rsidRDefault="00235890"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shd w:val="clear" w:color="auto" w:fill="FFFFFF"/>
              </w:rPr>
              <w:t>Lines 86 and 87</w:t>
            </w:r>
          </w:p>
          <w:p w14:paraId="6558F68E" w14:textId="77777777" w:rsidR="00235890" w:rsidRPr="002034E4" w:rsidRDefault="00235890" w:rsidP="002034E4">
            <w:pPr>
              <w:shd w:val="clear" w:color="auto" w:fill="FFFFFF"/>
              <w:jc w:val="center"/>
              <w:rPr>
                <w:rFonts w:asciiTheme="majorBidi" w:eastAsia="Times New Roman" w:hAnsiTheme="majorBidi" w:cstheme="majorBidi"/>
                <w:color w:val="FF0000"/>
                <w:sz w:val="24"/>
                <w:szCs w:val="24"/>
              </w:rPr>
            </w:pPr>
          </w:p>
          <w:p w14:paraId="20F78F89" w14:textId="77777777" w:rsidR="00235890" w:rsidRPr="002034E4" w:rsidRDefault="00235890"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shd w:val="clear" w:color="auto" w:fill="FFFFFF"/>
              </w:rPr>
              <w:t xml:space="preserve">The destructive effects of DSEs within TEB even reach thousands of kilometers away from the dust sources </w:t>
            </w:r>
            <w:proofErr w:type="gramStart"/>
            <w:r w:rsidRPr="002034E4">
              <w:rPr>
                <w:rFonts w:asciiTheme="majorBidi" w:eastAsia="Times New Roman" w:hAnsiTheme="majorBidi" w:cstheme="majorBidi"/>
                <w:color w:val="FF0000"/>
                <w:sz w:val="24"/>
                <w:szCs w:val="24"/>
                <w:shd w:val="clear" w:color="auto" w:fill="FFFFFF"/>
              </w:rPr>
              <w:t>To</w:t>
            </w:r>
            <w:proofErr w:type="gramEnd"/>
            <w:r w:rsidRPr="002034E4">
              <w:rPr>
                <w:rFonts w:asciiTheme="majorBidi" w:eastAsia="Times New Roman" w:hAnsiTheme="majorBidi" w:cstheme="majorBidi"/>
                <w:color w:val="FF0000"/>
                <w:sz w:val="24"/>
                <w:szCs w:val="24"/>
                <w:shd w:val="clear" w:color="auto" w:fill="FFFFFF"/>
              </w:rPr>
              <w:t xml:space="preserve"> my knowledge, </w:t>
            </w:r>
            <w:proofErr w:type="spellStart"/>
            <w:r w:rsidRPr="002034E4">
              <w:rPr>
                <w:rFonts w:asciiTheme="majorBidi" w:eastAsia="Times New Roman" w:hAnsiTheme="majorBidi" w:cstheme="majorBidi"/>
                <w:color w:val="FF0000"/>
                <w:sz w:val="24"/>
                <w:szCs w:val="24"/>
                <w:shd w:val="clear" w:color="auto" w:fill="FFFFFF"/>
              </w:rPr>
              <w:t>Darvishi</w:t>
            </w:r>
            <w:proofErr w:type="spellEnd"/>
            <w:r w:rsidRPr="002034E4">
              <w:rPr>
                <w:rFonts w:asciiTheme="majorBidi" w:eastAsia="Times New Roman" w:hAnsiTheme="majorBidi" w:cstheme="majorBidi"/>
                <w:color w:val="FF0000"/>
                <w:sz w:val="24"/>
                <w:szCs w:val="24"/>
                <w:shd w:val="clear" w:color="auto" w:fill="FFFFFF"/>
              </w:rPr>
              <w:t xml:space="preserve"> </w:t>
            </w:r>
            <w:proofErr w:type="spellStart"/>
            <w:r w:rsidRPr="002034E4">
              <w:rPr>
                <w:rFonts w:asciiTheme="majorBidi" w:eastAsia="Times New Roman" w:hAnsiTheme="majorBidi" w:cstheme="majorBidi"/>
                <w:color w:val="FF0000"/>
                <w:sz w:val="24"/>
                <w:szCs w:val="24"/>
                <w:shd w:val="clear" w:color="auto" w:fill="FFFFFF"/>
              </w:rPr>
              <w:t>Boloorani</w:t>
            </w:r>
            <w:proofErr w:type="spellEnd"/>
            <w:r w:rsidRPr="002034E4">
              <w:rPr>
                <w:rFonts w:asciiTheme="majorBidi" w:eastAsia="Times New Roman" w:hAnsiTheme="majorBidi" w:cstheme="majorBidi"/>
                <w:color w:val="FF0000"/>
                <w:sz w:val="24"/>
                <w:szCs w:val="24"/>
                <w:shd w:val="clear" w:color="auto" w:fill="FFFFFF"/>
              </w:rPr>
              <w:t xml:space="preserve"> et al., 2021 utilized 'dust hotspots' for this specific dataset, whereas you refer to them as 'DSEs' (Dust Storm Events). Could you please clarify the distinction between these two terms and justify your choice of terminology?</w:t>
            </w:r>
          </w:p>
          <w:p w14:paraId="41B100F3" w14:textId="34915B7E" w:rsidR="00E63686" w:rsidRPr="002034E4" w:rsidRDefault="00E63686" w:rsidP="002034E4">
            <w:pPr>
              <w:jc w:val="center"/>
              <w:rPr>
                <w:rFonts w:asciiTheme="majorBidi" w:hAnsiTheme="majorBidi" w:cstheme="majorBidi"/>
                <w:color w:val="FF0000"/>
                <w:sz w:val="24"/>
                <w:szCs w:val="24"/>
              </w:rPr>
            </w:pPr>
          </w:p>
        </w:tc>
        <w:tc>
          <w:tcPr>
            <w:tcW w:w="4675" w:type="dxa"/>
            <w:vAlign w:val="center"/>
          </w:tcPr>
          <w:p w14:paraId="3E7E3C53" w14:textId="6DFD99F6" w:rsidR="00E63686" w:rsidRPr="002034E4" w:rsidRDefault="004E5F9E"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appreciate the request for clarification. In our terminology, "dust hotspots" strictly refer to the localized geographic emission sources (the spatial origin), whereas "Dust Storm Events (DSEs)" describe the broader temporal occurrence and atmospheric manifestation of the storm itself. We have added a clarifying sentence to the text to explicitly define this distinction.</w:t>
            </w:r>
          </w:p>
        </w:tc>
      </w:tr>
      <w:tr w:rsidR="004038B3" w14:paraId="6E6DB790" w14:textId="77777777" w:rsidTr="002034E4">
        <w:trPr>
          <w:trHeight w:val="1975"/>
          <w:jc w:val="center"/>
        </w:trPr>
        <w:tc>
          <w:tcPr>
            <w:tcW w:w="4675" w:type="dxa"/>
            <w:vAlign w:val="center"/>
          </w:tcPr>
          <w:p w14:paraId="73AC8FFC" w14:textId="77777777" w:rsidR="004038B3" w:rsidRPr="002034E4" w:rsidRDefault="004038B3" w:rsidP="002034E4">
            <w:pPr>
              <w:jc w:val="center"/>
              <w:rPr>
                <w:rFonts w:asciiTheme="majorBidi" w:eastAsia="Times New Roman" w:hAnsiTheme="majorBidi" w:cstheme="majorBidi"/>
                <w:color w:val="FF0000"/>
                <w:sz w:val="24"/>
                <w:szCs w:val="24"/>
                <w:shd w:val="clear" w:color="auto" w:fill="FFFFFF"/>
              </w:rPr>
            </w:pPr>
            <w:r w:rsidRPr="002034E4">
              <w:rPr>
                <w:rFonts w:asciiTheme="majorBidi" w:eastAsia="Times New Roman" w:hAnsiTheme="majorBidi" w:cstheme="majorBidi"/>
                <w:color w:val="FF0000"/>
                <w:sz w:val="24"/>
                <w:szCs w:val="24"/>
                <w:shd w:val="clear" w:color="auto" w:fill="FFFFFF"/>
              </w:rPr>
              <w:t xml:space="preserve">General comment to the Introduction section You have modeled the Frequency-Intensity-Duration (FIC) characteristics of dust storms to evaluate the severity levels of dust storms in the TEB. However, I would argue that this methodology goes far beyond traditional 'dust hazard mapping.' A standard hazard map can be generated simply by calculating the temporal average of AOD for a given region. In contrast, you have characterized the primary indicators and dynamics of dust storms over an extended period. Therefore, I highly suggest rethinking and refining your usage of the terminology surrounding 'hazard' and 'hazard mapping' throughout the </w:t>
            </w:r>
            <w:r w:rsidRPr="002034E4">
              <w:rPr>
                <w:rFonts w:asciiTheme="majorBidi" w:eastAsia="Times New Roman" w:hAnsiTheme="majorBidi" w:cstheme="majorBidi"/>
                <w:color w:val="FF0000"/>
                <w:sz w:val="24"/>
                <w:szCs w:val="24"/>
                <w:shd w:val="clear" w:color="auto" w:fill="FFFFFF"/>
              </w:rPr>
              <w:lastRenderedPageBreak/>
              <w:t>manuscript to more accurately reflect the work you have achieved. I suggest exploring terms like 'hazard characterization' or 'hazard severity evaluation,' of 'Dust Hazardousness' which may describe your analytical approach much more precisely.</w:t>
            </w:r>
          </w:p>
        </w:tc>
        <w:tc>
          <w:tcPr>
            <w:tcW w:w="4675" w:type="dxa"/>
            <w:vAlign w:val="center"/>
          </w:tcPr>
          <w:p w14:paraId="1104B9EC" w14:textId="77777777" w:rsidR="004038B3" w:rsidRPr="002034E4" w:rsidRDefault="004038B3"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lastRenderedPageBreak/>
              <w:t>We entirely agree with this insightful observation. Because our methodology characterizes Frequency, Intensity, and Continuity over 22 years, terms like "hazard characterization" and "hazardousness" are indeed more accurate descriptors than a simple "hazard map." We have updated the terminology in the Introduction to reflect this.</w:t>
            </w:r>
          </w:p>
          <w:p w14:paraId="3E1CB58D" w14:textId="77777777" w:rsidR="004038B3" w:rsidRPr="002034E4" w:rsidRDefault="004038B3" w:rsidP="002034E4">
            <w:pPr>
              <w:jc w:val="center"/>
              <w:rPr>
                <w:rFonts w:asciiTheme="majorBidi" w:hAnsiTheme="majorBidi" w:cstheme="majorBidi"/>
                <w:color w:val="0070C0"/>
                <w:sz w:val="24"/>
                <w:szCs w:val="24"/>
              </w:rPr>
            </w:pPr>
          </w:p>
        </w:tc>
      </w:tr>
      <w:tr w:rsidR="00E63686" w14:paraId="731FDE81" w14:textId="77777777" w:rsidTr="002034E4">
        <w:trPr>
          <w:jc w:val="center"/>
        </w:trPr>
        <w:tc>
          <w:tcPr>
            <w:tcW w:w="4675" w:type="dxa"/>
            <w:vAlign w:val="center"/>
          </w:tcPr>
          <w:p w14:paraId="3B0929CD" w14:textId="77777777" w:rsidR="002268E8" w:rsidRPr="002034E4" w:rsidRDefault="002268E8"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Figure 1 I suggest improving the overall quality and utility of this map by enhancing its clarity and adding essential contextual features. In its current format, the map is somewhat cluttered and difficult to interpret. Adding reference points, major city names, and distinct geographical boundaries would greatly reduce visual confusion and improve its readability for the audience.</w:t>
            </w:r>
          </w:p>
          <w:p w14:paraId="69956B19" w14:textId="77777777" w:rsidR="00E63686" w:rsidRPr="002034E4" w:rsidRDefault="00E63686" w:rsidP="002034E4">
            <w:pPr>
              <w:jc w:val="center"/>
              <w:rPr>
                <w:rFonts w:asciiTheme="majorBidi" w:hAnsiTheme="majorBidi" w:cstheme="majorBidi"/>
                <w:color w:val="FF0000"/>
                <w:sz w:val="24"/>
                <w:szCs w:val="24"/>
              </w:rPr>
            </w:pPr>
          </w:p>
        </w:tc>
        <w:tc>
          <w:tcPr>
            <w:tcW w:w="4675" w:type="dxa"/>
            <w:vAlign w:val="center"/>
          </w:tcPr>
          <w:p w14:paraId="6C8C8E70" w14:textId="0B90256C" w:rsidR="004D390C" w:rsidRPr="002034E4" w:rsidRDefault="004D390C"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thank the reviewer for the constructive feedback on the cartography. We have revised Figure 1 to reduce visual clutter</w:t>
            </w:r>
            <w:r w:rsidR="00552844">
              <w:rPr>
                <w:rFonts w:asciiTheme="majorBidi" w:hAnsiTheme="majorBidi" w:cstheme="majorBidi"/>
                <w:color w:val="0070C0"/>
                <w:sz w:val="24"/>
                <w:szCs w:val="24"/>
              </w:rPr>
              <w:t xml:space="preserve"> by removing </w:t>
            </w:r>
            <w:r w:rsidR="00552844" w:rsidRPr="002034E4">
              <w:rPr>
                <w:rFonts w:asciiTheme="majorBidi" w:hAnsiTheme="majorBidi" w:cstheme="majorBidi"/>
                <w:color w:val="0070C0"/>
                <w:sz w:val="24"/>
                <w:szCs w:val="24"/>
              </w:rPr>
              <w:t>labels for major cities</w:t>
            </w:r>
            <w:r w:rsidR="00552844">
              <w:rPr>
                <w:rFonts w:asciiTheme="majorBidi" w:hAnsiTheme="majorBidi" w:cstheme="majorBidi"/>
                <w:color w:val="0070C0"/>
                <w:sz w:val="24"/>
                <w:szCs w:val="24"/>
              </w:rPr>
              <w:t xml:space="preserve">, then </w:t>
            </w:r>
            <w:r w:rsidRPr="002034E4">
              <w:rPr>
                <w:rFonts w:asciiTheme="majorBidi" w:hAnsiTheme="majorBidi" w:cstheme="majorBidi"/>
                <w:color w:val="0070C0"/>
                <w:sz w:val="24"/>
                <w:szCs w:val="24"/>
              </w:rPr>
              <w:t>add clear geographical boundaries, reference coordinates, to improve context and readability.</w:t>
            </w:r>
          </w:p>
          <w:p w14:paraId="243A7ED1" w14:textId="77777777" w:rsidR="00E63686" w:rsidRPr="002034E4" w:rsidRDefault="00E63686" w:rsidP="002034E4">
            <w:pPr>
              <w:jc w:val="center"/>
              <w:rPr>
                <w:rFonts w:asciiTheme="majorBidi" w:hAnsiTheme="majorBidi" w:cstheme="majorBidi"/>
                <w:color w:val="0070C0"/>
                <w:sz w:val="24"/>
                <w:szCs w:val="24"/>
              </w:rPr>
            </w:pPr>
          </w:p>
        </w:tc>
      </w:tr>
      <w:tr w:rsidR="00E63686" w14:paraId="38FCBFC6" w14:textId="77777777" w:rsidTr="002034E4">
        <w:trPr>
          <w:jc w:val="center"/>
        </w:trPr>
        <w:tc>
          <w:tcPr>
            <w:tcW w:w="4675" w:type="dxa"/>
            <w:vAlign w:val="center"/>
          </w:tcPr>
          <w:p w14:paraId="28A7FF1D" w14:textId="77777777" w:rsidR="00B85FD4" w:rsidRPr="002034E4" w:rsidRDefault="00B85FD4"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Lines 125 to 138 While dust hot spots are typically identified at a specific point in time, the resulting elevated Aerosol Optical Depth (AOD) can persist in the atmosphere for several days. How do the authors account for this temporal lag between initial emission and prolonged atmospheric loading in their methodology? Please clarify this justification in the text.</w:t>
            </w:r>
          </w:p>
          <w:p w14:paraId="4FF2C5F0" w14:textId="77777777" w:rsidR="00E63686" w:rsidRPr="002034E4" w:rsidRDefault="00E63686" w:rsidP="002034E4">
            <w:pPr>
              <w:jc w:val="center"/>
              <w:rPr>
                <w:rFonts w:asciiTheme="majorBidi" w:hAnsiTheme="majorBidi" w:cstheme="majorBidi"/>
                <w:color w:val="FF0000"/>
                <w:sz w:val="24"/>
                <w:szCs w:val="24"/>
              </w:rPr>
            </w:pPr>
          </w:p>
        </w:tc>
        <w:tc>
          <w:tcPr>
            <w:tcW w:w="4675" w:type="dxa"/>
            <w:vAlign w:val="center"/>
          </w:tcPr>
          <w:p w14:paraId="3F59F987" w14:textId="77777777" w:rsidR="00F47657" w:rsidRPr="002034E4" w:rsidRDefault="00F47657"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This is an excellent point. Our methodology directly accounts for the temporal lag and prolonged atmospheric loading through the extraction of the "Continuity" component of the DSEs. By tracking consecutive days where AOD remains above the threshold, we capture the persistence of the dust plume beyond the initial emission event. We have clarified this in the methodology.</w:t>
            </w:r>
          </w:p>
          <w:p w14:paraId="2FA07030" w14:textId="77777777" w:rsidR="00E63686" w:rsidRPr="002034E4" w:rsidRDefault="00E63686" w:rsidP="002034E4">
            <w:pPr>
              <w:jc w:val="center"/>
              <w:rPr>
                <w:rFonts w:asciiTheme="majorBidi" w:hAnsiTheme="majorBidi" w:cstheme="majorBidi"/>
                <w:color w:val="0070C0"/>
                <w:sz w:val="24"/>
                <w:szCs w:val="24"/>
              </w:rPr>
            </w:pPr>
          </w:p>
        </w:tc>
      </w:tr>
      <w:tr w:rsidR="00A8169A" w14:paraId="18153ECE" w14:textId="77777777" w:rsidTr="002034E4">
        <w:trPr>
          <w:jc w:val="center"/>
        </w:trPr>
        <w:tc>
          <w:tcPr>
            <w:tcW w:w="4675" w:type="dxa"/>
            <w:vAlign w:val="center"/>
          </w:tcPr>
          <w:p w14:paraId="5355DCB4" w14:textId="77777777" w:rsidR="00A8169A" w:rsidRPr="002034E4" w:rsidRDefault="00A8169A"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Figure 2 The current flowchart appears somewhat generic, with repetitive icons and overly complicated arrows that obscure the actual workflow. I suggest replacing this figure with a more professional, scientifically structured schematic. The diagram should focus on clarity and clean visual logic rather than decorative graphics, ensuring that the reader can easily follow your exact methodology.</w:t>
            </w:r>
          </w:p>
          <w:p w14:paraId="2000D410" w14:textId="77777777" w:rsidR="00A8169A" w:rsidRPr="002034E4" w:rsidRDefault="00A8169A" w:rsidP="002034E4">
            <w:pPr>
              <w:jc w:val="center"/>
              <w:rPr>
                <w:rFonts w:asciiTheme="majorBidi" w:eastAsia="Times New Roman" w:hAnsiTheme="majorBidi" w:cstheme="majorBidi"/>
                <w:color w:val="FF0000"/>
                <w:sz w:val="24"/>
                <w:szCs w:val="24"/>
              </w:rPr>
            </w:pPr>
          </w:p>
        </w:tc>
        <w:tc>
          <w:tcPr>
            <w:tcW w:w="4675" w:type="dxa"/>
            <w:vAlign w:val="center"/>
          </w:tcPr>
          <w:p w14:paraId="0F922A58" w14:textId="4441434A" w:rsidR="00916DE6" w:rsidRPr="002034E4" w:rsidRDefault="00916DE6"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agree that the flowchart required refinement for professional clarity. We have replaced Figure 2 with a newly</w:t>
            </w:r>
            <w:r w:rsidR="004B6D51">
              <w:rPr>
                <w:rFonts w:asciiTheme="majorBidi" w:hAnsiTheme="majorBidi" w:cstheme="majorBidi"/>
                <w:color w:val="0070C0"/>
                <w:sz w:val="24"/>
                <w:szCs w:val="24"/>
              </w:rPr>
              <w:t xml:space="preserve"> simple</w:t>
            </w:r>
            <w:r w:rsidRPr="002034E4">
              <w:rPr>
                <w:rFonts w:asciiTheme="majorBidi" w:hAnsiTheme="majorBidi" w:cstheme="majorBidi"/>
                <w:color w:val="0070C0"/>
                <w:sz w:val="24"/>
                <w:szCs w:val="24"/>
              </w:rPr>
              <w:t xml:space="preserve"> designed, scientifically structured schematic that removes decorative graphics and focuses strictly on the clean, logical progression of our methodology from input data to the final index.</w:t>
            </w:r>
          </w:p>
          <w:p w14:paraId="5AD42827" w14:textId="77777777" w:rsidR="00A8169A" w:rsidRPr="002034E4" w:rsidRDefault="00A8169A" w:rsidP="002034E4">
            <w:pPr>
              <w:jc w:val="center"/>
              <w:rPr>
                <w:rFonts w:asciiTheme="majorBidi" w:hAnsiTheme="majorBidi" w:cstheme="majorBidi"/>
                <w:color w:val="0070C0"/>
                <w:sz w:val="24"/>
                <w:szCs w:val="24"/>
              </w:rPr>
            </w:pPr>
          </w:p>
        </w:tc>
      </w:tr>
      <w:tr w:rsidR="00A8169A" w14:paraId="6D7566F2" w14:textId="77777777" w:rsidTr="002034E4">
        <w:trPr>
          <w:jc w:val="center"/>
        </w:trPr>
        <w:tc>
          <w:tcPr>
            <w:tcW w:w="4675" w:type="dxa"/>
            <w:vAlign w:val="center"/>
          </w:tcPr>
          <w:p w14:paraId="02172820" w14:textId="77777777" w:rsidR="00A8169A" w:rsidRPr="002034E4" w:rsidRDefault="00A8169A"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shd w:val="clear" w:color="auto" w:fill="FFFFFF"/>
              </w:rPr>
              <w:t>Line 209</w:t>
            </w:r>
          </w:p>
          <w:p w14:paraId="4D6B0B72" w14:textId="77777777" w:rsidR="00A8169A" w:rsidRPr="002034E4" w:rsidRDefault="00A8169A"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shd w:val="clear" w:color="auto" w:fill="FFFFFF"/>
              </w:rPr>
              <w:t xml:space="preserve">a day was labeled as dusty only if ≥3 adjacent pixels exceeded... The authors refer to the rule 'only if ≥3 adjacent' as a kernel function. However, this appears to be a conditional logical constraint or a neighborhood threshold rather than a mathematical kernel function. Could you please clarify the exact </w:t>
            </w:r>
            <w:r w:rsidRPr="002034E4">
              <w:rPr>
                <w:rFonts w:asciiTheme="majorBidi" w:eastAsia="Times New Roman" w:hAnsiTheme="majorBidi" w:cstheme="majorBidi"/>
                <w:color w:val="FF0000"/>
                <w:sz w:val="24"/>
                <w:szCs w:val="24"/>
                <w:shd w:val="clear" w:color="auto" w:fill="FFFFFF"/>
              </w:rPr>
              <w:lastRenderedPageBreak/>
              <w:t>mathematical formulation used here, or revise the terminology to accurately reflect that this is a spatial threshold rule?</w:t>
            </w:r>
          </w:p>
        </w:tc>
        <w:tc>
          <w:tcPr>
            <w:tcW w:w="4675" w:type="dxa"/>
            <w:vAlign w:val="center"/>
          </w:tcPr>
          <w:p w14:paraId="22F8FB2B" w14:textId="77777777" w:rsidR="006C239D" w:rsidRPr="002034E4" w:rsidRDefault="006C239D"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lastRenderedPageBreak/>
              <w:t>We appreciate the reviewer's attention to mathematical terminology. We agree that this is a conditional neighborhood constraint rather than a true kernel function. We have revised the text to accurately reflect this spatial threshold rule.</w:t>
            </w:r>
          </w:p>
          <w:p w14:paraId="1EA2FA9F" w14:textId="77777777" w:rsidR="00A8169A" w:rsidRPr="002034E4" w:rsidRDefault="00A8169A" w:rsidP="002034E4">
            <w:pPr>
              <w:jc w:val="center"/>
              <w:rPr>
                <w:rFonts w:asciiTheme="majorBidi" w:hAnsiTheme="majorBidi" w:cstheme="majorBidi"/>
                <w:color w:val="0070C0"/>
                <w:sz w:val="24"/>
                <w:szCs w:val="24"/>
              </w:rPr>
            </w:pPr>
          </w:p>
        </w:tc>
      </w:tr>
      <w:tr w:rsidR="00A8169A" w14:paraId="5D6A12EA" w14:textId="77777777" w:rsidTr="002034E4">
        <w:trPr>
          <w:jc w:val="center"/>
        </w:trPr>
        <w:tc>
          <w:tcPr>
            <w:tcW w:w="4675" w:type="dxa"/>
            <w:vAlign w:val="center"/>
          </w:tcPr>
          <w:p w14:paraId="4BFB532A" w14:textId="77777777" w:rsidR="009D092B" w:rsidRPr="002034E4" w:rsidRDefault="009D092B"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 xml:space="preserve">Figure 3-b </w:t>
            </w:r>
            <w:proofErr w:type="gramStart"/>
            <w:r w:rsidRPr="002034E4">
              <w:rPr>
                <w:rFonts w:asciiTheme="majorBidi" w:eastAsia="Times New Roman" w:hAnsiTheme="majorBidi" w:cstheme="majorBidi"/>
                <w:color w:val="FF0000"/>
                <w:sz w:val="24"/>
                <w:szCs w:val="24"/>
              </w:rPr>
              <w:t>The</w:t>
            </w:r>
            <w:proofErr w:type="gramEnd"/>
            <w:r w:rsidRPr="002034E4">
              <w:rPr>
                <w:rFonts w:asciiTheme="majorBidi" w:eastAsia="Times New Roman" w:hAnsiTheme="majorBidi" w:cstheme="majorBidi"/>
                <w:color w:val="FF0000"/>
                <w:sz w:val="24"/>
                <w:szCs w:val="24"/>
              </w:rPr>
              <w:t xml:space="preserve"> map requires significant cartographic improvement to be publication-ready. I highly suggest enhancing this figure by adding a clear legend, essential geographical reference features (such as major topography or administrative boundaries), and a latitude/longitude coordinate grid (graticules). These additions are necessary to provide proper spatial context for the reader.</w:t>
            </w:r>
          </w:p>
          <w:p w14:paraId="03B258D7" w14:textId="77777777" w:rsidR="00A8169A" w:rsidRPr="002034E4" w:rsidRDefault="00A8169A" w:rsidP="002034E4">
            <w:pPr>
              <w:jc w:val="center"/>
              <w:rPr>
                <w:rFonts w:asciiTheme="majorBidi" w:eastAsia="Times New Roman" w:hAnsiTheme="majorBidi" w:cstheme="majorBidi"/>
                <w:color w:val="FF0000"/>
                <w:sz w:val="24"/>
                <w:szCs w:val="24"/>
                <w:shd w:val="clear" w:color="auto" w:fill="FFFFFF"/>
              </w:rPr>
            </w:pPr>
          </w:p>
        </w:tc>
        <w:tc>
          <w:tcPr>
            <w:tcW w:w="4675" w:type="dxa"/>
            <w:vAlign w:val="center"/>
          </w:tcPr>
          <w:p w14:paraId="6C06D6C4" w14:textId="76E9255E" w:rsidR="00A8169A" w:rsidRPr="002034E4" w:rsidRDefault="005556C9"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have up</w:t>
            </w:r>
            <w:r w:rsidR="005A2D20">
              <w:rPr>
                <w:rFonts w:asciiTheme="majorBidi" w:hAnsiTheme="majorBidi" w:cstheme="majorBidi"/>
                <w:color w:val="0070C0"/>
                <w:sz w:val="24"/>
                <w:szCs w:val="24"/>
              </w:rPr>
              <w:t>dat</w:t>
            </w:r>
            <w:r w:rsidRPr="002034E4">
              <w:rPr>
                <w:rFonts w:asciiTheme="majorBidi" w:hAnsiTheme="majorBidi" w:cstheme="majorBidi"/>
                <w:color w:val="0070C0"/>
                <w:sz w:val="24"/>
                <w:szCs w:val="24"/>
              </w:rPr>
              <w:t>ed</w:t>
            </w:r>
            <w:r w:rsidR="005A2D20">
              <w:rPr>
                <w:rFonts w:asciiTheme="majorBidi" w:hAnsiTheme="majorBidi" w:cstheme="majorBidi"/>
                <w:color w:val="0070C0"/>
                <w:sz w:val="24"/>
                <w:szCs w:val="24"/>
              </w:rPr>
              <w:t xml:space="preserve"> and enhanced</w:t>
            </w:r>
            <w:r w:rsidRPr="002034E4">
              <w:rPr>
                <w:rFonts w:asciiTheme="majorBidi" w:hAnsiTheme="majorBidi" w:cstheme="majorBidi"/>
                <w:color w:val="0070C0"/>
                <w:sz w:val="24"/>
                <w:szCs w:val="24"/>
              </w:rPr>
              <w:t xml:space="preserve"> Figure 3-b according to these excellent suggestions. The revised map now includes a latitude/longitude coordinate grid, a prominent legend, and administrative boundaries to provide proper spatial context for the reader.</w:t>
            </w:r>
          </w:p>
        </w:tc>
      </w:tr>
      <w:tr w:rsidR="00A8169A" w14:paraId="1A21B126" w14:textId="77777777" w:rsidTr="002034E4">
        <w:trPr>
          <w:jc w:val="center"/>
        </w:trPr>
        <w:tc>
          <w:tcPr>
            <w:tcW w:w="4675" w:type="dxa"/>
            <w:vAlign w:val="center"/>
          </w:tcPr>
          <w:p w14:paraId="496482A2" w14:textId="77777777" w:rsidR="009F22F5" w:rsidRPr="002034E4" w:rsidRDefault="009F22F5"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Figure 6 The authors have generated a map by combining an RGB color composite of three dust clusters (representing low, moderate, and severe dust pixels). However, the necessity and applicability of this specific analysis to the rest of the manuscript are unclear. Could you please explicitly explain how this RGB color map feeds into the subsequent FIC modeling and hazard mapping procedures? If this spatial visualization does not directly serve a methodological purpose in the overall workflow, I strongly suggest eliminating both this section and the corresponding figure.</w:t>
            </w:r>
          </w:p>
          <w:p w14:paraId="2FF462B6" w14:textId="77777777" w:rsidR="00A8169A" w:rsidRPr="002034E4" w:rsidRDefault="00A8169A" w:rsidP="002034E4">
            <w:pPr>
              <w:jc w:val="center"/>
              <w:rPr>
                <w:rFonts w:asciiTheme="majorBidi" w:eastAsia="Times New Roman" w:hAnsiTheme="majorBidi" w:cstheme="majorBidi"/>
                <w:color w:val="FF0000"/>
                <w:sz w:val="24"/>
                <w:szCs w:val="24"/>
                <w:shd w:val="clear" w:color="auto" w:fill="FFFFFF"/>
              </w:rPr>
            </w:pPr>
          </w:p>
        </w:tc>
        <w:tc>
          <w:tcPr>
            <w:tcW w:w="4675" w:type="dxa"/>
            <w:vAlign w:val="center"/>
          </w:tcPr>
          <w:p w14:paraId="4D7B9C22" w14:textId="36933246" w:rsidR="00A8169A" w:rsidRPr="002034E4" w:rsidRDefault="00340E84"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thank the reviewer for these structural suggestions. Recognizing that the RGB composite map (original Figure 6) did not critically advance the FIC modeling workflow, we have eliminated it and its corresponding text as suggested.</w:t>
            </w:r>
          </w:p>
        </w:tc>
      </w:tr>
      <w:tr w:rsidR="00A8169A" w14:paraId="420583B3" w14:textId="77777777" w:rsidTr="002034E4">
        <w:trPr>
          <w:jc w:val="center"/>
        </w:trPr>
        <w:tc>
          <w:tcPr>
            <w:tcW w:w="4675" w:type="dxa"/>
            <w:vAlign w:val="center"/>
          </w:tcPr>
          <w:p w14:paraId="1995CEC1" w14:textId="77777777" w:rsidR="009F22F5" w:rsidRPr="002034E4" w:rsidRDefault="009F22F5"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Figure 6 and 7 Figures 6 and 7 are quite informative. However, presenting them separately makes direct comparison difficult for the reader. I suggest combining these two figures into a single, multi-panel figure to allow for easier visual comparison and a more cohesive presentation.</w:t>
            </w:r>
          </w:p>
          <w:p w14:paraId="232994B0" w14:textId="77777777" w:rsidR="009F22F5" w:rsidRPr="002034E4" w:rsidRDefault="009F22F5" w:rsidP="002034E4">
            <w:pPr>
              <w:jc w:val="center"/>
              <w:rPr>
                <w:rFonts w:asciiTheme="majorBidi" w:eastAsia="Times New Roman" w:hAnsiTheme="majorBidi" w:cstheme="majorBidi"/>
                <w:color w:val="FF0000"/>
                <w:sz w:val="24"/>
                <w:szCs w:val="24"/>
              </w:rPr>
            </w:pPr>
          </w:p>
          <w:p w14:paraId="0D39DDDC" w14:textId="77777777" w:rsidR="00A8169A" w:rsidRPr="002034E4" w:rsidRDefault="00A8169A" w:rsidP="002034E4">
            <w:pPr>
              <w:jc w:val="center"/>
              <w:rPr>
                <w:rFonts w:asciiTheme="majorBidi" w:eastAsia="Times New Roman" w:hAnsiTheme="majorBidi" w:cstheme="majorBidi"/>
                <w:color w:val="FF0000"/>
                <w:sz w:val="24"/>
                <w:szCs w:val="24"/>
                <w:shd w:val="clear" w:color="auto" w:fill="FFFFFF"/>
              </w:rPr>
            </w:pPr>
          </w:p>
        </w:tc>
        <w:tc>
          <w:tcPr>
            <w:tcW w:w="4675" w:type="dxa"/>
            <w:vAlign w:val="center"/>
          </w:tcPr>
          <w:p w14:paraId="05DA7B9B" w14:textId="3D3B4823" w:rsidR="00F40828" w:rsidRPr="002034E4" w:rsidRDefault="00F40828"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To address the request for easier visual comparison of the city-level dynamics, we have combined the frequency/severity bar charts (original Figure 7) and the continuity bar charts (original Figure 8) into a comprehensive, multi-panel figure.</w:t>
            </w:r>
          </w:p>
          <w:p w14:paraId="00010410" w14:textId="77777777" w:rsidR="00A8169A" w:rsidRPr="002034E4" w:rsidRDefault="00A8169A" w:rsidP="002034E4">
            <w:pPr>
              <w:jc w:val="center"/>
              <w:rPr>
                <w:rFonts w:asciiTheme="majorBidi" w:hAnsiTheme="majorBidi" w:cstheme="majorBidi"/>
                <w:color w:val="0070C0"/>
                <w:sz w:val="24"/>
                <w:szCs w:val="24"/>
              </w:rPr>
            </w:pPr>
          </w:p>
        </w:tc>
      </w:tr>
      <w:tr w:rsidR="00F26340" w14:paraId="616C44BA" w14:textId="77777777" w:rsidTr="002034E4">
        <w:trPr>
          <w:jc w:val="center"/>
        </w:trPr>
        <w:tc>
          <w:tcPr>
            <w:tcW w:w="4675" w:type="dxa"/>
            <w:vAlign w:val="center"/>
          </w:tcPr>
          <w:p w14:paraId="689A321C" w14:textId="77777777" w:rsidR="00F26340" w:rsidRPr="002034E4" w:rsidRDefault="00F26340"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4.1. Dust hazard index I suggest renaming your index to 'Remote Sensing Dust Haphazardness Index' instead of 'Dust Hazard Index'. Explicitly including 'Remote Sensing' in the title adds valuable context, immediately informing the reader of the underlying methodology and data source used to build the index.</w:t>
            </w:r>
          </w:p>
          <w:p w14:paraId="7E8139D4" w14:textId="77777777" w:rsidR="00F26340" w:rsidRPr="002034E4" w:rsidRDefault="00F26340" w:rsidP="002034E4">
            <w:pPr>
              <w:jc w:val="center"/>
              <w:rPr>
                <w:rFonts w:asciiTheme="majorBidi" w:eastAsia="Times New Roman" w:hAnsiTheme="majorBidi" w:cstheme="majorBidi"/>
                <w:color w:val="FF0000"/>
                <w:sz w:val="24"/>
                <w:szCs w:val="24"/>
              </w:rPr>
            </w:pPr>
          </w:p>
        </w:tc>
        <w:tc>
          <w:tcPr>
            <w:tcW w:w="4675" w:type="dxa"/>
            <w:vAlign w:val="center"/>
          </w:tcPr>
          <w:p w14:paraId="25564EAB" w14:textId="77777777" w:rsidR="00117AAE" w:rsidRPr="002034E4" w:rsidRDefault="00117AAE"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agree that this new title provides immediate and valuable context regarding our data sources and analytical approach. We have adopted "Remote Sensing Dust Haphazardness Index (RSDHI)" throughout the manuscript, including the section headers and relevant equations.</w:t>
            </w:r>
          </w:p>
          <w:p w14:paraId="3E947C2B" w14:textId="77777777" w:rsidR="00F26340" w:rsidRPr="002034E4" w:rsidRDefault="00F26340" w:rsidP="002034E4">
            <w:pPr>
              <w:jc w:val="center"/>
              <w:rPr>
                <w:rFonts w:asciiTheme="majorBidi" w:hAnsiTheme="majorBidi" w:cstheme="majorBidi"/>
                <w:color w:val="0070C0"/>
                <w:sz w:val="24"/>
                <w:szCs w:val="24"/>
              </w:rPr>
            </w:pPr>
          </w:p>
        </w:tc>
      </w:tr>
      <w:tr w:rsidR="00F26340" w14:paraId="01A5DDCA" w14:textId="77777777" w:rsidTr="002034E4">
        <w:trPr>
          <w:jc w:val="center"/>
        </w:trPr>
        <w:tc>
          <w:tcPr>
            <w:tcW w:w="4675" w:type="dxa"/>
            <w:vAlign w:val="center"/>
          </w:tcPr>
          <w:p w14:paraId="11957BE0" w14:textId="77777777" w:rsidR="00F26340" w:rsidRPr="002034E4" w:rsidRDefault="00F26340"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lastRenderedPageBreak/>
              <w:t>Figure 10 I suggest renaming your index to 'Remote Sensing Dust Haphazardness Index' instead of 'Dust Hazard Index'. Explicitly including 'Remote Sensing' in the title adds valuable context, immediately informing the reader of the underlying methodology and data source used to build the index.</w:t>
            </w:r>
          </w:p>
          <w:p w14:paraId="2EBDEDDC" w14:textId="77777777" w:rsidR="00F26340" w:rsidRPr="002034E4" w:rsidRDefault="00F26340" w:rsidP="002034E4">
            <w:pPr>
              <w:jc w:val="center"/>
              <w:rPr>
                <w:rFonts w:asciiTheme="majorBidi" w:eastAsia="Times New Roman" w:hAnsiTheme="majorBidi" w:cstheme="majorBidi"/>
                <w:color w:val="FF0000"/>
                <w:sz w:val="24"/>
                <w:szCs w:val="24"/>
              </w:rPr>
            </w:pPr>
          </w:p>
        </w:tc>
        <w:tc>
          <w:tcPr>
            <w:tcW w:w="4675" w:type="dxa"/>
            <w:vAlign w:val="center"/>
          </w:tcPr>
          <w:p w14:paraId="00535894" w14:textId="77777777" w:rsidR="003932BD" w:rsidRPr="002034E4" w:rsidRDefault="003932BD"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agree that this new title provides immediate and valuable context regarding our data sources and analytical approach. We have adopted "Remote Sensing Dust Haphazardness Index (RSDHI)" throughout the manuscript, including the section headers and relevant equations.</w:t>
            </w:r>
          </w:p>
          <w:p w14:paraId="475ACE37" w14:textId="77777777" w:rsidR="00F26340" w:rsidRPr="002034E4" w:rsidRDefault="00F26340" w:rsidP="002034E4">
            <w:pPr>
              <w:jc w:val="center"/>
              <w:rPr>
                <w:rFonts w:asciiTheme="majorBidi" w:hAnsiTheme="majorBidi" w:cstheme="majorBidi"/>
                <w:color w:val="0070C0"/>
                <w:sz w:val="24"/>
                <w:szCs w:val="24"/>
              </w:rPr>
            </w:pPr>
          </w:p>
        </w:tc>
      </w:tr>
      <w:tr w:rsidR="004E3810" w14:paraId="05FEB878" w14:textId="77777777" w:rsidTr="002034E4">
        <w:trPr>
          <w:jc w:val="center"/>
        </w:trPr>
        <w:tc>
          <w:tcPr>
            <w:tcW w:w="4675" w:type="dxa"/>
            <w:vAlign w:val="center"/>
          </w:tcPr>
          <w:p w14:paraId="533A3EA3" w14:textId="77777777" w:rsidR="004E3810" w:rsidRPr="002034E4" w:rsidRDefault="004E3810" w:rsidP="002034E4">
            <w:pPr>
              <w:jc w:val="center"/>
              <w:rPr>
                <w:rFonts w:asciiTheme="majorBidi" w:eastAsia="Times New Roman" w:hAnsiTheme="majorBidi" w:cstheme="majorBidi"/>
                <w:color w:val="FF0000"/>
                <w:sz w:val="24"/>
                <w:szCs w:val="24"/>
              </w:rPr>
            </w:pPr>
            <w:r w:rsidRPr="002034E4">
              <w:rPr>
                <w:rFonts w:asciiTheme="majorBidi" w:eastAsia="Times New Roman" w:hAnsiTheme="majorBidi" w:cstheme="majorBidi"/>
                <w:color w:val="FF0000"/>
                <w:sz w:val="24"/>
                <w:szCs w:val="24"/>
              </w:rPr>
              <w:t>General comment I recommend that the authors include a very brief subsection: detailing the Limitations of the study. This addition will help ground the findings and outline the next steps for this line of research.</w:t>
            </w:r>
          </w:p>
          <w:p w14:paraId="7C81CC27" w14:textId="77777777" w:rsidR="004E3810" w:rsidRPr="002034E4" w:rsidRDefault="004E3810" w:rsidP="002034E4">
            <w:pPr>
              <w:jc w:val="center"/>
              <w:rPr>
                <w:rFonts w:asciiTheme="majorBidi" w:eastAsia="Times New Roman" w:hAnsiTheme="majorBidi" w:cstheme="majorBidi"/>
                <w:color w:val="FF0000"/>
                <w:sz w:val="24"/>
                <w:szCs w:val="24"/>
              </w:rPr>
            </w:pPr>
          </w:p>
        </w:tc>
        <w:tc>
          <w:tcPr>
            <w:tcW w:w="4675" w:type="dxa"/>
            <w:vAlign w:val="center"/>
          </w:tcPr>
          <w:p w14:paraId="0DA62E95" w14:textId="77777777" w:rsidR="00F71C91" w:rsidRPr="002034E4" w:rsidRDefault="00F71C91" w:rsidP="002034E4">
            <w:pPr>
              <w:jc w:val="center"/>
              <w:rPr>
                <w:rFonts w:asciiTheme="majorBidi" w:hAnsiTheme="majorBidi" w:cstheme="majorBidi"/>
                <w:color w:val="0070C0"/>
                <w:sz w:val="24"/>
                <w:szCs w:val="24"/>
              </w:rPr>
            </w:pPr>
            <w:r w:rsidRPr="002034E4">
              <w:rPr>
                <w:rFonts w:asciiTheme="majorBidi" w:hAnsiTheme="majorBidi" w:cstheme="majorBidi"/>
                <w:color w:val="0070C0"/>
                <w:sz w:val="24"/>
                <w:szCs w:val="24"/>
              </w:rPr>
              <w:t>We thank the reviewer for this excellent recommendation. Explicitly acknowledging constraints strengthens the manuscript. We have added a brief "Limitations of the Study" subsection just before the conclusion to outline these boundaries and propose future research directions.</w:t>
            </w:r>
          </w:p>
          <w:p w14:paraId="1A81F0C7" w14:textId="77777777" w:rsidR="004E3810" w:rsidRPr="002034E4" w:rsidRDefault="004E3810" w:rsidP="002034E4">
            <w:pPr>
              <w:jc w:val="center"/>
              <w:rPr>
                <w:rFonts w:asciiTheme="majorBidi" w:hAnsiTheme="majorBidi" w:cstheme="majorBidi"/>
                <w:color w:val="0070C0"/>
                <w:sz w:val="24"/>
                <w:szCs w:val="24"/>
              </w:rPr>
            </w:pPr>
          </w:p>
        </w:tc>
      </w:tr>
    </w:tbl>
    <w:p w14:paraId="022740D1" w14:textId="77777777" w:rsidR="009508AD" w:rsidRDefault="009508AD"/>
    <w:p w14:paraId="41194525" w14:textId="77777777" w:rsidR="00CF0DB1" w:rsidRPr="00CF0DB1" w:rsidRDefault="00CF0DB1" w:rsidP="00CF0DB1"/>
    <w:p w14:paraId="6C4D1129" w14:textId="77777777" w:rsidR="00CF0DB1" w:rsidRPr="00CF0DB1" w:rsidRDefault="00CF0DB1" w:rsidP="00CF0DB1"/>
    <w:p w14:paraId="645ED421" w14:textId="77777777" w:rsidR="00CF0DB1" w:rsidRPr="00CF0DB1" w:rsidRDefault="00CF0DB1" w:rsidP="00CF0DB1"/>
    <w:p w14:paraId="145B8B8F" w14:textId="77777777" w:rsidR="00CF0DB1" w:rsidRPr="00CF0DB1" w:rsidRDefault="00CF0DB1" w:rsidP="00CF0DB1"/>
    <w:p w14:paraId="4DABE9FC" w14:textId="77777777" w:rsidR="00CF0DB1" w:rsidRPr="00CF0DB1" w:rsidRDefault="00CF0DB1" w:rsidP="00CF0DB1"/>
    <w:p w14:paraId="3F32F179" w14:textId="77777777" w:rsidR="00CF0DB1" w:rsidRPr="00CF0DB1" w:rsidRDefault="00CF0DB1" w:rsidP="00CF0DB1"/>
    <w:p w14:paraId="161408E2" w14:textId="77777777" w:rsidR="00CF0DB1" w:rsidRPr="00CF0DB1" w:rsidRDefault="00CF0DB1" w:rsidP="00CF0DB1"/>
    <w:p w14:paraId="7D1EC9F5" w14:textId="77777777" w:rsidR="00CF0DB1" w:rsidRDefault="00CF0DB1" w:rsidP="00CF0DB1"/>
    <w:p w14:paraId="4D859C10" w14:textId="77777777" w:rsidR="00CF0DB1" w:rsidRPr="00CF0DB1" w:rsidRDefault="00CF0DB1" w:rsidP="00CF0DB1">
      <w:pPr>
        <w:jc w:val="right"/>
      </w:pPr>
    </w:p>
    <w:sectPr w:rsidR="00CF0DB1" w:rsidRPr="00CF0D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686"/>
    <w:rsid w:val="000E6011"/>
    <w:rsid w:val="00117AAE"/>
    <w:rsid w:val="0020117C"/>
    <w:rsid w:val="002034E4"/>
    <w:rsid w:val="002268E8"/>
    <w:rsid w:val="00235890"/>
    <w:rsid w:val="00340E84"/>
    <w:rsid w:val="003932BD"/>
    <w:rsid w:val="004038B3"/>
    <w:rsid w:val="004429AB"/>
    <w:rsid w:val="004B6D51"/>
    <w:rsid w:val="004D390C"/>
    <w:rsid w:val="004E3810"/>
    <w:rsid w:val="004E5F9E"/>
    <w:rsid w:val="00552844"/>
    <w:rsid w:val="005556C9"/>
    <w:rsid w:val="005A1006"/>
    <w:rsid w:val="005A2D20"/>
    <w:rsid w:val="006C239D"/>
    <w:rsid w:val="007740F0"/>
    <w:rsid w:val="00782FC3"/>
    <w:rsid w:val="0078311A"/>
    <w:rsid w:val="008320B8"/>
    <w:rsid w:val="00837EFC"/>
    <w:rsid w:val="00873073"/>
    <w:rsid w:val="00916DE6"/>
    <w:rsid w:val="009508AD"/>
    <w:rsid w:val="00955DE1"/>
    <w:rsid w:val="00967965"/>
    <w:rsid w:val="009754C4"/>
    <w:rsid w:val="009A4AF4"/>
    <w:rsid w:val="009D092B"/>
    <w:rsid w:val="009F22F5"/>
    <w:rsid w:val="00A8169A"/>
    <w:rsid w:val="00AA4845"/>
    <w:rsid w:val="00B85FD4"/>
    <w:rsid w:val="00BE63F4"/>
    <w:rsid w:val="00C81540"/>
    <w:rsid w:val="00CF0DB1"/>
    <w:rsid w:val="00E63686"/>
    <w:rsid w:val="00EB469C"/>
    <w:rsid w:val="00EC0700"/>
    <w:rsid w:val="00F26340"/>
    <w:rsid w:val="00F40828"/>
    <w:rsid w:val="00F47657"/>
    <w:rsid w:val="00F70361"/>
    <w:rsid w:val="00F71C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7B3B1"/>
  <w15:chartTrackingRefBased/>
  <w15:docId w15:val="{3A93CFB9-1B7A-4C4B-9D03-0B2049D3B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636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848649">
      <w:bodyDiv w:val="1"/>
      <w:marLeft w:val="0"/>
      <w:marRight w:val="0"/>
      <w:marTop w:val="0"/>
      <w:marBottom w:val="0"/>
      <w:divBdr>
        <w:top w:val="none" w:sz="0" w:space="0" w:color="auto"/>
        <w:left w:val="none" w:sz="0" w:space="0" w:color="auto"/>
        <w:bottom w:val="none" w:sz="0" w:space="0" w:color="auto"/>
        <w:right w:val="none" w:sz="0" w:space="0" w:color="auto"/>
      </w:divBdr>
    </w:div>
    <w:div w:id="321737967">
      <w:bodyDiv w:val="1"/>
      <w:marLeft w:val="0"/>
      <w:marRight w:val="0"/>
      <w:marTop w:val="0"/>
      <w:marBottom w:val="0"/>
      <w:divBdr>
        <w:top w:val="none" w:sz="0" w:space="0" w:color="auto"/>
        <w:left w:val="none" w:sz="0" w:space="0" w:color="auto"/>
        <w:bottom w:val="none" w:sz="0" w:space="0" w:color="auto"/>
        <w:right w:val="none" w:sz="0" w:space="0" w:color="auto"/>
      </w:divBdr>
    </w:div>
    <w:div w:id="408309127">
      <w:bodyDiv w:val="1"/>
      <w:marLeft w:val="0"/>
      <w:marRight w:val="0"/>
      <w:marTop w:val="0"/>
      <w:marBottom w:val="0"/>
      <w:divBdr>
        <w:top w:val="none" w:sz="0" w:space="0" w:color="auto"/>
        <w:left w:val="none" w:sz="0" w:space="0" w:color="auto"/>
        <w:bottom w:val="none" w:sz="0" w:space="0" w:color="auto"/>
        <w:right w:val="none" w:sz="0" w:space="0" w:color="auto"/>
      </w:divBdr>
    </w:div>
    <w:div w:id="630287141">
      <w:bodyDiv w:val="1"/>
      <w:marLeft w:val="0"/>
      <w:marRight w:val="0"/>
      <w:marTop w:val="0"/>
      <w:marBottom w:val="0"/>
      <w:divBdr>
        <w:top w:val="none" w:sz="0" w:space="0" w:color="auto"/>
        <w:left w:val="none" w:sz="0" w:space="0" w:color="auto"/>
        <w:bottom w:val="none" w:sz="0" w:space="0" w:color="auto"/>
        <w:right w:val="none" w:sz="0" w:space="0" w:color="auto"/>
      </w:divBdr>
    </w:div>
    <w:div w:id="778373722">
      <w:bodyDiv w:val="1"/>
      <w:marLeft w:val="0"/>
      <w:marRight w:val="0"/>
      <w:marTop w:val="0"/>
      <w:marBottom w:val="0"/>
      <w:divBdr>
        <w:top w:val="none" w:sz="0" w:space="0" w:color="auto"/>
        <w:left w:val="none" w:sz="0" w:space="0" w:color="auto"/>
        <w:bottom w:val="none" w:sz="0" w:space="0" w:color="auto"/>
        <w:right w:val="none" w:sz="0" w:space="0" w:color="auto"/>
      </w:divBdr>
    </w:div>
    <w:div w:id="877012699">
      <w:bodyDiv w:val="1"/>
      <w:marLeft w:val="0"/>
      <w:marRight w:val="0"/>
      <w:marTop w:val="0"/>
      <w:marBottom w:val="0"/>
      <w:divBdr>
        <w:top w:val="none" w:sz="0" w:space="0" w:color="auto"/>
        <w:left w:val="none" w:sz="0" w:space="0" w:color="auto"/>
        <w:bottom w:val="none" w:sz="0" w:space="0" w:color="auto"/>
        <w:right w:val="none" w:sz="0" w:space="0" w:color="auto"/>
      </w:divBdr>
    </w:div>
    <w:div w:id="943997113">
      <w:bodyDiv w:val="1"/>
      <w:marLeft w:val="0"/>
      <w:marRight w:val="0"/>
      <w:marTop w:val="0"/>
      <w:marBottom w:val="0"/>
      <w:divBdr>
        <w:top w:val="none" w:sz="0" w:space="0" w:color="auto"/>
        <w:left w:val="none" w:sz="0" w:space="0" w:color="auto"/>
        <w:bottom w:val="none" w:sz="0" w:space="0" w:color="auto"/>
        <w:right w:val="none" w:sz="0" w:space="0" w:color="auto"/>
      </w:divBdr>
    </w:div>
    <w:div w:id="965702726">
      <w:bodyDiv w:val="1"/>
      <w:marLeft w:val="0"/>
      <w:marRight w:val="0"/>
      <w:marTop w:val="0"/>
      <w:marBottom w:val="0"/>
      <w:divBdr>
        <w:top w:val="none" w:sz="0" w:space="0" w:color="auto"/>
        <w:left w:val="none" w:sz="0" w:space="0" w:color="auto"/>
        <w:bottom w:val="none" w:sz="0" w:space="0" w:color="auto"/>
        <w:right w:val="none" w:sz="0" w:space="0" w:color="auto"/>
      </w:divBdr>
    </w:div>
    <w:div w:id="1029452065">
      <w:bodyDiv w:val="1"/>
      <w:marLeft w:val="0"/>
      <w:marRight w:val="0"/>
      <w:marTop w:val="0"/>
      <w:marBottom w:val="0"/>
      <w:divBdr>
        <w:top w:val="none" w:sz="0" w:space="0" w:color="auto"/>
        <w:left w:val="none" w:sz="0" w:space="0" w:color="auto"/>
        <w:bottom w:val="none" w:sz="0" w:space="0" w:color="auto"/>
        <w:right w:val="none" w:sz="0" w:space="0" w:color="auto"/>
      </w:divBdr>
    </w:div>
    <w:div w:id="1058482076">
      <w:bodyDiv w:val="1"/>
      <w:marLeft w:val="0"/>
      <w:marRight w:val="0"/>
      <w:marTop w:val="0"/>
      <w:marBottom w:val="0"/>
      <w:divBdr>
        <w:top w:val="none" w:sz="0" w:space="0" w:color="auto"/>
        <w:left w:val="none" w:sz="0" w:space="0" w:color="auto"/>
        <w:bottom w:val="none" w:sz="0" w:space="0" w:color="auto"/>
        <w:right w:val="none" w:sz="0" w:space="0" w:color="auto"/>
      </w:divBdr>
    </w:div>
    <w:div w:id="1065298698">
      <w:bodyDiv w:val="1"/>
      <w:marLeft w:val="0"/>
      <w:marRight w:val="0"/>
      <w:marTop w:val="0"/>
      <w:marBottom w:val="0"/>
      <w:divBdr>
        <w:top w:val="none" w:sz="0" w:space="0" w:color="auto"/>
        <w:left w:val="none" w:sz="0" w:space="0" w:color="auto"/>
        <w:bottom w:val="none" w:sz="0" w:space="0" w:color="auto"/>
        <w:right w:val="none" w:sz="0" w:space="0" w:color="auto"/>
      </w:divBdr>
    </w:div>
    <w:div w:id="1117530664">
      <w:bodyDiv w:val="1"/>
      <w:marLeft w:val="0"/>
      <w:marRight w:val="0"/>
      <w:marTop w:val="0"/>
      <w:marBottom w:val="0"/>
      <w:divBdr>
        <w:top w:val="none" w:sz="0" w:space="0" w:color="auto"/>
        <w:left w:val="none" w:sz="0" w:space="0" w:color="auto"/>
        <w:bottom w:val="none" w:sz="0" w:space="0" w:color="auto"/>
        <w:right w:val="none" w:sz="0" w:space="0" w:color="auto"/>
      </w:divBdr>
    </w:div>
    <w:div w:id="1137918697">
      <w:bodyDiv w:val="1"/>
      <w:marLeft w:val="0"/>
      <w:marRight w:val="0"/>
      <w:marTop w:val="0"/>
      <w:marBottom w:val="0"/>
      <w:divBdr>
        <w:top w:val="none" w:sz="0" w:space="0" w:color="auto"/>
        <w:left w:val="none" w:sz="0" w:space="0" w:color="auto"/>
        <w:bottom w:val="none" w:sz="0" w:space="0" w:color="auto"/>
        <w:right w:val="none" w:sz="0" w:space="0" w:color="auto"/>
      </w:divBdr>
      <w:divsChild>
        <w:div w:id="1500540350">
          <w:marLeft w:val="0"/>
          <w:marRight w:val="0"/>
          <w:marTop w:val="0"/>
          <w:marBottom w:val="0"/>
          <w:divBdr>
            <w:top w:val="none" w:sz="0" w:space="0" w:color="auto"/>
            <w:left w:val="none" w:sz="0" w:space="0" w:color="auto"/>
            <w:bottom w:val="none" w:sz="0" w:space="0" w:color="auto"/>
            <w:right w:val="none" w:sz="0" w:space="0" w:color="auto"/>
          </w:divBdr>
        </w:div>
      </w:divsChild>
    </w:div>
    <w:div w:id="1204055919">
      <w:bodyDiv w:val="1"/>
      <w:marLeft w:val="0"/>
      <w:marRight w:val="0"/>
      <w:marTop w:val="0"/>
      <w:marBottom w:val="0"/>
      <w:divBdr>
        <w:top w:val="none" w:sz="0" w:space="0" w:color="auto"/>
        <w:left w:val="none" w:sz="0" w:space="0" w:color="auto"/>
        <w:bottom w:val="none" w:sz="0" w:space="0" w:color="auto"/>
        <w:right w:val="none" w:sz="0" w:space="0" w:color="auto"/>
      </w:divBdr>
    </w:div>
    <w:div w:id="1237783393">
      <w:bodyDiv w:val="1"/>
      <w:marLeft w:val="0"/>
      <w:marRight w:val="0"/>
      <w:marTop w:val="0"/>
      <w:marBottom w:val="0"/>
      <w:divBdr>
        <w:top w:val="none" w:sz="0" w:space="0" w:color="auto"/>
        <w:left w:val="none" w:sz="0" w:space="0" w:color="auto"/>
        <w:bottom w:val="none" w:sz="0" w:space="0" w:color="auto"/>
        <w:right w:val="none" w:sz="0" w:space="0" w:color="auto"/>
      </w:divBdr>
    </w:div>
    <w:div w:id="1335108436">
      <w:bodyDiv w:val="1"/>
      <w:marLeft w:val="0"/>
      <w:marRight w:val="0"/>
      <w:marTop w:val="0"/>
      <w:marBottom w:val="0"/>
      <w:divBdr>
        <w:top w:val="none" w:sz="0" w:space="0" w:color="auto"/>
        <w:left w:val="none" w:sz="0" w:space="0" w:color="auto"/>
        <w:bottom w:val="none" w:sz="0" w:space="0" w:color="auto"/>
        <w:right w:val="none" w:sz="0" w:space="0" w:color="auto"/>
      </w:divBdr>
    </w:div>
    <w:div w:id="1358659418">
      <w:bodyDiv w:val="1"/>
      <w:marLeft w:val="0"/>
      <w:marRight w:val="0"/>
      <w:marTop w:val="0"/>
      <w:marBottom w:val="0"/>
      <w:divBdr>
        <w:top w:val="none" w:sz="0" w:space="0" w:color="auto"/>
        <w:left w:val="none" w:sz="0" w:space="0" w:color="auto"/>
        <w:bottom w:val="none" w:sz="0" w:space="0" w:color="auto"/>
        <w:right w:val="none" w:sz="0" w:space="0" w:color="auto"/>
      </w:divBdr>
    </w:div>
    <w:div w:id="1573853477">
      <w:bodyDiv w:val="1"/>
      <w:marLeft w:val="0"/>
      <w:marRight w:val="0"/>
      <w:marTop w:val="0"/>
      <w:marBottom w:val="0"/>
      <w:divBdr>
        <w:top w:val="none" w:sz="0" w:space="0" w:color="auto"/>
        <w:left w:val="none" w:sz="0" w:space="0" w:color="auto"/>
        <w:bottom w:val="none" w:sz="0" w:space="0" w:color="auto"/>
        <w:right w:val="none" w:sz="0" w:space="0" w:color="auto"/>
      </w:divBdr>
    </w:div>
    <w:div w:id="1774596109">
      <w:bodyDiv w:val="1"/>
      <w:marLeft w:val="0"/>
      <w:marRight w:val="0"/>
      <w:marTop w:val="0"/>
      <w:marBottom w:val="0"/>
      <w:divBdr>
        <w:top w:val="none" w:sz="0" w:space="0" w:color="auto"/>
        <w:left w:val="none" w:sz="0" w:space="0" w:color="auto"/>
        <w:bottom w:val="none" w:sz="0" w:space="0" w:color="auto"/>
        <w:right w:val="none" w:sz="0" w:space="0" w:color="auto"/>
      </w:divBdr>
    </w:div>
    <w:div w:id="1775204004">
      <w:bodyDiv w:val="1"/>
      <w:marLeft w:val="0"/>
      <w:marRight w:val="0"/>
      <w:marTop w:val="0"/>
      <w:marBottom w:val="0"/>
      <w:divBdr>
        <w:top w:val="none" w:sz="0" w:space="0" w:color="auto"/>
        <w:left w:val="none" w:sz="0" w:space="0" w:color="auto"/>
        <w:bottom w:val="none" w:sz="0" w:space="0" w:color="auto"/>
        <w:right w:val="none" w:sz="0" w:space="0" w:color="auto"/>
      </w:divBdr>
      <w:divsChild>
        <w:div w:id="1143695862">
          <w:marLeft w:val="0"/>
          <w:marRight w:val="0"/>
          <w:marTop w:val="0"/>
          <w:marBottom w:val="0"/>
          <w:divBdr>
            <w:top w:val="none" w:sz="0" w:space="0" w:color="auto"/>
            <w:left w:val="none" w:sz="0" w:space="0" w:color="auto"/>
            <w:bottom w:val="none" w:sz="0" w:space="0" w:color="auto"/>
            <w:right w:val="none" w:sz="0" w:space="0" w:color="auto"/>
          </w:divBdr>
        </w:div>
        <w:div w:id="455804074">
          <w:marLeft w:val="0"/>
          <w:marRight w:val="0"/>
          <w:marTop w:val="0"/>
          <w:marBottom w:val="0"/>
          <w:divBdr>
            <w:top w:val="none" w:sz="0" w:space="0" w:color="auto"/>
            <w:left w:val="none" w:sz="0" w:space="0" w:color="auto"/>
            <w:bottom w:val="none" w:sz="0" w:space="0" w:color="auto"/>
            <w:right w:val="none" w:sz="0" w:space="0" w:color="auto"/>
          </w:divBdr>
        </w:div>
      </w:divsChild>
    </w:div>
    <w:div w:id="1832981800">
      <w:bodyDiv w:val="1"/>
      <w:marLeft w:val="0"/>
      <w:marRight w:val="0"/>
      <w:marTop w:val="0"/>
      <w:marBottom w:val="0"/>
      <w:divBdr>
        <w:top w:val="none" w:sz="0" w:space="0" w:color="auto"/>
        <w:left w:val="none" w:sz="0" w:space="0" w:color="auto"/>
        <w:bottom w:val="none" w:sz="0" w:space="0" w:color="auto"/>
        <w:right w:val="none" w:sz="0" w:space="0" w:color="auto"/>
      </w:divBdr>
    </w:div>
    <w:div w:id="1994946278">
      <w:bodyDiv w:val="1"/>
      <w:marLeft w:val="0"/>
      <w:marRight w:val="0"/>
      <w:marTop w:val="0"/>
      <w:marBottom w:val="0"/>
      <w:divBdr>
        <w:top w:val="none" w:sz="0" w:space="0" w:color="auto"/>
        <w:left w:val="none" w:sz="0" w:space="0" w:color="auto"/>
        <w:bottom w:val="none" w:sz="0" w:space="0" w:color="auto"/>
        <w:right w:val="none" w:sz="0" w:space="0" w:color="auto"/>
      </w:divBdr>
      <w:divsChild>
        <w:div w:id="1499269420">
          <w:marLeft w:val="0"/>
          <w:marRight w:val="0"/>
          <w:marTop w:val="0"/>
          <w:marBottom w:val="0"/>
          <w:divBdr>
            <w:top w:val="none" w:sz="0" w:space="0" w:color="auto"/>
            <w:left w:val="none" w:sz="0" w:space="0" w:color="auto"/>
            <w:bottom w:val="none" w:sz="0" w:space="0" w:color="auto"/>
            <w:right w:val="none" w:sz="0" w:space="0" w:color="auto"/>
          </w:divBdr>
        </w:div>
      </w:divsChild>
    </w:div>
    <w:div w:id="2003853436">
      <w:bodyDiv w:val="1"/>
      <w:marLeft w:val="0"/>
      <w:marRight w:val="0"/>
      <w:marTop w:val="0"/>
      <w:marBottom w:val="0"/>
      <w:divBdr>
        <w:top w:val="none" w:sz="0" w:space="0" w:color="auto"/>
        <w:left w:val="none" w:sz="0" w:space="0" w:color="auto"/>
        <w:bottom w:val="none" w:sz="0" w:space="0" w:color="auto"/>
        <w:right w:val="none" w:sz="0" w:space="0" w:color="auto"/>
      </w:divBdr>
    </w:div>
    <w:div w:id="2072734188">
      <w:bodyDiv w:val="1"/>
      <w:marLeft w:val="0"/>
      <w:marRight w:val="0"/>
      <w:marTop w:val="0"/>
      <w:marBottom w:val="0"/>
      <w:divBdr>
        <w:top w:val="none" w:sz="0" w:space="0" w:color="auto"/>
        <w:left w:val="none" w:sz="0" w:space="0" w:color="auto"/>
        <w:bottom w:val="none" w:sz="0" w:space="0" w:color="auto"/>
        <w:right w:val="none" w:sz="0" w:space="0" w:color="auto"/>
      </w:divBdr>
    </w:div>
    <w:div w:id="2122989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386</TotalTime>
  <Pages>4</Pages>
  <Words>1420</Words>
  <Characters>8097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javad yaghoubi</dc:creator>
  <cp:keywords/>
  <dc:description/>
  <cp:lastModifiedBy>Mohsen_Ba</cp:lastModifiedBy>
  <cp:revision>40</cp:revision>
  <dcterms:created xsi:type="dcterms:W3CDTF">2026-07-20T06:14:00Z</dcterms:created>
  <dcterms:modified xsi:type="dcterms:W3CDTF">2026-07-23T16:02:00Z</dcterms:modified>
</cp:coreProperties>
</file>