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52000" cy="1152000"/>
                    </a:xfrm>
                    <a:prstGeom prst="rect"/>
                  </pic:spPr>
                </pic:pic>
              </a:graphicData>
            </a:graphic>
          </wp:inline>
        </w:drawing>
      </w:r>
    </w:p>
    <w:p>
      <w:pPr>
        <w:bidi/>
        <w:spacing w:after="80" w:line="276" w:lineRule="auto"/>
        <w:jc w:val="center"/>
      </w:pPr>
      <w:r>
        <w:rPr>
          <w:rFonts w:ascii="Times New Roman" w:hAnsi="Times New Roman" w:cs="B Titr"/>
          <w:b/>
          <w:bCs/>
          <w:sz w:val="36"/>
          <w:szCs w:val="36"/>
          <w:rtl/>
        </w:rPr>
        <w:t>شرکت توزیع نیروی برق استان اردبیل</w:t>
      </w:r>
    </w:p>
    <w:p>
      <w:pPr>
        <w:bidi/>
        <w:spacing w:after="40" w:line="276" w:lineRule="auto"/>
        <w:jc w:val="center"/>
      </w:pPr>
      <w:r>
        <w:rPr>
          <w:rFonts w:ascii="Times New Roman" w:hAnsi="Times New Roman" w:cs="B Nazanin"/>
          <w:b w:val="0"/>
          <w:sz w:val="24"/>
          <w:szCs w:val="24"/>
          <w:rtl/>
        </w:rPr>
        <w:t>معاونت مهندسی و برنامه‌ریزی و مطالعات فنی</w:t>
      </w:r>
    </w:p>
    <w:p>
      <w:pPr>
        <w:bidi/>
        <w:spacing w:after="480" w:line="276" w:lineRule="auto"/>
        <w:jc w:val="center"/>
      </w:pPr>
      <w:r>
        <w:rPr>
          <w:rFonts w:ascii="Times New Roman" w:hAnsi="Times New Roman" w:cs="B Nazanin"/>
          <w:b w:val="0"/>
          <w:sz w:val="24"/>
          <w:szCs w:val="24"/>
          <w:rtl/>
        </w:rPr>
        <w:t>گروه هدف‌گذاری مهندسی و نظارت</w:t>
      </w:r>
    </w:p>
    <w:p>
      <w:pPr>
        <w:bidi/>
        <w:spacing w:after="600" w:line="276" w:lineRule="auto"/>
        <w:jc w:val="center"/>
      </w:pPr>
      <w:r>
        <w:rPr>
          <w:rFonts w:ascii="Times New Roman" w:hAnsi="Times New Roman" w:cs="B Titr"/>
          <w:b/>
          <w:bCs/>
          <w:color w:val="1F4E79"/>
          <w:sz w:val="44"/>
          <w:szCs w:val="44"/>
          <w:rtl/>
        </w:rPr>
        <w:t>دفترچه مطالعات تأمین برق به متقاضیان یک مگاوات و بالاتر</w:t>
      </w:r>
    </w:p>
    <w:p>
      <w:pPr>
        <w:bidi/>
        <w:spacing w:after="800" w:line="276" w:lineRule="auto"/>
        <w:jc w:val="center"/>
      </w:pPr>
      <w:r>
        <w:rPr>
          <w:rFonts w:ascii="Times New Roman" w:hAnsi="Times New Roman" w:cs="B Titr"/>
          <w:b/>
          <w:bCs/>
          <w:sz w:val="32"/>
          <w:szCs w:val="32"/>
          <w:rtl/>
        </w:rPr>
        <w:t>افزایش قدرت متقاضی تست از قدرت 1000 به 1500 کیلووات</w:t>
      </w:r>
    </w:p>
    <w:p>
      <w:pPr>
        <w:bidi/>
        <w:spacing w:after="1200" w:line="276" w:lineRule="auto"/>
        <w:jc w:val="center"/>
      </w:pPr>
      <w:r>
        <w:rPr>
          <w:rFonts w:ascii="Times New Roman" w:hAnsi="Times New Roman" w:cs="B Titr"/>
          <w:b/>
          <w:bCs/>
          <w:sz w:val="28"/>
          <w:szCs w:val="28"/>
          <w:rtl/>
        </w:rPr>
        <w:t>شهریور 1405</w:t>
      </w:r>
    </w:p>
    <w:p>
      <w:pPr>
        <w:bidi/>
        <w:spacing w:after="80" w:line="276" w:lineRule="auto"/>
        <w:jc w:val="center"/>
      </w:pPr>
      <w:r>
        <w:rPr>
          <w:rFonts w:ascii="Times New Roman" w:hAnsi="Times New Roman" w:cs="B Nazanin"/>
          <w:b/>
          <w:bCs/>
          <w:sz w:val="24"/>
          <w:szCs w:val="24"/>
          <w:rtl/>
        </w:rPr>
        <w:t>شماره گزارش: DM-18-100</w:t>
      </w:r>
    </w:p>
    <w:p>
      <w:pPr>
        <w:bidi/>
        <w:spacing w:after="80" w:line="276" w:lineRule="auto"/>
        <w:jc w:val="center"/>
      </w:pPr>
      <w:r>
        <w:rPr>
          <w:rFonts w:ascii="Times New Roman" w:hAnsi="Times New Roman" w:cs="B Nazanin"/>
          <w:b w:val="0"/>
          <w:sz w:val="24"/>
          <w:szCs w:val="24"/>
          <w:rtl/>
        </w:rPr>
        <w:t>تاریخ: 1405/06/15</w:t>
      </w:r>
    </w:p>
    <w:p>
      <w:pPr>
        <w:bidi/>
        <w:spacing w:after="120" w:line="276" w:lineRule="auto"/>
        <w:jc w:val="center"/>
      </w:pPr>
      <w:r>
        <w:rPr>
          <w:rFonts w:ascii="Times New Roman" w:hAnsi="Times New Roman" w:cs="B Nazanin"/>
          <w:b w:val="0"/>
          <w:sz w:val="24"/>
          <w:szCs w:val="24"/>
          <w:rtl/>
        </w:rPr>
        <w:t>کارشناس مطالعات: مهندس تست</w:t>
      </w:r>
    </w:p>
    <w:p>
      <w:r>
        <w:br w:type="page"/>
      </w:r>
    </w:p>
    <w:p>
      <w:pPr>
        <w:bidi/>
        <w:spacing w:after="240" w:line="276" w:lineRule="auto"/>
        <w:jc w:val="center"/>
      </w:pPr>
      <w:r>
        <w:rPr>
          <w:rFonts w:ascii="Times New Roman" w:hAnsi="Times New Roman" w:cs="B Titr"/>
          <w:b/>
          <w:bCs/>
          <w:sz w:val="32"/>
          <w:szCs w:val="32"/>
          <w:rtl/>
        </w:rPr>
        <w:t>فهرست مطالب</w:t>
      </w:r>
    </w:p>
    <w:p>
      <w:pPr>
        <w:bidi/>
      </w:pPr>
      <w:r>
        <w:fldChar w:fldCharType="begin"/>
      </w:r>
      <w:r>
        <w:instrText xml:space="preserve"> TOC \o "1-2" \h \z \u </w:instrText>
      </w:r>
      <w:r>
        <w:fldChar w:fldCharType="separate"/>
      </w:r>
      <w:r>
        <w:rPr>
          <w:rFonts w:ascii="Times New Roman" w:hAnsi="Times New Roman" w:cs="B Nazanin"/>
          <w:b w:val="0"/>
          <w:sz w:val="26"/>
          <w:szCs w:val="26"/>
          <w:rtl/>
        </w:rPr>
        <w:t>1- مقدمه</w:t>
        <w:br/>
      </w:r>
      <w:r>
        <w:rPr>
          <w:rFonts w:ascii="Times New Roman" w:hAnsi="Times New Roman" w:cs="B Nazanin"/>
          <w:b w:val="0"/>
          <w:sz w:val="26"/>
          <w:szCs w:val="26"/>
          <w:rtl/>
        </w:rPr>
        <w:t>2- تحلیل وضعیت بارگذاری فیدر ۱</w:t>
        <w:br/>
      </w:r>
      <w:r>
        <w:rPr>
          <w:rFonts w:ascii="Times New Roman" w:hAnsi="Times New Roman" w:cs="B Nazanin"/>
          <w:b w:val="0"/>
          <w:sz w:val="26"/>
          <w:szCs w:val="26"/>
          <w:rtl/>
        </w:rPr>
        <w:t>3- پیش‌بینی پیک بار در افق پنج‌ساله</w:t>
        <w:br/>
      </w:r>
      <w:r>
        <w:rPr>
          <w:rFonts w:ascii="Times New Roman" w:hAnsi="Times New Roman" w:cs="B Nazanin"/>
          <w:b w:val="0"/>
          <w:sz w:val="26"/>
          <w:szCs w:val="26"/>
          <w:rtl/>
        </w:rPr>
        <w:t>4- نتایج پخش بار قبل از افزایش قدرت</w:t>
        <w:br/>
      </w:r>
      <w:r>
        <w:rPr>
          <w:rFonts w:ascii="Times New Roman" w:hAnsi="Times New Roman" w:cs="B Nazanin"/>
          <w:b w:val="0"/>
          <w:sz w:val="26"/>
          <w:szCs w:val="26"/>
          <w:rtl/>
        </w:rPr>
        <w:t>5- نتایج پخش بار پس از افزایش قدرت</w:t>
        <w:br/>
      </w:r>
      <w:r>
        <w:rPr>
          <w:rFonts w:ascii="Times New Roman" w:hAnsi="Times New Roman" w:cs="B Nazanin"/>
          <w:b w:val="0"/>
          <w:sz w:val="26"/>
          <w:szCs w:val="26"/>
          <w:rtl/>
        </w:rPr>
        <w:t>6- جمع‌بندی</w:t>
        <w:br/>
      </w:r>
      <w:r>
        <w:rPr>
          <w:rFonts w:ascii="Times New Roman" w:hAnsi="Times New Roman" w:cs="B Nazanin"/>
          <w:b w:val="0"/>
          <w:sz w:val="26"/>
          <w:szCs w:val="26"/>
          <w:rtl/>
        </w:rPr>
        <w:t>پیوست الف- ردیابی منبع داده‌ها</w:t>
      </w:r>
      <w:r>
        <w:fldChar w:fldCharType="end"/>
      </w:r>
    </w:p>
    <w:p>
      <w:r>
        <w:br w:type="page"/>
      </w:r>
    </w:p>
    <w:p>
      <w:pPr>
        <w:pStyle w:val="Heading1"/>
        <w:bidi/>
        <w:spacing w:after="200"/>
        <w:jc w:val="right"/>
      </w:pPr>
      <w:r>
        <w:rPr>
          <w:rFonts w:ascii="Times New Roman" w:hAnsi="Times New Roman" w:cs="B Titr"/>
          <w:b/>
          <w:bCs/>
          <w:color w:val="1F4E79"/>
          <w:sz w:val="32"/>
          <w:szCs w:val="32"/>
          <w:rtl/>
        </w:rPr>
        <w:t>1- مقدمه</w:t>
      </w:r>
    </w:p>
    <w:p>
      <w:pPr>
        <w:bidi/>
        <w:spacing w:after="120" w:line="276" w:lineRule="auto"/>
        <w:jc w:val="both"/>
      </w:pPr>
      <w:r>
        <w:rPr>
          <w:rFonts w:ascii="Times New Roman" w:hAnsi="Times New Roman" w:cs="B Nazanin"/>
          <w:b w:val="0"/>
          <w:sz w:val="26"/>
          <w:szCs w:val="26"/>
          <w:rtl/>
        </w:rPr>
        <w:t>مطابق دستورالعمل مطالعات فنی اتصال مصارف سنگین TAV111-10/00 شرکت توانیر با کد «اتصال مصارف سنگین یعنی به شبکه توزیع»، برای متقاضیان یک مگاوات و بالاتر که درخواست تأمین برق از شبکه را دارند می‌بایست مطالعات فنی اتصال به شبکه انجام شده و راهکارهایی چون احداث پست، احداث خط، ایجاد نقاط مانور، اصلاح شبکه، نصب جبرانساز و ... پیشنهاد گردد. در این گزارش مطالعات لازم به منظور افزایش قدرت متقاضی تست به شرح ذیل صورت گرفته است:</w:t>
      </w:r>
    </w:p>
    <w:p>
      <w:pPr>
        <w:bidi/>
        <w:spacing w:after="120" w:line="276" w:lineRule="auto"/>
        <w:jc w:val="both"/>
      </w:pPr>
      <w:r>
        <w:rPr>
          <w:rFonts w:ascii="Times New Roman" w:hAnsi="Times New Roman" w:cs="B Nazanin"/>
          <w:b/>
          <w:bCs/>
          <w:sz w:val="26"/>
          <w:szCs w:val="26"/>
          <w:rtl/>
        </w:rPr>
        <w:t>الف- افزایش قدرت متقاضی تست از قدرت 1000 به 1500 کیلووات</w:t>
      </w:r>
    </w:p>
    <w:p>
      <w:pPr>
        <w:pStyle w:val="Heading1"/>
        <w:bidi/>
        <w:spacing w:after="200"/>
        <w:jc w:val="right"/>
      </w:pPr>
      <w:r>
        <w:rPr>
          <w:rFonts w:ascii="Times New Roman" w:hAnsi="Times New Roman" w:cs="B Titr"/>
          <w:b/>
          <w:bCs/>
          <w:color w:val="1F4E79"/>
          <w:sz w:val="32"/>
          <w:szCs w:val="32"/>
          <w:rtl/>
        </w:rPr>
        <w:t>2- تحلیل وضعیت بارگذاری فیدر ۱</w:t>
      </w:r>
    </w:p>
    <w:p>
      <w:pPr>
        <w:bidi/>
        <w:spacing w:after="120" w:line="276" w:lineRule="auto"/>
        <w:jc w:val="both"/>
      </w:pPr>
      <w:r>
        <w:rPr>
          <w:rFonts w:ascii="Times New Roman" w:hAnsi="Times New Roman" w:cs="B Nazanin"/>
          <w:b w:val="0"/>
          <w:sz w:val="26"/>
          <w:szCs w:val="26"/>
          <w:rtl/>
        </w:rPr>
        <w:t>وضعیت بارگذاری فیدر ۱ در جدول 1 نمایش داده شده است.</w:t>
      </w:r>
    </w:p>
    <w:p>
      <w:pPr>
        <w:bidi/>
        <w:spacing w:after="120" w:line="276" w:lineRule="auto"/>
        <w:jc w:val="both"/>
      </w:pPr>
      <w:r>
        <w:rPr>
          <w:rFonts w:ascii="Times New Roman" w:hAnsi="Times New Roman" w:cs="B Nazanin"/>
          <w:b w:val="0"/>
          <w:sz w:val="26"/>
          <w:szCs w:val="26"/>
          <w:rtl/>
        </w:rPr>
        <w:t>برای فیدر ۱ پروفیل بار بارگذاری‌شده در دسترس نیست و پیک بار این فیدر مطابق اطلاعات ثبت‌شده 5 مگاوات در نظر گرفته شده است.</w:t>
      </w:r>
    </w:p>
    <w:p>
      <w:pPr>
        <w:bidi/>
        <w:spacing w:after="120" w:line="276" w:lineRule="auto"/>
        <w:jc w:val="both"/>
      </w:pPr>
      <w:r>
        <w:rPr>
          <w:rFonts w:ascii="Times New Roman" w:hAnsi="Times New Roman" w:cs="B Nazanin"/>
          <w:b w:val="0"/>
          <w:sz w:val="26"/>
          <w:szCs w:val="26"/>
          <w:rtl/>
        </w:rPr>
        <w:t>مقدار بارگذاری فیدر با معیار 7 مگاوات، در دسته‌بندی فیدرهای نسبتاً پربار قرار می‌گیرد.</w:t>
      </w:r>
    </w:p>
    <w:p>
      <w:pPr>
        <w:bidi/>
        <w:spacing w:after="120" w:line="276" w:lineRule="auto"/>
        <w:jc w:val="both"/>
      </w:pPr>
      <w:r>
        <w:rPr>
          <w:rFonts w:ascii="Times New Roman" w:hAnsi="Times New Roman" w:cs="B Nazanin"/>
          <w:b w:val="0"/>
          <w:sz w:val="26"/>
          <w:szCs w:val="26"/>
          <w:rtl/>
        </w:rPr>
        <w:t>با در نظر گرفتن افزایش بار 0.5 مگاواتی برای درخواست جدید، همچنان وضعیت فیدر پایدار می‌باشد.</w:t>
      </w:r>
    </w:p>
    <w:p>
      <w:pPr>
        <w:pStyle w:val="Caption"/>
        <w:keepNext/>
        <w:bidi/>
        <w:spacing w:after="80" w:line="276" w:lineRule="auto"/>
        <w:jc w:val="center"/>
      </w:pPr>
      <w:r>
        <w:rPr>
          <w:rFonts w:ascii="Times New Roman" w:hAnsi="Times New Roman" w:cs="B Nazanin"/>
          <w:b/>
          <w:bCs/>
          <w:color w:val="000000"/>
          <w:sz w:val="24"/>
          <w:szCs w:val="24"/>
          <w:rtl/>
        </w:rPr>
        <w:t>جدول 1: وضعیت بارگذاری فیدر پست تست (در پیک سال 1405)</w:t>
      </w:r>
    </w:p>
    <w:tbl>
      <w:tblPr>
        <w:bidiVisual/>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819"/>
        <w:gridCol w:w="4819"/>
      </w:tblGrid>
      <w:tr>
        <w:trPr>
          <w:cantSplit/>
          <w:tblHeader/>
        </w:trPr>
        <w:tc>
          <w:tcPr>
            <w:tcW w:type="dxa" w:w="4819"/>
            <w:shd w:val="clear" w:color="auto" w:fill="D9E2F3"/>
          </w:tcPr>
          <w:p>
            <w:pPr>
              <w:bidi/>
              <w:spacing w:after="40" w:before="40"/>
              <w:jc w:val="center"/>
            </w:pPr>
            <w:r/>
            <w:r>
              <w:rPr>
                <w:rFonts w:ascii="Times New Roman" w:hAnsi="Times New Roman" w:cs="B Nazanin"/>
                <w:b/>
                <w:bCs/>
                <w:sz w:val="24"/>
                <w:szCs w:val="24"/>
                <w:rtl/>
              </w:rPr>
              <w:t>مشخصه</w:t>
            </w:r>
          </w:p>
        </w:tc>
        <w:tc>
          <w:tcPr>
            <w:tcW w:type="dxa" w:w="4819"/>
            <w:shd w:val="clear" w:color="auto" w:fill="D9E2F3"/>
          </w:tcPr>
          <w:p>
            <w:pPr>
              <w:bidi/>
              <w:spacing w:after="40" w:before="40"/>
              <w:jc w:val="center"/>
            </w:pPr>
            <w:r/>
            <w:r>
              <w:rPr>
                <w:rFonts w:ascii="Times New Roman" w:hAnsi="Times New Roman" w:cs="B Nazanin"/>
                <w:b/>
                <w:bCs/>
                <w:sz w:val="24"/>
                <w:szCs w:val="24"/>
                <w:rtl/>
              </w:rPr>
              <w:t>فیدر ۱</w:t>
            </w:r>
          </w:p>
        </w:tc>
      </w:tr>
      <w:tr>
        <w:trPr>
          <w:cantSplit/>
        </w:trPr>
        <w:tc>
          <w:tcPr>
            <w:tcW w:type="dxa" w:w="4819"/>
            <w:shd w:val="clear" w:color="auto" w:fill="D9E2F3"/>
          </w:tcPr>
          <w:p>
            <w:pPr>
              <w:bidi/>
              <w:spacing w:after="40" w:before="40"/>
              <w:jc w:val="center"/>
            </w:pPr>
            <w:r/>
            <w:r>
              <w:rPr>
                <w:rFonts w:ascii="Times New Roman" w:hAnsi="Times New Roman" w:cs="B Nazanin"/>
                <w:b/>
                <w:bCs/>
                <w:sz w:val="24"/>
                <w:szCs w:val="24"/>
                <w:rtl/>
              </w:rPr>
              <w:t>پیک بار تابستان (آمپر)</w:t>
            </w:r>
          </w:p>
        </w:tc>
        <w:tc>
          <w:tcPr>
            <w:tcW w:type="dxa" w:w="4819"/>
          </w:tcPr>
          <w:p>
            <w:pPr>
              <w:bidi/>
              <w:spacing w:after="40" w:before="40"/>
              <w:jc w:val="center"/>
            </w:pPr>
            <w:r/>
            <w:r>
              <w:rPr>
                <w:rFonts w:ascii="Times New Roman" w:hAnsi="Times New Roman" w:cs="B Nazanin"/>
                <w:b w:val="0"/>
                <w:sz w:val="24"/>
                <w:szCs w:val="24"/>
                <w:rtl/>
              </w:rPr>
              <w:t>—</w:t>
            </w:r>
          </w:p>
        </w:tc>
      </w:tr>
      <w:tr>
        <w:trPr>
          <w:cantSplit/>
        </w:trPr>
        <w:tc>
          <w:tcPr>
            <w:tcW w:type="dxa" w:w="4819"/>
            <w:shd w:val="clear" w:color="auto" w:fill="D9E2F3"/>
          </w:tcPr>
          <w:p>
            <w:pPr>
              <w:bidi/>
              <w:spacing w:after="40" w:before="40"/>
              <w:jc w:val="center"/>
            </w:pPr>
            <w:r/>
            <w:r>
              <w:rPr>
                <w:rFonts w:ascii="Times New Roman" w:hAnsi="Times New Roman" w:cs="B Nazanin"/>
                <w:b/>
                <w:bCs/>
                <w:sz w:val="24"/>
                <w:szCs w:val="24"/>
                <w:rtl/>
              </w:rPr>
              <w:t>پیک بار تابستان (مگاوات)</w:t>
            </w:r>
          </w:p>
        </w:tc>
        <w:tc>
          <w:tcPr>
            <w:tcW w:type="dxa" w:w="4819"/>
          </w:tcPr>
          <w:p>
            <w:pPr>
              <w:bidi/>
              <w:spacing w:after="40" w:before="40"/>
              <w:jc w:val="center"/>
            </w:pPr>
            <w:r/>
            <w:r>
              <w:rPr>
                <w:rFonts w:ascii="Times New Roman" w:hAnsi="Times New Roman" w:cs="B Nazanin"/>
                <w:b w:val="0"/>
                <w:sz w:val="24"/>
                <w:szCs w:val="24"/>
                <w:rtl/>
              </w:rPr>
              <w:t>5</w:t>
            </w:r>
          </w:p>
        </w:tc>
      </w:tr>
      <w:tr>
        <w:trPr>
          <w:cantSplit/>
        </w:trPr>
        <w:tc>
          <w:tcPr>
            <w:tcW w:type="dxa" w:w="4819"/>
            <w:shd w:val="clear" w:color="auto" w:fill="D9E2F3"/>
          </w:tcPr>
          <w:p>
            <w:pPr>
              <w:bidi/>
              <w:spacing w:after="40" w:before="40"/>
              <w:jc w:val="center"/>
            </w:pPr>
            <w:r/>
            <w:r>
              <w:rPr>
                <w:rFonts w:ascii="Times New Roman" w:hAnsi="Times New Roman" w:cs="B Nazanin"/>
                <w:b/>
                <w:bCs/>
                <w:sz w:val="24"/>
                <w:szCs w:val="24"/>
                <w:rtl/>
              </w:rPr>
              <w:t>ضریب توان در پیک</w:t>
            </w:r>
          </w:p>
        </w:tc>
        <w:tc>
          <w:tcPr>
            <w:tcW w:type="dxa" w:w="4819"/>
          </w:tcPr>
          <w:p>
            <w:pPr>
              <w:bidi/>
              <w:spacing w:after="40" w:before="40"/>
              <w:jc w:val="center"/>
            </w:pPr>
            <w:r/>
            <w:r>
              <w:rPr>
                <w:rFonts w:ascii="Times New Roman" w:hAnsi="Times New Roman" w:cs="B Nazanin"/>
                <w:b w:val="0"/>
                <w:sz w:val="24"/>
                <w:szCs w:val="24"/>
                <w:rtl/>
              </w:rPr>
              <w:t>0.93</w:t>
            </w:r>
          </w:p>
        </w:tc>
      </w:tr>
    </w:tbl>
    <w:p>
      <w:pPr>
        <w:spacing w:after="40"/>
      </w:pPr>
    </w:p>
    <w:p>
      <w:pPr>
        <w:pStyle w:val="Heading1"/>
        <w:bidi/>
        <w:spacing w:after="200"/>
        <w:jc w:val="right"/>
      </w:pPr>
      <w:r>
        <w:rPr>
          <w:rFonts w:ascii="Times New Roman" w:hAnsi="Times New Roman" w:cs="B Titr"/>
          <w:b/>
          <w:bCs/>
          <w:color w:val="1F4E79"/>
          <w:sz w:val="32"/>
          <w:szCs w:val="32"/>
          <w:rtl/>
        </w:rPr>
        <w:t>3- پیش‌بینی پیک بار در افق پنج‌ساله</w:t>
      </w:r>
    </w:p>
    <w:p>
      <w:pPr>
        <w:bidi/>
        <w:spacing w:after="120" w:line="276" w:lineRule="auto"/>
        <w:jc w:val="both"/>
      </w:pPr>
      <w:r>
        <w:rPr>
          <w:rFonts w:ascii="Times New Roman" w:hAnsi="Times New Roman" w:cs="B Nazanin"/>
          <w:b w:val="0"/>
          <w:sz w:val="26"/>
          <w:szCs w:val="26"/>
          <w:rtl/>
        </w:rPr>
        <w:t>همچنین مطابق شکل 1، پیش‌بینی پیک بار فیدر ۱ در افق 5 ساله با استفاده از ابزار رگرسیون خطی تخمین زده شده است. بر اساس روند رشد بار، پیک بار فیدر در سال 1410 به حدود 6.52 مگاوات خواهد رسید. روند رشد بار بر روی این فیدر در افق پنج‌ساله نشان‌دهنده افزایش قابل توجه بارگذاری می‌باشد.</w:t>
      </w:r>
    </w:p>
    <w:p>
      <w:pPr>
        <w:keepNext/>
        <w:jc w:val="center"/>
      </w:pPr>
      <w:r>
        <w:drawing>
          <wp:inline xmlns:a="http://schemas.openxmlformats.org/drawingml/2006/main" xmlns:pic="http://schemas.openxmlformats.org/drawingml/2006/picture">
            <wp:extent cx="5400000" cy="2462222"/>
            <wp:docPr id="2" name="Picture 2"/>
            <wp:cNvGraphicFramePr>
              <a:graphicFrameLocks noChangeAspect="1"/>
            </wp:cNvGraphicFramePr>
            <a:graphic>
              <a:graphicData uri="http://schemas.openxmlformats.org/drawingml/2006/picture">
                <pic:pic>
                  <pic:nvPicPr>
                    <pic:cNvPr id="0" name="forecast_66ab397f.png"/>
                    <pic:cNvPicPr/>
                  </pic:nvPicPr>
                  <pic:blipFill>
                    <a:blip r:embed="rId12"/>
                    <a:stretch>
                      <a:fillRect/>
                    </a:stretch>
                  </pic:blipFill>
                  <pic:spPr>
                    <a:xfrm>
                      <a:off x="0" y="0"/>
                      <a:ext cx="5400000" cy="2462222"/>
                    </a:xfrm>
                    <a:prstGeom prst="rect"/>
                  </pic:spPr>
                </pic:pic>
              </a:graphicData>
            </a:graphic>
          </wp:inline>
        </w:drawing>
      </w:r>
    </w:p>
    <w:p>
      <w:pPr>
        <w:pStyle w:val="Caption"/>
        <w:bidi/>
        <w:spacing w:after="200" w:line="276" w:lineRule="auto"/>
        <w:jc w:val="center"/>
      </w:pPr>
      <w:r>
        <w:rPr>
          <w:rFonts w:ascii="Times New Roman" w:hAnsi="Times New Roman" w:cs="B Nazanin"/>
          <w:b/>
          <w:bCs/>
          <w:color w:val="000000"/>
          <w:sz w:val="24"/>
          <w:szCs w:val="24"/>
          <w:rtl/>
        </w:rPr>
        <w:t>شکل 1: منحنی پیش‌بینی پیک بار در افق 5 ساله برای فیدر ۱</w:t>
      </w:r>
    </w:p>
    <w:p>
      <w:pPr>
        <w:pStyle w:val="Heading1"/>
        <w:bidi/>
        <w:spacing w:after="200"/>
        <w:jc w:val="right"/>
      </w:pPr>
      <w:r>
        <w:rPr>
          <w:rFonts w:ascii="Times New Roman" w:hAnsi="Times New Roman" w:cs="B Titr"/>
          <w:b/>
          <w:bCs/>
          <w:color w:val="1F4E79"/>
          <w:sz w:val="32"/>
          <w:szCs w:val="32"/>
          <w:rtl/>
        </w:rPr>
        <w:t>4- نتایج پخش بار قبل از افزایش قدرت</w:t>
      </w:r>
    </w:p>
    <w:p>
      <w:pPr>
        <w:bidi/>
        <w:spacing w:after="120" w:line="276" w:lineRule="auto"/>
        <w:jc w:val="both"/>
      </w:pPr>
      <w:r>
        <w:rPr>
          <w:rFonts w:ascii="Times New Roman" w:hAnsi="Times New Roman" w:cs="B Nazanin"/>
          <w:b w:val="0"/>
          <w:sz w:val="26"/>
          <w:szCs w:val="26"/>
          <w:rtl/>
        </w:rPr>
        <w:t>نتیجه پخش بار برای شرایط فعلی و بدون لحاظ کردن افزایش قدرت متقاضی تست به شرح ذیل می‌باشد.</w:t>
      </w:r>
    </w:p>
    <w:p>
      <w:pPr>
        <w:bidi/>
        <w:spacing w:after="120" w:line="276" w:lineRule="auto"/>
        <w:jc w:val="both"/>
      </w:pPr>
      <w:r>
        <w:rPr>
          <w:rFonts w:ascii="Times New Roman" w:hAnsi="Times New Roman" w:cs="B Nazanin"/>
          <w:b w:val="0"/>
          <w:sz w:val="26"/>
          <w:szCs w:val="26"/>
          <w:rtl/>
        </w:rPr>
        <w:t>حداقل ولتاژ انتهای فیدر ۱ برابر با 0.97 پریونیت، جریان ابتدای فیدر 180 آمپر و تلفات خط 400 کیلووات می‌باشد. ولتاژ باس بار متقاضی در این وضعیت 0.98 پریونیت می‌باشد.</w:t>
      </w:r>
    </w:p>
    <w:p>
      <w:pPr>
        <w:pStyle w:val="Heading1"/>
        <w:bidi/>
        <w:spacing w:after="200"/>
        <w:jc w:val="right"/>
      </w:pPr>
      <w:r>
        <w:rPr>
          <w:rFonts w:ascii="Times New Roman" w:hAnsi="Times New Roman" w:cs="B Titr"/>
          <w:b/>
          <w:bCs/>
          <w:color w:val="1F4E79"/>
          <w:sz w:val="32"/>
          <w:szCs w:val="32"/>
          <w:rtl/>
        </w:rPr>
        <w:t>5- نتایج پخش بار پس از افزایش قدرت</w:t>
      </w:r>
    </w:p>
    <w:p>
      <w:pPr>
        <w:bidi/>
        <w:spacing w:after="120" w:line="276" w:lineRule="auto"/>
        <w:jc w:val="both"/>
      </w:pPr>
      <w:r>
        <w:rPr>
          <w:rFonts w:ascii="Times New Roman" w:hAnsi="Times New Roman" w:cs="B Nazanin"/>
          <w:b w:val="0"/>
          <w:sz w:val="26"/>
          <w:szCs w:val="26"/>
          <w:rtl/>
        </w:rPr>
        <w:t>در این بخش اثر افزایش قدرت متقاضی تست بر روی فیدر ۱ مورد بررسی قرار می‌گیرد. طبق خروجی نرم‌افزار PowerFactory برای پخش بار، مقدار جریان، تلفات و حداقل ولتاژ فیدر پس از افزایش قدرت مطابق جدول 2 به‌دست می‌آید.</w:t>
      </w:r>
    </w:p>
    <w:p>
      <w:pPr>
        <w:bidi/>
        <w:spacing w:after="120" w:line="276" w:lineRule="auto"/>
        <w:jc w:val="both"/>
      </w:pPr>
      <w:r>
        <w:rPr>
          <w:rFonts w:ascii="Times New Roman" w:hAnsi="Times New Roman" w:cs="B Nazanin"/>
          <w:b w:val="0"/>
          <w:sz w:val="26"/>
          <w:szCs w:val="26"/>
          <w:rtl/>
        </w:rPr>
        <w:t>مطابق آخرین دستورالعمل اتصال مصارف سنگین، تغییر حداقل ولتاژ انتهای فیدر پس از اعمال بار جدید نباید بیشتر از 5 درصد باشد. در این مورد، تغییر حداقل ولتاژ فیدر ۱ برابر -1 درصد بوده و حداقل ولتاژ فیدر (0.96 پریونیت) همچنان در محدوده مجاز قرار دارد.</w:t>
      </w:r>
    </w:p>
    <w:p>
      <w:pPr>
        <w:bidi/>
        <w:spacing w:after="120" w:line="276" w:lineRule="auto"/>
        <w:jc w:val="both"/>
      </w:pPr>
      <w:r>
        <w:rPr>
          <w:rFonts w:ascii="Times New Roman" w:hAnsi="Times New Roman" w:cs="B Nazanin"/>
          <w:b w:val="0"/>
          <w:sz w:val="26"/>
          <w:szCs w:val="26"/>
          <w:rtl/>
        </w:rPr>
        <w:t>جریان ابتدای فیدر ۱ از 180 آمپر به 205 آمپر تغییر یافته است.</w:t>
      </w:r>
    </w:p>
    <w:p>
      <w:pPr>
        <w:bidi/>
        <w:spacing w:after="120" w:line="276" w:lineRule="auto"/>
        <w:jc w:val="both"/>
      </w:pPr>
      <w:r>
        <w:rPr>
          <w:rFonts w:ascii="Times New Roman" w:hAnsi="Times New Roman" w:cs="B Nazanin"/>
          <w:b w:val="0"/>
          <w:sz w:val="26"/>
          <w:szCs w:val="26"/>
          <w:rtl/>
        </w:rPr>
        <w:t>تلفات فیدر ۱ از 400 کیلووات به 420 کیلووات تغییر یافته است.</w:t>
      </w:r>
    </w:p>
    <w:p>
      <w:pPr>
        <w:bidi/>
        <w:spacing w:after="120" w:line="276" w:lineRule="auto"/>
        <w:jc w:val="both"/>
      </w:pPr>
      <w:r>
        <w:rPr>
          <w:rFonts w:ascii="Times New Roman" w:hAnsi="Times New Roman" w:cs="B Nazanin"/>
          <w:b w:val="0"/>
          <w:sz w:val="26"/>
          <w:szCs w:val="26"/>
          <w:rtl/>
        </w:rPr>
        <w:t>ولتاژ باس بار متقاضی نیز از 0.98 به 0.97 پریونیت تغییر می‌یابد.</w:t>
      </w:r>
    </w:p>
    <w:p>
      <w:pPr>
        <w:pStyle w:val="Caption"/>
        <w:keepNext/>
        <w:bidi/>
        <w:spacing w:after="80" w:line="276" w:lineRule="auto"/>
        <w:jc w:val="center"/>
      </w:pPr>
      <w:r>
        <w:rPr>
          <w:rFonts w:ascii="Times New Roman" w:hAnsi="Times New Roman" w:cs="B Nazanin"/>
          <w:b/>
          <w:bCs/>
          <w:color w:val="000000"/>
          <w:sz w:val="24"/>
          <w:szCs w:val="24"/>
          <w:rtl/>
        </w:rPr>
        <w:t>جدول 2: نتایج مربوط به افزایش قدرت متقاضی تست از قدرت 1000 به 1500 کیلووات</w:t>
      </w:r>
    </w:p>
    <w:tbl>
      <w:tblPr>
        <w:bidiVisual/>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28"/>
        <w:gridCol w:w="1928"/>
        <w:gridCol w:w="1928"/>
        <w:gridCol w:w="1928"/>
        <w:gridCol w:w="1928"/>
      </w:tblGrid>
      <w:tr>
        <w:trPr>
          <w:cantSplit/>
          <w:tblHeader/>
        </w:trPr>
        <w:tc>
          <w:tcPr>
            <w:tcW w:type="dxa" w:w="1928"/>
            <w:shd w:val="clear" w:color="auto" w:fill="D9E2F3"/>
          </w:tcPr>
          <w:p>
            <w:pPr>
              <w:bidi/>
              <w:spacing w:after="40" w:before="40"/>
              <w:jc w:val="center"/>
            </w:pPr>
            <w:r/>
            <w:r>
              <w:rPr>
                <w:rFonts w:ascii="Times New Roman" w:hAnsi="Times New Roman" w:cs="B Nazanin"/>
                <w:b/>
                <w:bCs/>
                <w:sz w:val="24"/>
                <w:szCs w:val="24"/>
                <w:rtl/>
              </w:rPr>
              <w:t>وضعیت</w:t>
            </w:r>
          </w:p>
        </w:tc>
        <w:tc>
          <w:tcPr>
            <w:tcW w:type="dxa" w:w="7712"/>
            <w:gridSpan w:val="4"/>
            <w:shd w:val="clear" w:color="auto" w:fill="D9E2F3"/>
          </w:tcPr>
          <w:p>
            <w:pPr>
              <w:bidi/>
              <w:spacing w:after="40" w:before="40"/>
              <w:jc w:val="center"/>
            </w:pPr>
            <w:r/>
            <w:r>
              <w:rPr>
                <w:rFonts w:ascii="Times New Roman" w:hAnsi="Times New Roman" w:cs="B Nazanin"/>
                <w:b/>
                <w:bCs/>
                <w:sz w:val="24"/>
                <w:szCs w:val="24"/>
                <w:rtl/>
              </w:rPr>
              <w:t>فیدر ۱</w:t>
            </w:r>
          </w:p>
          <w:p>
            <w:pPr>
              <w:bidi/>
              <w:spacing w:after="40" w:before="40"/>
              <w:jc w:val="center"/>
            </w:pPr>
            <w:r/>
            <w:r>
              <w:rPr>
                <w:rFonts w:ascii="Times New Roman" w:hAnsi="Times New Roman" w:cs="B Nazanin"/>
                <w:b/>
                <w:bCs/>
                <w:sz w:val="24"/>
                <w:szCs w:val="24"/>
                <w:rtl/>
              </w:rPr>
            </w:r>
          </w:p>
          <w:p>
            <w:pPr>
              <w:bidi/>
              <w:spacing w:after="40" w:before="40"/>
              <w:jc w:val="center"/>
            </w:pPr>
            <w:r/>
            <w:r>
              <w:rPr>
                <w:rFonts w:ascii="Times New Roman" w:hAnsi="Times New Roman" w:cs="B Nazanin"/>
                <w:b/>
                <w:bCs/>
                <w:sz w:val="24"/>
                <w:szCs w:val="24"/>
                <w:rtl/>
              </w:rPr>
            </w:r>
          </w:p>
          <w:p>
            <w:pPr>
              <w:bidi/>
              <w:spacing w:after="40" w:before="40"/>
              <w:jc w:val="center"/>
            </w:pPr>
            <w:r/>
            <w:r>
              <w:rPr>
                <w:rFonts w:ascii="Times New Roman" w:hAnsi="Times New Roman" w:cs="B Nazanin"/>
                <w:b/>
                <w:bCs/>
                <w:sz w:val="24"/>
                <w:szCs w:val="24"/>
                <w:rtl/>
              </w:rPr>
            </w:r>
          </w:p>
        </w:tc>
      </w:tr>
      <w:tr>
        <w:trPr>
          <w:cantSplit/>
          <w:tblHeader/>
        </w:trPr>
        <w:tc>
          <w:tcPr>
            <w:tcW w:type="dxa" w:w="1928"/>
            <w:shd w:val="clear" w:color="auto" w:fill="D9E2F3"/>
          </w:tcPr>
          <w:p>
            <w:pPr>
              <w:bidi/>
              <w:spacing w:after="40" w:before="40"/>
              <w:jc w:val="center"/>
            </w:pPr>
            <w:r/>
            <w:r>
              <w:rPr>
                <w:rFonts w:ascii="Times New Roman" w:hAnsi="Times New Roman" w:cs="B Nazanin"/>
                <w:b/>
                <w:bCs/>
                <w:sz w:val="24"/>
                <w:szCs w:val="24"/>
                <w:rtl/>
              </w:rPr>
              <w:t>وضعیت</w:t>
            </w:r>
          </w:p>
        </w:tc>
        <w:tc>
          <w:tcPr>
            <w:tcW w:type="dxa" w:w="1928"/>
            <w:shd w:val="clear" w:color="auto" w:fill="D9E2F3"/>
          </w:tcPr>
          <w:p>
            <w:pPr>
              <w:bidi/>
              <w:spacing w:after="40" w:before="40"/>
              <w:jc w:val="center"/>
            </w:pPr>
            <w:r/>
            <w:r>
              <w:rPr>
                <w:rFonts w:ascii="Times New Roman" w:hAnsi="Times New Roman" w:cs="B Nazanin"/>
                <w:b/>
                <w:bCs/>
                <w:sz w:val="24"/>
                <w:szCs w:val="24"/>
                <w:rtl/>
              </w:rPr>
              <w:t>جریان (آمپر)</w:t>
            </w:r>
          </w:p>
        </w:tc>
        <w:tc>
          <w:tcPr>
            <w:tcW w:type="dxa" w:w="1928"/>
            <w:shd w:val="clear" w:color="auto" w:fill="D9E2F3"/>
          </w:tcPr>
          <w:p>
            <w:pPr>
              <w:bidi/>
              <w:spacing w:after="40" w:before="40"/>
              <w:jc w:val="center"/>
            </w:pPr>
            <w:r/>
            <w:r>
              <w:rPr>
                <w:rFonts w:ascii="Times New Roman" w:hAnsi="Times New Roman" w:cs="B Nazanin"/>
                <w:b/>
                <w:bCs/>
                <w:sz w:val="24"/>
                <w:szCs w:val="24"/>
                <w:rtl/>
              </w:rPr>
              <w:t>تلفات (KW)</w:t>
            </w:r>
          </w:p>
        </w:tc>
        <w:tc>
          <w:tcPr>
            <w:tcW w:type="dxa" w:w="1928"/>
            <w:shd w:val="clear" w:color="auto" w:fill="D9E2F3"/>
          </w:tcPr>
          <w:p>
            <w:pPr>
              <w:bidi/>
              <w:spacing w:after="40" w:before="40"/>
              <w:jc w:val="center"/>
            </w:pPr>
            <w:r/>
            <w:r>
              <w:rPr>
                <w:rFonts w:ascii="Times New Roman" w:hAnsi="Times New Roman" w:cs="B Nazanin"/>
                <w:b/>
                <w:bCs/>
                <w:sz w:val="24"/>
                <w:szCs w:val="24"/>
                <w:rtl/>
              </w:rPr>
              <w:t>حداقل ولتاژ فیدر (P.U.)</w:t>
            </w:r>
          </w:p>
        </w:tc>
        <w:tc>
          <w:tcPr>
            <w:tcW w:type="dxa" w:w="1928"/>
            <w:shd w:val="clear" w:color="auto" w:fill="D9E2F3"/>
          </w:tcPr>
          <w:p>
            <w:pPr>
              <w:bidi/>
              <w:spacing w:after="40" w:before="40"/>
              <w:jc w:val="center"/>
            </w:pPr>
            <w:r/>
            <w:r>
              <w:rPr>
                <w:rFonts w:ascii="Times New Roman" w:hAnsi="Times New Roman" w:cs="B Nazanin"/>
                <w:b/>
                <w:bCs/>
                <w:sz w:val="24"/>
                <w:szCs w:val="24"/>
                <w:rtl/>
              </w:rPr>
              <w:t>ولتاژ باس بار متقاضی (P.U.)</w:t>
            </w:r>
          </w:p>
        </w:tc>
      </w:tr>
      <w:tr>
        <w:trPr>
          <w:cantSplit/>
        </w:trPr>
        <w:tc>
          <w:tcPr>
            <w:tcW w:type="dxa" w:w="1928"/>
            <w:shd w:val="clear" w:color="auto" w:fill="D9E2F3"/>
          </w:tcPr>
          <w:p>
            <w:pPr>
              <w:bidi/>
              <w:spacing w:after="40" w:before="40"/>
              <w:jc w:val="center"/>
            </w:pPr>
            <w:r/>
            <w:r>
              <w:rPr>
                <w:rFonts w:ascii="Times New Roman" w:hAnsi="Times New Roman" w:cs="B Nazanin"/>
                <w:b/>
                <w:bCs/>
                <w:sz w:val="24"/>
                <w:szCs w:val="24"/>
                <w:rtl/>
              </w:rPr>
              <w:t>وضعیت فعلی</w:t>
            </w:r>
          </w:p>
        </w:tc>
        <w:tc>
          <w:tcPr>
            <w:tcW w:type="dxa" w:w="1928"/>
          </w:tcPr>
          <w:p>
            <w:pPr>
              <w:bidi/>
              <w:spacing w:after="40" w:before="40"/>
              <w:jc w:val="center"/>
            </w:pPr>
            <w:r/>
            <w:r>
              <w:rPr>
                <w:rFonts w:ascii="Times New Roman" w:hAnsi="Times New Roman" w:cs="B Nazanin"/>
                <w:b w:val="0"/>
                <w:sz w:val="24"/>
                <w:szCs w:val="24"/>
                <w:rtl/>
              </w:rPr>
              <w:t>180</w:t>
            </w:r>
          </w:p>
        </w:tc>
        <w:tc>
          <w:tcPr>
            <w:tcW w:type="dxa" w:w="1928"/>
          </w:tcPr>
          <w:p>
            <w:pPr>
              <w:bidi/>
              <w:spacing w:after="40" w:before="40"/>
              <w:jc w:val="center"/>
            </w:pPr>
            <w:r/>
            <w:r>
              <w:rPr>
                <w:rFonts w:ascii="Times New Roman" w:hAnsi="Times New Roman" w:cs="B Nazanin"/>
                <w:b w:val="0"/>
                <w:sz w:val="24"/>
                <w:szCs w:val="24"/>
                <w:rtl/>
              </w:rPr>
              <w:t>400</w:t>
            </w:r>
          </w:p>
        </w:tc>
        <w:tc>
          <w:tcPr>
            <w:tcW w:type="dxa" w:w="1928"/>
          </w:tcPr>
          <w:p>
            <w:pPr>
              <w:bidi/>
              <w:spacing w:after="40" w:before="40"/>
              <w:jc w:val="center"/>
            </w:pPr>
            <w:r/>
            <w:r>
              <w:rPr>
                <w:rFonts w:ascii="Times New Roman" w:hAnsi="Times New Roman" w:cs="B Nazanin"/>
                <w:b w:val="0"/>
                <w:sz w:val="24"/>
                <w:szCs w:val="24"/>
                <w:rtl/>
              </w:rPr>
              <w:t>0.97</w:t>
            </w:r>
          </w:p>
        </w:tc>
        <w:tc>
          <w:tcPr>
            <w:tcW w:type="dxa" w:w="1928"/>
          </w:tcPr>
          <w:p>
            <w:pPr>
              <w:bidi/>
              <w:spacing w:after="40" w:before="40"/>
              <w:jc w:val="center"/>
            </w:pPr>
            <w:r/>
            <w:r>
              <w:rPr>
                <w:rFonts w:ascii="Times New Roman" w:hAnsi="Times New Roman" w:cs="B Nazanin"/>
                <w:b w:val="0"/>
                <w:sz w:val="24"/>
                <w:szCs w:val="24"/>
                <w:rtl/>
              </w:rPr>
              <w:t>0.98</w:t>
            </w:r>
          </w:p>
        </w:tc>
      </w:tr>
      <w:tr>
        <w:trPr>
          <w:cantSplit/>
        </w:trPr>
        <w:tc>
          <w:tcPr>
            <w:tcW w:type="dxa" w:w="1928"/>
            <w:shd w:val="clear" w:color="auto" w:fill="D9E2F3"/>
          </w:tcPr>
          <w:p>
            <w:pPr>
              <w:bidi/>
              <w:spacing w:after="40" w:before="40"/>
              <w:jc w:val="center"/>
            </w:pPr>
            <w:r/>
            <w:r>
              <w:rPr>
                <w:rFonts w:ascii="Times New Roman" w:hAnsi="Times New Roman" w:cs="B Nazanin"/>
                <w:b/>
                <w:bCs/>
                <w:sz w:val="24"/>
                <w:szCs w:val="24"/>
                <w:rtl/>
              </w:rPr>
              <w:t>اثر افزایش قدرت</w:t>
            </w:r>
          </w:p>
        </w:tc>
        <w:tc>
          <w:tcPr>
            <w:tcW w:type="dxa" w:w="1928"/>
          </w:tcPr>
          <w:p>
            <w:pPr>
              <w:bidi/>
              <w:spacing w:after="40" w:before="40"/>
              <w:jc w:val="center"/>
            </w:pPr>
            <w:r/>
            <w:r>
              <w:rPr>
                <w:rFonts w:ascii="Times New Roman" w:hAnsi="Times New Roman" w:cs="B Nazanin"/>
                <w:b w:val="0"/>
                <w:sz w:val="24"/>
                <w:szCs w:val="24"/>
                <w:rtl/>
              </w:rPr>
              <w:t>205</w:t>
            </w:r>
          </w:p>
        </w:tc>
        <w:tc>
          <w:tcPr>
            <w:tcW w:type="dxa" w:w="1928"/>
          </w:tcPr>
          <w:p>
            <w:pPr>
              <w:bidi/>
              <w:spacing w:after="40" w:before="40"/>
              <w:jc w:val="center"/>
            </w:pPr>
            <w:r/>
            <w:r>
              <w:rPr>
                <w:rFonts w:ascii="Times New Roman" w:hAnsi="Times New Roman" w:cs="B Nazanin"/>
                <w:b w:val="0"/>
                <w:sz w:val="24"/>
                <w:szCs w:val="24"/>
                <w:rtl/>
              </w:rPr>
              <w:t>420</w:t>
            </w:r>
          </w:p>
        </w:tc>
        <w:tc>
          <w:tcPr>
            <w:tcW w:type="dxa" w:w="1928"/>
          </w:tcPr>
          <w:p>
            <w:pPr>
              <w:bidi/>
              <w:spacing w:after="40" w:before="40"/>
              <w:jc w:val="center"/>
            </w:pPr>
            <w:r/>
            <w:r>
              <w:rPr>
                <w:rFonts w:ascii="Times New Roman" w:hAnsi="Times New Roman" w:cs="B Nazanin"/>
                <w:b w:val="0"/>
                <w:sz w:val="24"/>
                <w:szCs w:val="24"/>
                <w:rtl/>
              </w:rPr>
              <w:t>0.96</w:t>
            </w:r>
          </w:p>
        </w:tc>
        <w:tc>
          <w:tcPr>
            <w:tcW w:type="dxa" w:w="1928"/>
          </w:tcPr>
          <w:p>
            <w:pPr>
              <w:bidi/>
              <w:spacing w:after="40" w:before="40"/>
              <w:jc w:val="center"/>
            </w:pPr>
            <w:r/>
            <w:r>
              <w:rPr>
                <w:rFonts w:ascii="Times New Roman" w:hAnsi="Times New Roman" w:cs="B Nazanin"/>
                <w:b w:val="0"/>
                <w:sz w:val="24"/>
                <w:szCs w:val="24"/>
                <w:rtl/>
              </w:rPr>
              <w:t>0.97</w:t>
            </w:r>
          </w:p>
        </w:tc>
      </w:tr>
    </w:tbl>
    <w:p>
      <w:pPr>
        <w:spacing w:after="40"/>
      </w:pPr>
    </w:p>
    <w:p>
      <w:pPr>
        <w:pStyle w:val="Heading1"/>
        <w:bidi/>
        <w:spacing w:after="200"/>
        <w:jc w:val="right"/>
      </w:pPr>
      <w:r>
        <w:rPr>
          <w:rFonts w:ascii="Times New Roman" w:hAnsi="Times New Roman" w:cs="B Titr"/>
          <w:b/>
          <w:bCs/>
          <w:color w:val="1F4E79"/>
          <w:sz w:val="32"/>
          <w:szCs w:val="32"/>
          <w:rtl/>
        </w:rPr>
        <w:t>6- جمع‌بندی</w:t>
      </w:r>
    </w:p>
    <w:p>
      <w:pPr>
        <w:bidi/>
        <w:spacing w:after="120" w:line="276" w:lineRule="auto"/>
        <w:jc w:val="both"/>
      </w:pPr>
      <w:r>
        <w:rPr>
          <w:rFonts w:ascii="Times New Roman" w:hAnsi="Times New Roman" w:cs="B Nazanin"/>
          <w:b w:val="0"/>
          <w:sz w:val="26"/>
          <w:szCs w:val="26"/>
          <w:rtl/>
        </w:rPr>
        <w:t>با توجه به نتایج مطالعات انجام‌شده، افزایش قدرت متقاضی تست متقاضی تست از نظر جریان، تلفات و ولتاژ اثر قابل توجهی بر وضعیت فیدر ۱ ندارد؛ تغییر حداقل ولتاژ در حد مجاز دستورالعمل (حداکثر 5 درصد) بوده و حداقل ولتاژ فیدر در محدوده مجاز قرار دارد. لذا تأمین برق متقاضی از شبکه توزیع از نظر فنی امکان‌پذیر می‌باشد.</w:t>
      </w:r>
    </w:p>
    <w:p>
      <w:pPr>
        <w:pStyle w:val="Heading1"/>
        <w:bidi/>
        <w:spacing w:after="200"/>
        <w:jc w:val="right"/>
      </w:pPr>
      <w:r>
        <w:rPr>
          <w:rFonts w:ascii="Times New Roman" w:hAnsi="Times New Roman" w:cs="B Titr"/>
          <w:b/>
          <w:bCs/>
          <w:color w:val="1F4E79"/>
          <w:sz w:val="32"/>
          <w:szCs w:val="32"/>
          <w:rtl/>
        </w:rPr>
        <w:t>پیوست الف- ردیابی منبع داده‌ها</w:t>
      </w:r>
    </w:p>
    <w:p>
      <w:pPr>
        <w:bidi/>
        <w:spacing w:after="120" w:line="276" w:lineRule="auto"/>
        <w:jc w:val="both"/>
      </w:pPr>
      <w:r>
        <w:rPr>
          <w:rFonts w:ascii="Times New Roman" w:hAnsi="Times New Roman" w:cs="B Nazanin"/>
          <w:b w:val="0"/>
          <w:sz w:val="26"/>
          <w:szCs w:val="26"/>
          <w:rtl/>
        </w:rPr>
        <w:t>منبع هر یک از مقادیر مهم مورد استفاده در این گزارش (ورودی Excel/CSV، ورود دستی، محاسبه یا نتیجه نرم‌افزار PowerFactory) در جدول زیر ثبت شده است.</w:t>
      </w:r>
    </w:p>
    <w:p>
      <w:pPr>
        <w:pStyle w:val="Caption"/>
        <w:keepNext/>
        <w:bidi/>
        <w:spacing w:after="80" w:line="276" w:lineRule="auto"/>
        <w:jc w:val="center"/>
      </w:pPr>
      <w:r>
        <w:rPr>
          <w:rFonts w:ascii="Times New Roman" w:hAnsi="Times New Roman" w:cs="B Nazanin"/>
          <w:b/>
          <w:bCs/>
          <w:color w:val="000000"/>
          <w:sz w:val="24"/>
          <w:szCs w:val="24"/>
          <w:rtl/>
        </w:rPr>
        <w:t>جدول 3: ردیابی منبع داده‌های گزارش</w:t>
      </w:r>
    </w:p>
    <w:tbl>
      <w:tblPr>
        <w:bidiVisual/>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409"/>
        <w:gridCol w:w="2409"/>
        <w:gridCol w:w="2409"/>
        <w:gridCol w:w="2409"/>
      </w:tblGrid>
      <w:tr>
        <w:trPr>
          <w:cantSplit/>
          <w:tblHeader/>
        </w:trPr>
        <w:tc>
          <w:tcPr>
            <w:tcW w:type="dxa" w:w="2409"/>
            <w:shd w:val="clear" w:color="auto" w:fill="D9E2F3"/>
          </w:tcPr>
          <w:p>
            <w:pPr>
              <w:bidi/>
              <w:spacing w:after="40" w:before="40"/>
              <w:jc w:val="center"/>
            </w:pPr>
            <w:r/>
            <w:r>
              <w:rPr>
                <w:rFonts w:ascii="Times New Roman" w:hAnsi="Times New Roman" w:cs="B Nazanin"/>
                <w:b/>
                <w:bCs/>
                <w:sz w:val="24"/>
                <w:szCs w:val="24"/>
                <w:rtl/>
              </w:rPr>
              <w:t>فیدر</w:t>
            </w:r>
          </w:p>
        </w:tc>
        <w:tc>
          <w:tcPr>
            <w:tcW w:type="dxa" w:w="2409"/>
            <w:shd w:val="clear" w:color="auto" w:fill="D9E2F3"/>
          </w:tcPr>
          <w:p>
            <w:pPr>
              <w:bidi/>
              <w:spacing w:after="40" w:before="40"/>
              <w:jc w:val="center"/>
            </w:pPr>
            <w:r/>
            <w:r>
              <w:rPr>
                <w:rFonts w:ascii="Times New Roman" w:hAnsi="Times New Roman" w:cs="B Nazanin"/>
                <w:b/>
                <w:bCs/>
                <w:sz w:val="24"/>
                <w:szCs w:val="24"/>
                <w:rtl/>
              </w:rPr>
              <w:t>کمیت</w:t>
            </w:r>
          </w:p>
        </w:tc>
        <w:tc>
          <w:tcPr>
            <w:tcW w:type="dxa" w:w="2409"/>
            <w:shd w:val="clear" w:color="auto" w:fill="D9E2F3"/>
          </w:tcPr>
          <w:p>
            <w:pPr>
              <w:bidi/>
              <w:spacing w:after="40" w:before="40"/>
              <w:jc w:val="center"/>
            </w:pPr>
            <w:r/>
            <w:r>
              <w:rPr>
                <w:rFonts w:ascii="Times New Roman" w:hAnsi="Times New Roman" w:cs="B Nazanin"/>
                <w:b/>
                <w:bCs/>
                <w:sz w:val="24"/>
                <w:szCs w:val="24"/>
                <w:rtl/>
              </w:rPr>
              <w:t>مقدار</w:t>
            </w:r>
          </w:p>
        </w:tc>
        <w:tc>
          <w:tcPr>
            <w:tcW w:type="dxa" w:w="2409"/>
            <w:shd w:val="clear" w:color="auto" w:fill="D9E2F3"/>
          </w:tcPr>
          <w:p>
            <w:pPr>
              <w:bidi/>
              <w:spacing w:after="40" w:before="40"/>
              <w:jc w:val="center"/>
            </w:pPr>
            <w:r/>
            <w:r>
              <w:rPr>
                <w:rFonts w:ascii="Times New Roman" w:hAnsi="Times New Roman" w:cs="B Nazanin"/>
                <w:b/>
                <w:bCs/>
                <w:sz w:val="24"/>
                <w:szCs w:val="24"/>
                <w:rtl/>
              </w:rPr>
              <w:t>منبع</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پیک بار</w:t>
            </w:r>
          </w:p>
        </w:tc>
        <w:tc>
          <w:tcPr>
            <w:tcW w:type="dxa" w:w="2409"/>
          </w:tcPr>
          <w:p>
            <w:pPr>
              <w:bidi/>
              <w:spacing w:after="40" w:before="40"/>
              <w:jc w:val="center"/>
            </w:pPr>
            <w:r/>
            <w:r>
              <w:rPr>
                <w:rFonts w:ascii="Times New Roman" w:hAnsi="Times New Roman" w:cs="B Nazanin"/>
                <w:b w:val="0"/>
                <w:sz w:val="24"/>
                <w:szCs w:val="24"/>
                <w:rtl/>
              </w:rPr>
              <w:t>5 MW</w:t>
            </w:r>
          </w:p>
        </w:tc>
        <w:tc>
          <w:tcPr>
            <w:tcW w:type="dxa" w:w="2409"/>
          </w:tcPr>
          <w:p>
            <w:pPr>
              <w:bidi/>
              <w:spacing w:after="40" w:before="40"/>
              <w:jc w:val="center"/>
            </w:pPr>
            <w:r/>
            <w:r>
              <w:rPr>
                <w:rFonts w:ascii="Times New Roman" w:hAnsi="Times New Roman" w:cs="B Nazanin"/>
                <w:b w:val="0"/>
                <w:sz w:val="24"/>
                <w:szCs w:val="24"/>
                <w:rtl/>
              </w:rPr>
              <w:t>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ضریب توان</w:t>
            </w:r>
          </w:p>
        </w:tc>
        <w:tc>
          <w:tcPr>
            <w:tcW w:type="dxa" w:w="2409"/>
          </w:tcPr>
          <w:p>
            <w:pPr>
              <w:bidi/>
              <w:spacing w:after="40" w:before="40"/>
              <w:jc w:val="center"/>
            </w:pPr>
            <w:r/>
            <w:r>
              <w:rPr>
                <w:rFonts w:ascii="Times New Roman" w:hAnsi="Times New Roman" w:cs="B Nazanin"/>
                <w:b w:val="0"/>
                <w:sz w:val="24"/>
                <w:szCs w:val="24"/>
                <w:rtl/>
              </w:rPr>
              <w:t>0.93</w:t>
            </w:r>
          </w:p>
        </w:tc>
        <w:tc>
          <w:tcPr>
            <w:tcW w:type="dxa" w:w="2409"/>
          </w:tcPr>
          <w:p>
            <w:pPr>
              <w:bidi/>
              <w:spacing w:after="40" w:before="40"/>
              <w:jc w:val="center"/>
            </w:pPr>
            <w:r/>
            <w:r>
              <w:rPr>
                <w:rFonts w:ascii="Times New Roman" w:hAnsi="Times New Roman" w:cs="B Nazanin"/>
                <w:b w:val="0"/>
                <w:sz w:val="24"/>
                <w:szCs w:val="24"/>
                <w:rtl/>
              </w:rPr>
              <w:t>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معیار بارگذاری</w:t>
            </w:r>
          </w:p>
        </w:tc>
        <w:tc>
          <w:tcPr>
            <w:tcW w:type="dxa" w:w="2409"/>
          </w:tcPr>
          <w:p>
            <w:pPr>
              <w:bidi/>
              <w:spacing w:after="40" w:before="40"/>
              <w:jc w:val="center"/>
            </w:pPr>
            <w:r/>
            <w:r>
              <w:rPr>
                <w:rFonts w:ascii="Times New Roman" w:hAnsi="Times New Roman" w:cs="B Nazanin"/>
                <w:b w:val="0"/>
                <w:sz w:val="24"/>
                <w:szCs w:val="24"/>
                <w:rtl/>
              </w:rPr>
              <w:t>7 MW</w:t>
            </w:r>
          </w:p>
        </w:tc>
        <w:tc>
          <w:tcPr>
            <w:tcW w:type="dxa" w:w="2409"/>
          </w:tcPr>
          <w:p>
            <w:pPr>
              <w:bidi/>
              <w:spacing w:after="40" w:before="40"/>
              <w:jc w:val="center"/>
            </w:pPr>
            <w:r/>
            <w:r>
              <w:rPr>
                <w:rFonts w:ascii="Times New Roman" w:hAnsi="Times New Roman" w:cs="B Nazanin"/>
                <w:b w:val="0"/>
                <w:sz w:val="24"/>
                <w:szCs w:val="24"/>
                <w:rtl/>
              </w:rPr>
              <w:t>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حداکثر جریان مجاز</w:t>
            </w:r>
          </w:p>
        </w:tc>
        <w:tc>
          <w:tcPr>
            <w:tcW w:type="dxa" w:w="2409"/>
          </w:tcPr>
          <w:p>
            <w:pPr>
              <w:bidi/>
              <w:spacing w:after="40" w:before="40"/>
              <w:jc w:val="center"/>
            </w:pPr>
            <w:r/>
            <w:r>
              <w:rPr>
                <w:rFonts w:ascii="Times New Roman" w:hAnsi="Times New Roman" w:cs="B Nazanin"/>
                <w:b w:val="0"/>
                <w:sz w:val="24"/>
                <w:szCs w:val="24"/>
                <w:rtl/>
              </w:rPr>
              <w:t>400 A</w:t>
            </w:r>
          </w:p>
        </w:tc>
        <w:tc>
          <w:tcPr>
            <w:tcW w:type="dxa" w:w="2409"/>
          </w:tcPr>
          <w:p>
            <w:pPr>
              <w:bidi/>
              <w:spacing w:after="40" w:before="40"/>
              <w:jc w:val="center"/>
            </w:pPr>
            <w:r/>
            <w:r>
              <w:rPr>
                <w:rFonts w:ascii="Times New Roman" w:hAnsi="Times New Roman" w:cs="B Nazanin"/>
                <w:b w:val="0"/>
                <w:sz w:val="24"/>
                <w:szCs w:val="24"/>
                <w:rtl/>
              </w:rPr>
              <w:t>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جریان قبل</w:t>
            </w:r>
          </w:p>
        </w:tc>
        <w:tc>
          <w:tcPr>
            <w:tcW w:type="dxa" w:w="2409"/>
          </w:tcPr>
          <w:p>
            <w:pPr>
              <w:bidi/>
              <w:spacing w:after="40" w:before="40"/>
              <w:jc w:val="center"/>
            </w:pPr>
            <w:r/>
            <w:r>
              <w:rPr>
                <w:rFonts w:ascii="Times New Roman" w:hAnsi="Times New Roman" w:cs="B Nazanin"/>
                <w:b w:val="0"/>
                <w:sz w:val="24"/>
                <w:szCs w:val="24"/>
                <w:rtl/>
              </w:rPr>
              <w:t>180 A</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تلفات قبل</w:t>
            </w:r>
          </w:p>
        </w:tc>
        <w:tc>
          <w:tcPr>
            <w:tcW w:type="dxa" w:w="2409"/>
          </w:tcPr>
          <w:p>
            <w:pPr>
              <w:bidi/>
              <w:spacing w:after="40" w:before="40"/>
              <w:jc w:val="center"/>
            </w:pPr>
            <w:r/>
            <w:r>
              <w:rPr>
                <w:rFonts w:ascii="Times New Roman" w:hAnsi="Times New Roman" w:cs="B Nazanin"/>
                <w:b w:val="0"/>
                <w:sz w:val="24"/>
                <w:szCs w:val="24"/>
                <w:rtl/>
              </w:rPr>
              <w:t>400 kW</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حداقل ولتاژ قبل</w:t>
            </w:r>
          </w:p>
        </w:tc>
        <w:tc>
          <w:tcPr>
            <w:tcW w:type="dxa" w:w="2409"/>
          </w:tcPr>
          <w:p>
            <w:pPr>
              <w:bidi/>
              <w:spacing w:after="40" w:before="40"/>
              <w:jc w:val="center"/>
            </w:pPr>
            <w:r/>
            <w:r>
              <w:rPr>
                <w:rFonts w:ascii="Times New Roman" w:hAnsi="Times New Roman" w:cs="B Nazanin"/>
                <w:b w:val="0"/>
                <w:sz w:val="24"/>
                <w:szCs w:val="24"/>
                <w:rtl/>
              </w:rPr>
              <w:t>0.97 pu</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جریان بعد</w:t>
            </w:r>
          </w:p>
        </w:tc>
        <w:tc>
          <w:tcPr>
            <w:tcW w:type="dxa" w:w="2409"/>
          </w:tcPr>
          <w:p>
            <w:pPr>
              <w:bidi/>
              <w:spacing w:after="40" w:before="40"/>
              <w:jc w:val="center"/>
            </w:pPr>
            <w:r/>
            <w:r>
              <w:rPr>
                <w:rFonts w:ascii="Times New Roman" w:hAnsi="Times New Roman" w:cs="B Nazanin"/>
                <w:b w:val="0"/>
                <w:sz w:val="24"/>
                <w:szCs w:val="24"/>
                <w:rtl/>
              </w:rPr>
              <w:t>205 A</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تلفات بعد</w:t>
            </w:r>
          </w:p>
        </w:tc>
        <w:tc>
          <w:tcPr>
            <w:tcW w:type="dxa" w:w="2409"/>
          </w:tcPr>
          <w:p>
            <w:pPr>
              <w:bidi/>
              <w:spacing w:after="40" w:before="40"/>
              <w:jc w:val="center"/>
            </w:pPr>
            <w:r/>
            <w:r>
              <w:rPr>
                <w:rFonts w:ascii="Times New Roman" w:hAnsi="Times New Roman" w:cs="B Nazanin"/>
                <w:b w:val="0"/>
                <w:sz w:val="24"/>
                <w:szCs w:val="24"/>
                <w:rtl/>
              </w:rPr>
              <w:t>420 kW</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حداقل ولتاژ بعد</w:t>
            </w:r>
          </w:p>
        </w:tc>
        <w:tc>
          <w:tcPr>
            <w:tcW w:type="dxa" w:w="2409"/>
          </w:tcPr>
          <w:p>
            <w:pPr>
              <w:bidi/>
              <w:spacing w:after="40" w:before="40"/>
              <w:jc w:val="center"/>
            </w:pPr>
            <w:r/>
            <w:r>
              <w:rPr>
                <w:rFonts w:ascii="Times New Roman" w:hAnsi="Times New Roman" w:cs="B Nazanin"/>
                <w:b w:val="0"/>
                <w:sz w:val="24"/>
                <w:szCs w:val="24"/>
                <w:rtl/>
              </w:rPr>
              <w:t>0.96 pu</w:t>
            </w:r>
          </w:p>
        </w:tc>
        <w:tc>
          <w:tcPr>
            <w:tcW w:type="dxa" w:w="2409"/>
          </w:tcPr>
          <w:p>
            <w:pPr>
              <w:bidi/>
              <w:spacing w:after="40" w:before="40"/>
              <w:jc w:val="center"/>
            </w:pPr>
            <w:r/>
            <w:r>
              <w:rPr>
                <w:rFonts w:ascii="Times New Roman" w:hAnsi="Times New Roman" w:cs="B Nazanin"/>
                <w:b w:val="0"/>
                <w:sz w:val="24"/>
                <w:szCs w:val="24"/>
                <w:rtl/>
              </w:rPr>
              <w:t>نتیجه PowerFactory (ورود دستی)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پیک پیش‌بینی سال 1410</w:t>
            </w:r>
          </w:p>
        </w:tc>
        <w:tc>
          <w:tcPr>
            <w:tcW w:type="dxa" w:w="2409"/>
          </w:tcPr>
          <w:p>
            <w:pPr>
              <w:bidi/>
              <w:spacing w:after="40" w:before="40"/>
              <w:jc w:val="center"/>
            </w:pPr>
            <w:r/>
            <w:r>
              <w:rPr>
                <w:rFonts w:ascii="Times New Roman" w:hAnsi="Times New Roman" w:cs="B Nazanin"/>
                <w:b w:val="0"/>
                <w:sz w:val="24"/>
                <w:szCs w:val="24"/>
                <w:rtl/>
              </w:rPr>
              <w:t>6.52 MW</w:t>
            </w:r>
          </w:p>
        </w:tc>
        <w:tc>
          <w:tcPr>
            <w:tcW w:type="dxa" w:w="2409"/>
          </w:tcPr>
          <w:p>
            <w:pPr>
              <w:bidi/>
              <w:spacing w:after="40" w:before="40"/>
              <w:jc w:val="center"/>
            </w:pPr>
            <w:r/>
            <w:r>
              <w:rPr>
                <w:rFonts w:ascii="Times New Roman" w:hAnsi="Times New Roman" w:cs="B Nazanin"/>
                <w:b w:val="0"/>
                <w:sz w:val="24"/>
                <w:szCs w:val="24"/>
                <w:rtl/>
              </w:rPr>
              <w:t>محاسبه (رگرسیون خطی)</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درصد بارگذاری فیدر</w:t>
            </w:r>
          </w:p>
        </w:tc>
        <w:tc>
          <w:tcPr>
            <w:tcW w:type="dxa" w:w="2409"/>
          </w:tcPr>
          <w:p>
            <w:pPr>
              <w:bidi/>
              <w:spacing w:after="40" w:before="40"/>
              <w:jc w:val="center"/>
            </w:pPr>
            <w:r/>
            <w:r>
              <w:rPr>
                <w:rFonts w:ascii="Times New Roman" w:hAnsi="Times New Roman" w:cs="B Nazanin"/>
                <w:b w:val="0"/>
                <w:sz w:val="24"/>
                <w:szCs w:val="24"/>
                <w:rtl/>
              </w:rPr>
              <w:t>71.43 ٪</w:t>
            </w:r>
          </w:p>
        </w:tc>
        <w:tc>
          <w:tcPr>
            <w:tcW w:type="dxa" w:w="2409"/>
          </w:tcPr>
          <w:p>
            <w:pPr>
              <w:bidi/>
              <w:spacing w:after="40" w:before="40"/>
              <w:jc w:val="center"/>
            </w:pPr>
            <w:r/>
            <w:r>
              <w:rPr>
                <w:rFonts w:ascii="Times New Roman" w:hAnsi="Times New Roman" w:cs="B Nazanin"/>
                <w:b w:val="0"/>
                <w:sz w:val="24"/>
                <w:szCs w:val="24"/>
                <w:rtl/>
              </w:rPr>
              <w:t>محاسبه (از ورودی‌های بالا)</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تغییر ولتاژ ناشی از متقاضی</w:t>
            </w:r>
          </w:p>
        </w:tc>
        <w:tc>
          <w:tcPr>
            <w:tcW w:type="dxa" w:w="2409"/>
          </w:tcPr>
          <w:p>
            <w:pPr>
              <w:bidi/>
              <w:spacing w:after="40" w:before="40"/>
              <w:jc w:val="center"/>
            </w:pPr>
            <w:r/>
            <w:r>
              <w:rPr>
                <w:rFonts w:ascii="Times New Roman" w:hAnsi="Times New Roman" w:cs="B Nazanin"/>
                <w:b w:val="0"/>
                <w:sz w:val="24"/>
                <w:szCs w:val="24"/>
                <w:rtl/>
              </w:rPr>
              <w:t>-1.03 ٪</w:t>
            </w:r>
          </w:p>
        </w:tc>
        <w:tc>
          <w:tcPr>
            <w:tcW w:type="dxa" w:w="2409"/>
          </w:tcPr>
          <w:p>
            <w:pPr>
              <w:bidi/>
              <w:spacing w:after="40" w:before="40"/>
              <w:jc w:val="center"/>
            </w:pPr>
            <w:r/>
            <w:r>
              <w:rPr>
                <w:rFonts w:ascii="Times New Roman" w:hAnsi="Times New Roman" w:cs="B Nazanin"/>
                <w:b w:val="0"/>
                <w:sz w:val="24"/>
                <w:szCs w:val="24"/>
                <w:rtl/>
              </w:rPr>
              <w:t>محاسبه (از ورودی‌های بالا)</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تغییر جریان</w:t>
            </w:r>
          </w:p>
        </w:tc>
        <w:tc>
          <w:tcPr>
            <w:tcW w:type="dxa" w:w="2409"/>
          </w:tcPr>
          <w:p>
            <w:pPr>
              <w:bidi/>
              <w:spacing w:after="40" w:before="40"/>
              <w:jc w:val="center"/>
            </w:pPr>
            <w:r/>
            <w:r>
              <w:rPr>
                <w:rFonts w:ascii="Times New Roman" w:hAnsi="Times New Roman" w:cs="B Nazanin"/>
                <w:b w:val="0"/>
                <w:sz w:val="24"/>
                <w:szCs w:val="24"/>
                <w:rtl/>
              </w:rPr>
              <w:t>13.89 ٪</w:t>
            </w:r>
          </w:p>
        </w:tc>
        <w:tc>
          <w:tcPr>
            <w:tcW w:type="dxa" w:w="2409"/>
          </w:tcPr>
          <w:p>
            <w:pPr>
              <w:bidi/>
              <w:spacing w:after="40" w:before="40"/>
              <w:jc w:val="center"/>
            </w:pPr>
            <w:r/>
            <w:r>
              <w:rPr>
                <w:rFonts w:ascii="Times New Roman" w:hAnsi="Times New Roman" w:cs="B Nazanin"/>
                <w:b w:val="0"/>
                <w:sz w:val="24"/>
                <w:szCs w:val="24"/>
                <w:rtl/>
              </w:rPr>
              <w:t>محاسبه (از ورودی‌های بالا)</w:t>
            </w:r>
          </w:p>
        </w:tc>
      </w:tr>
      <w:tr>
        <w:trPr>
          <w:cantSplit/>
        </w:trPr>
        <w:tc>
          <w:tcPr>
            <w:tcW w:type="dxa" w:w="2409"/>
            <w:shd w:val="clear" w:color="auto" w:fill="D9E2F3"/>
          </w:tcPr>
          <w:p>
            <w:pPr>
              <w:bidi/>
              <w:spacing w:after="40" w:before="40"/>
              <w:jc w:val="center"/>
            </w:pPr>
            <w:r/>
            <w:r>
              <w:rPr>
                <w:rFonts w:ascii="Times New Roman" w:hAnsi="Times New Roman" w:cs="B Nazanin"/>
                <w:b/>
                <w:bCs/>
                <w:sz w:val="24"/>
                <w:szCs w:val="24"/>
                <w:rtl/>
              </w:rPr>
              <w:t>فیدر ۱</w:t>
            </w:r>
          </w:p>
        </w:tc>
        <w:tc>
          <w:tcPr>
            <w:tcW w:type="dxa" w:w="2409"/>
          </w:tcPr>
          <w:p>
            <w:pPr>
              <w:bidi/>
              <w:spacing w:after="40" w:before="40"/>
              <w:jc w:val="center"/>
            </w:pPr>
            <w:r/>
            <w:r>
              <w:rPr>
                <w:rFonts w:ascii="Times New Roman" w:hAnsi="Times New Roman" w:cs="B Nazanin"/>
                <w:b w:val="0"/>
                <w:sz w:val="24"/>
                <w:szCs w:val="24"/>
                <w:rtl/>
              </w:rPr>
              <w:t>تغییر تلفات</w:t>
            </w:r>
          </w:p>
        </w:tc>
        <w:tc>
          <w:tcPr>
            <w:tcW w:type="dxa" w:w="2409"/>
          </w:tcPr>
          <w:p>
            <w:pPr>
              <w:bidi/>
              <w:spacing w:after="40" w:before="40"/>
              <w:jc w:val="center"/>
            </w:pPr>
            <w:r/>
            <w:r>
              <w:rPr>
                <w:rFonts w:ascii="Times New Roman" w:hAnsi="Times New Roman" w:cs="B Nazanin"/>
                <w:b w:val="0"/>
                <w:sz w:val="24"/>
                <w:szCs w:val="24"/>
                <w:rtl/>
              </w:rPr>
              <w:t>5 ٪</w:t>
            </w:r>
          </w:p>
        </w:tc>
        <w:tc>
          <w:tcPr>
            <w:tcW w:type="dxa" w:w="2409"/>
          </w:tcPr>
          <w:p>
            <w:pPr>
              <w:bidi/>
              <w:spacing w:after="40" w:before="40"/>
              <w:jc w:val="center"/>
            </w:pPr>
            <w:r/>
            <w:r>
              <w:rPr>
                <w:rFonts w:ascii="Times New Roman" w:hAnsi="Times New Roman" w:cs="B Nazanin"/>
                <w:b w:val="0"/>
                <w:sz w:val="24"/>
                <w:szCs w:val="24"/>
                <w:rtl/>
              </w:rPr>
              <w:t>محاسبه (از ورودی‌های بالا)</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imes New Roman" w:hAnsi="Times New Roman" w:cs="B Nazanin"/>
        <w:b w:val="0"/>
        <w:sz w:val="20"/>
        <w:szCs w:val="20"/>
        <w:rtl/>
      </w:rPr>
      <w:t xml:space="preserve">صفحه </w:t>
    </w:r>
    <w:r>
      <w:rPr>
        <w:rFonts w:ascii="Times New Roman" w:hAnsi="Times New Roman" w:cs="B Nazanin"/>
        <w:b w:val="0"/>
        <w:sz w:val="20"/>
        <w:szCs w:val="20"/>
        <w:rtl/>
      </w:rPr>
      <w:fldChar w:fldCharType="begin"/>
    </w:r>
    <w:r>
      <w:rPr>
        <w:rFonts w:ascii="Times New Roman" w:hAnsi="Times New Roman" w:cs="B Nazanin"/>
        <w:b w:val="0"/>
        <w:sz w:val="20"/>
        <w:szCs w:val="20"/>
        <w:rtl/>
      </w:rPr>
      <w:instrText xml:space="preserve"> PAGE </w:instrText>
    </w:r>
    <w:r>
      <w:rPr>
        <w:rFonts w:ascii="Times New Roman" w:hAnsi="Times New Roman" w:cs="B Nazanin"/>
        <w:b w:val="0"/>
        <w:sz w:val="20"/>
        <w:szCs w:val="20"/>
        <w:rtl/>
      </w:rPr>
      <w:fldChar w:fldCharType="separate"/>
    </w:r>
    <w:r>
      <w:rPr>
        <w:rFonts w:ascii="Times New Roman" w:hAnsi="Times New Roman" w:cs="B Nazanin"/>
        <w:b w:val="0"/>
        <w:sz w:val="20"/>
        <w:szCs w:val="20"/>
        <w:rtl/>
      </w:rPr>
      <w:t>1</w:t>
    </w:r>
    <w:r>
      <w:rPr>
        <w:rFonts w:ascii="Times New Roman" w:hAnsi="Times New Roman" w:cs="B Nazanin"/>
        <w:b w:val="0"/>
        <w:sz w:val="20"/>
        <w:szCs w:val="20"/>
        <w:rtl/>
      </w:rPr>
      <w:fldChar w:fldCharType="end"/>
    </w:r>
    <w:r>
      <w:rPr>
        <w:rFonts w:ascii="Times New Roman" w:hAnsi="Times New Roman" w:cs="B Nazanin"/>
        <w:b w:val="0"/>
        <w:sz w:val="20"/>
        <w:szCs w:val="20"/>
        <w:rtl/>
      </w:rPr>
      <w:t xml:space="preserve"> از </w:t>
    </w:r>
    <w:r>
      <w:rPr>
        <w:rFonts w:ascii="Times New Roman" w:hAnsi="Times New Roman" w:cs="B Nazanin"/>
        <w:b w:val="0"/>
        <w:sz w:val="20"/>
        <w:szCs w:val="20"/>
        <w:rtl/>
      </w:rPr>
      <w:fldChar w:fldCharType="begin"/>
    </w:r>
    <w:r>
      <w:rPr>
        <w:rFonts w:ascii="Times New Roman" w:hAnsi="Times New Roman" w:cs="B Nazanin"/>
        <w:b w:val="0"/>
        <w:sz w:val="20"/>
        <w:szCs w:val="20"/>
        <w:rtl/>
      </w:rPr>
      <w:instrText xml:space="preserve"> NUMPAGES </w:instrText>
    </w:r>
    <w:r>
      <w:rPr>
        <w:rFonts w:ascii="Times New Roman" w:hAnsi="Times New Roman" w:cs="B Nazanin"/>
        <w:b w:val="0"/>
        <w:sz w:val="20"/>
        <w:szCs w:val="20"/>
        <w:rtl/>
      </w:rPr>
      <w:fldChar w:fldCharType="separate"/>
    </w:r>
    <w:r>
      <w:rPr>
        <w:rFonts w:ascii="Times New Roman" w:hAnsi="Times New Roman" w:cs="B Nazanin"/>
        <w:b w:val="0"/>
        <w:sz w:val="20"/>
        <w:szCs w:val="20"/>
        <w:rtl/>
      </w:rPr>
      <w:t>1</w:t>
    </w:r>
    <w:r>
      <w:rPr>
        <w:rFonts w:ascii="Times New Roman" w:hAnsi="Times New Roman" w:cs="B Nazanin"/>
        <w:b w:val="0"/>
        <w:sz w:val="20"/>
        <w:szCs w:val="20"/>
        <w:rtl/>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bidiVisual/>
      <w:tblLayout w:type="fixe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5386"/>
        </w:tcPr>
        <w:p>
          <w:pPr>
            <w:bidi/>
            <w:jc w:val="right"/>
          </w:pPr>
          <w:r>
            <w:rPr>
              <w:rFonts w:ascii="Times New Roman" w:hAnsi="Times New Roman" w:cs="B Nazanin"/>
              <w:b/>
              <w:bCs/>
              <w:sz w:val="20"/>
              <w:szCs w:val="20"/>
              <w:rtl/>
            </w:rPr>
            <w:t>دفترچه مطالعات تأمین برق به متقاضیان یک مگاوات و بالاتر</w:t>
          </w:r>
        </w:p>
      </w:tc>
      <w:tc>
        <w:tcPr>
          <w:tcW w:type="dxa" w:w="4252"/>
        </w:tcPr>
        <w:p>
          <w:pPr>
            <w:bidi/>
            <w:jc w:val="left"/>
          </w:pPr>
          <w:r>
            <w:rPr>
              <w:rFonts w:ascii="Times New Roman" w:hAnsi="Times New Roman" w:cs="B Nazanin"/>
              <w:b/>
              <w:bCs/>
              <w:sz w:val="20"/>
              <w:szCs w:val="20"/>
              <w:rtl/>
            </w:rPr>
            <w:t>شماره گزارش: DM-18-100        تاریخ: شهریور 1405</w:t>
          </w:r>
        </w:p>
      </w:tc>
    </w:tr>
  </w:tbl>
  <w:p>
    <w:pPr>
      <w:spacing w:before="0" w:after="0"/>
      <w:pBdr>
        <w:bottom w:val="single" w:sz="8" w:space="1" w:color="7F7F7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B Nazanin"/>
      <w:lang w:val="en-US"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cs="B Titr"/>
      <w:b/>
      <w:bCs/>
      <w:color w:val="1F4E79"/>
      <w:sz w:val="28"/>
      <w:szCs w:val="28"/>
      <w:lang w:val="en-US" w:bidi="fa-I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B Titr"/>
      <w:b/>
      <w:bCs/>
      <w:color w:val="4F81BD" w:themeColor="accent1"/>
      <w:sz w:val="26"/>
      <w:szCs w:val="26"/>
      <w:lang w:val="en-US" w:bidi="fa-I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B Nazanin"/>
      <w:b/>
      <w:bCs/>
      <w:color w:val="4F81BD" w:themeColor="accent1"/>
      <w:sz w:val="18"/>
      <w:szCs w:val="18"/>
      <w:lang w:val="en-US" w:bidi="fa-I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قدرت متقاضی تست از قدرت 1000 به 1500 کیلووات</dc:title>
  <dc:subject>دفترچه مطالعات تأمین برق به متقاضیان یک مگاوات و بالاتر</dc:subject>
  <dc:creator>مهندس تست</dc:creator>
  <cp:keywords>ReportForge 1.0.3</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