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bidi/>
      </w:pPr>
      <w:r>
        <w:rPr>
          <w:rFonts w:ascii="Times New Roman" w:hAnsi="Times New Roman" w:cs="B Titr"/>
          <w:b/>
          <w:sz w:val="36"/>
          <w:szCs w:val="36"/>
          <w:bCs/>
          <w:rtl/>
        </w:rPr>
        <w:t>شرکت توزیع نیروی برق استان اردبیل</w:t>
      </w:r>
    </w:p>
    <w:p>
      <w:pPr>
        <w:spacing w:after="40" w:line="276" w:lineRule="auto"/>
        <w:jc w:val="center"/>
        <w:bidi/>
      </w:pPr>
      <w:r>
        <w:rPr>
          <w:rFonts w:ascii="Times New Roman" w:hAnsi="Times New Roman" w:cs="B Nazanin"/>
          <w:b w:val="0"/>
          <w:sz w:val="24"/>
          <w:szCs w:val="24"/>
          <w:rtl/>
        </w:rPr>
        <w:t>معاونت مهندسی و برنامه‌ریزی و مطالعات فنی</w:t>
      </w:r>
    </w:p>
    <w:p>
      <w:pPr>
        <w:spacing w:after="480" w:line="276" w:lineRule="auto"/>
        <w:jc w:val="center"/>
        <w:bidi/>
      </w:pPr>
      <w:r>
        <w:rPr>
          <w:rFonts w:ascii="Times New Roman" w:hAnsi="Times New Roman" w:cs="B Nazanin"/>
          <w:b w:val="0"/>
          <w:sz w:val="24"/>
          <w:szCs w:val="24"/>
          <w:rtl/>
        </w:rPr>
        <w:t>گروه هدف‌گذاری مهندسی و نظارت</w:t>
      </w:r>
    </w:p>
    <w:p>
      <w:pPr>
        <w:spacing w:after="600" w:line="276" w:lineRule="auto"/>
        <w:jc w:val="center"/>
        <w:bidi/>
      </w:pPr>
      <w:r>
        <w:rPr>
          <w:rFonts w:ascii="Times New Roman" w:hAnsi="Times New Roman" w:cs="B Titr"/>
          <w:b/>
          <w:color w:val="1F4E79"/>
          <w:sz w:val="44"/>
          <w:szCs w:val="44"/>
          <w:bCs/>
          <w:rtl/>
        </w:rPr>
        <w:t>دفترچه مطالعات تأمین برق به متقاضیان یک مگاوات و بالاتر</w:t>
      </w:r>
    </w:p>
    <w:p>
      <w:pPr>
        <w:spacing w:after="800" w:line="276" w:lineRule="auto"/>
        <w:jc w:val="center"/>
        <w:bidi/>
      </w:pPr>
      <w:r>
        <w:rPr>
          <w:rFonts w:ascii="Times New Roman" w:hAnsi="Times New Roman" w:cs="B Titr"/>
          <w:b/>
          <w:sz w:val="32"/>
          <w:szCs w:val="32"/>
          <w:bCs/>
          <w:rtl/>
        </w:rPr>
        <w:t>افزایش قدرت شرکت تأمین تولید و توزیع ناب پروتئین مهر از قدرت 1000 به 1100 کیلووات</w:t>
      </w:r>
    </w:p>
    <w:p>
      <w:pPr>
        <w:spacing w:after="1200" w:line="276" w:lineRule="auto"/>
        <w:jc w:val="center"/>
        <w:bidi/>
      </w:pPr>
      <w:r>
        <w:rPr>
          <w:rFonts w:ascii="Times New Roman" w:hAnsi="Times New Roman" w:cs="B Titr"/>
          <w:b/>
          <w:sz w:val="28"/>
          <w:szCs w:val="28"/>
          <w:bCs/>
          <w:rtl/>
        </w:rPr>
        <w:t>شهریور 1405</w:t>
      </w:r>
    </w:p>
    <w:p>
      <w:pPr>
        <w:spacing w:after="80" w:line="276" w:lineRule="auto"/>
        <w:jc w:val="center"/>
        <w:bidi/>
      </w:pPr>
      <w:r>
        <w:rPr>
          <w:rFonts w:ascii="Times New Roman" w:hAnsi="Times New Roman" w:cs="B Nazanin"/>
          <w:b/>
          <w:sz w:val="24"/>
          <w:szCs w:val="24"/>
          <w:bCs/>
          <w:rtl/>
        </w:rPr>
        <w:t>شماره گزارش: DM-18-001</w:t>
      </w:r>
    </w:p>
    <w:p>
      <w:pPr>
        <w:spacing w:after="80" w:line="276" w:lineRule="auto"/>
        <w:jc w:val="center"/>
        <w:bidi/>
      </w:pPr>
      <w:r>
        <w:rPr>
          <w:rFonts w:ascii="Times New Roman" w:hAnsi="Times New Roman" w:cs="B Nazanin"/>
          <w:b w:val="0"/>
          <w:sz w:val="24"/>
          <w:szCs w:val="24"/>
          <w:rtl/>
        </w:rPr>
        <w:t>تاریخ: 1405/06/15</w:t>
      </w:r>
    </w:p>
    <w:p>
      <w:pPr>
        <w:spacing w:after="120" w:line="276" w:lineRule="auto"/>
        <w:jc w:val="center"/>
        <w:bidi/>
      </w:pPr>
      <w:r>
        <w:rPr>
          <w:rFonts w:ascii="Times New Roman" w:hAnsi="Times New Roman" w:cs="B Nazanin"/>
          <w:b w:val="0"/>
          <w:sz w:val="24"/>
          <w:szCs w:val="24"/>
          <w:rtl/>
        </w:rPr>
        <w:t>کارشناس مطالعات: کارشناس تست</w:t>
      </w:r>
    </w:p>
    <w:p>
      <w:r>
        <w:br w:type="page"/>
      </w:r>
    </w:p>
    <w:p>
      <w:pPr>
        <w:spacing w:after="240" w:line="276" w:lineRule="auto"/>
        <w:jc w:val="center"/>
        <w:bidi/>
      </w:pPr>
      <w:r>
        <w:rPr>
          <w:rFonts w:ascii="Times New Roman" w:hAnsi="Times New Roman" w:cs="B Titr"/>
          <w:b/>
          <w:sz w:val="32"/>
          <w:szCs w:val="32"/>
          <w:bCs/>
          <w:rtl/>
        </w:rPr>
        <w:t>فهرست مطالب</w:t>
      </w:r>
    </w:p>
    <w:p>
      <w:pPr>
        <w:bidi/>
      </w:pPr>
      <w:r>
        <w:fldChar w:fldCharType="begin"/>
      </w:r>
      <w:r>
        <w:instrText xml:space="preserve"> TOC \o "1-2" \h \z \u </w:instrText>
      </w:r>
      <w:r>
        <w:fldChar w:fldCharType="separate"/>
      </w:r>
      <w:r>
        <w:rPr>
          <w:rFonts w:ascii="Times New Roman" w:hAnsi="Times New Roman" w:cs="B Nazanin"/>
          <w:b w:val="0"/>
          <w:sz w:val="24"/>
          <w:szCs w:val="24"/>
          <w:rtl/>
        </w:rPr>
        <w:t>…</w:t>
      </w:r>
      <w:r>
        <w:fldChar w:fldCharType="end"/>
      </w:r>
    </w:p>
    <w:p>
      <w:pPr>
        <w:spacing w:after="0" w:line="276" w:lineRule="auto"/>
        <w:jc w:val="center"/>
        <w:bidi/>
      </w:pPr>
      <w:r>
        <w:rPr>
          <w:rFonts w:ascii="Times New Roman" w:hAnsi="Times New Roman" w:cs="B Nazanin"/>
          <w:b w:val="0"/>
          <w:color w:val="808080"/>
          <w:sz w:val="18"/>
          <w:szCs w:val="18"/>
          <w:rtl/>
        </w:rPr>
        <w:t>(پس از باز کردن فایل در Word، برای نمایش فهرست کلید F9 را فشار دهید)</w:t>
      </w:r>
    </w:p>
    <w:p>
      <w:r>
        <w:br w:type="page"/>
      </w:r>
    </w:p>
    <w:p>
      <w:pPr>
        <w:spacing w:after="200" w:line="276" w:lineRule="auto"/>
        <w:jc w:val="right"/>
        <w:bidi/>
      </w:pPr>
      <w:r>
        <w:rPr>
          <w:rFonts w:ascii="Times New Roman" w:hAnsi="Times New Roman" w:cs="B Titr"/>
          <w:b/>
          <w:color w:val="1F4E79"/>
          <w:sz w:val="32"/>
          <w:szCs w:val="32"/>
          <w:bCs/>
          <w:rtl/>
        </w:rPr>
        <w:t>1- مقدمه</w:t>
      </w:r>
    </w:p>
    <w:p>
      <w:pPr>
        <w:spacing w:after="120" w:line="276" w:lineRule="auto"/>
        <w:jc w:val="both"/>
        <w:bidi/>
      </w:pPr>
      <w:r>
        <w:rPr>
          <w:rFonts w:ascii="Times New Roman" w:hAnsi="Times New Roman" w:cs="B Nazanin"/>
          <w:b w:val="0"/>
          <w:sz w:val="26"/>
          <w:szCs w:val="26"/>
          <w:rtl/>
        </w:rPr>
        <w:t>مطابق دستورالعمل مطالعات فنی اتصال مصارف سنگین TAV111-10/00 شرکت توانیر با کد «اتصال مصارف سنگین یعنی به شبکه توزیع»، برای متقاضیان یک مگاوات و بالاتر که درخواست تأمین برق از شبکه را دارند می‌بایست مطالعات فنی اتصال به شبکه انجام شده و راهکارهایی چون احداث پست، احداث خط، ایجاد نقاط مانور، اصلاح شبکه، نصب جبرانساز و ... پیشنهاد گردد. در این گزارش مطالعات لازم به منظور افزایش قدرت شرکت تأمین تولید و توزیع ناب پروتئین مهر به شرح ذیل صورت گرفته است:</w:t>
      </w:r>
    </w:p>
    <w:p>
      <w:pPr>
        <w:spacing w:after="120" w:line="276" w:lineRule="auto"/>
        <w:jc w:val="both"/>
        <w:bidi/>
      </w:pPr>
      <w:r>
        <w:rPr>
          <w:rFonts w:ascii="Times New Roman" w:hAnsi="Times New Roman" w:cs="B Nazanin"/>
          <w:b/>
          <w:sz w:val="26"/>
          <w:szCs w:val="26"/>
          <w:bCs/>
          <w:rtl/>
        </w:rPr>
        <w:t>الف- افزایش قدرت شرکت تأمین تولید و توزیع ناب پروتئین مهر از قدرت 1 به 11 کیلووات</w:t>
      </w:r>
    </w:p>
    <w:p>
      <w:pPr>
        <w:spacing w:after="200" w:line="276" w:lineRule="auto"/>
        <w:jc w:val="right"/>
        <w:bidi/>
      </w:pPr>
      <w:r>
        <w:rPr>
          <w:rFonts w:ascii="Times New Roman" w:hAnsi="Times New Roman" w:cs="B Titr"/>
          <w:b/>
          <w:color w:val="1F4E79"/>
          <w:sz w:val="32"/>
          <w:szCs w:val="32"/>
          <w:bCs/>
          <w:rtl/>
        </w:rPr>
        <w:t>2- تحلیل وضعیت بارگذاری فیدرهای فیدر 1 اردبیل و فیدر 2 اردبیل</w:t>
      </w:r>
    </w:p>
    <w:p>
      <w:pPr>
        <w:spacing w:after="120" w:line="276" w:lineRule="auto"/>
        <w:jc w:val="both"/>
        <w:bidi/>
      </w:pPr>
      <w:r>
        <w:rPr>
          <w:rFonts w:ascii="Times New Roman" w:hAnsi="Times New Roman" w:cs="B Nazanin"/>
          <w:b w:val="0"/>
          <w:sz w:val="26"/>
          <w:szCs w:val="26"/>
          <w:rtl/>
        </w:rPr>
        <w:t>همان‌طور که اشاره شد، وضعیت بارگذاری فیدرهای فیدر 1 اردبیل و فیدر 2 اردبیل در شکل‌های — و جدول 1 نمایش داده شده است.</w:t>
      </w:r>
    </w:p>
    <w:p>
      <w:pPr>
        <w:spacing w:after="120" w:line="276" w:lineRule="auto"/>
        <w:jc w:val="both"/>
        <w:bidi/>
      </w:pPr>
      <w:r>
        <w:rPr>
          <w:rFonts w:ascii="Times New Roman" w:hAnsi="Times New Roman" w:cs="B Nazanin"/>
          <w:b w:val="0"/>
          <w:sz w:val="26"/>
          <w:szCs w:val="26"/>
          <w:rtl/>
        </w:rPr>
        <w:t>برای فیدر فیدر 1 اردبیل پروفیل بار بارگذاری‌شده در دسترس نیست و پیک بار این فیدر مطابق اطلاعات ثبت‌شده 6.3 مگاوات در نظر گرفته شده است.</w:t>
      </w:r>
    </w:p>
    <w:p>
      <w:pPr>
        <w:spacing w:after="120" w:line="276" w:lineRule="auto"/>
        <w:jc w:val="both"/>
        <w:bidi/>
      </w:pPr>
      <w:r>
        <w:rPr>
          <w:rFonts w:ascii="Times New Roman" w:hAnsi="Times New Roman" w:cs="B Nazanin"/>
          <w:b w:val="0"/>
          <w:sz w:val="26"/>
          <w:szCs w:val="26"/>
          <w:rtl/>
        </w:rPr>
        <w:t>مقدار بارگذاری فیدر با معیار 7 مگاوات، در دسته‌بندی فیدرهای کم‌بار قرار می‌گیرد.</w:t>
      </w:r>
    </w:p>
    <w:p>
      <w:pPr>
        <w:spacing w:after="120" w:line="276" w:lineRule="auto"/>
        <w:jc w:val="both"/>
        <w:bidi/>
      </w:pPr>
      <w:r>
        <w:rPr>
          <w:rFonts w:ascii="Times New Roman" w:hAnsi="Times New Roman" w:cs="B Nazanin"/>
          <w:b w:val="0"/>
          <w:sz w:val="26"/>
          <w:szCs w:val="26"/>
          <w:rtl/>
        </w:rPr>
        <w:t>با در نظر گرفتن افزایش بار 0.1 مگاواتی برای درخواست جدید، همچنان وضعیت فیدر پایدار می‌باشد.</w:t>
      </w:r>
    </w:p>
    <w:p>
      <w:pPr>
        <w:spacing w:after="120" w:line="276" w:lineRule="auto"/>
        <w:jc w:val="both"/>
        <w:bidi/>
      </w:pPr>
      <w:r>
        <w:rPr>
          <w:rFonts w:ascii="Times New Roman" w:hAnsi="Times New Roman" w:cs="B Nazanin"/>
          <w:b w:val="0"/>
          <w:sz w:val="26"/>
          <w:szCs w:val="26"/>
          <w:rtl/>
        </w:rPr>
        <w:t>برای فیدر فیدر 2 اردبیل پروفیل بار بارگذاری‌شده در دسترس نیست و پیک بار این فیدر مطابق اطلاعات ثبت‌شده 6.1 مگاوات در نظر گرفته شده است.</w:t>
      </w:r>
    </w:p>
    <w:p>
      <w:pPr>
        <w:spacing w:after="120" w:line="276" w:lineRule="auto"/>
        <w:jc w:val="both"/>
        <w:bidi/>
      </w:pPr>
      <w:r>
        <w:rPr>
          <w:rFonts w:ascii="Times New Roman" w:hAnsi="Times New Roman" w:cs="B Nazanin"/>
          <w:b w:val="0"/>
          <w:sz w:val="26"/>
          <w:szCs w:val="26"/>
          <w:rtl/>
        </w:rPr>
        <w:t>مقدار بارگذاری فیدر با معیار 7 مگاوات، در دسته‌بندی فیدرهای کم‌بار قرار می‌گیرد.</w:t>
      </w:r>
    </w:p>
    <w:p>
      <w:pPr>
        <w:spacing w:after="120" w:line="276" w:lineRule="auto"/>
        <w:jc w:val="both"/>
        <w:bidi/>
      </w:pPr>
      <w:r>
        <w:rPr>
          <w:rFonts w:ascii="Times New Roman" w:hAnsi="Times New Roman" w:cs="B Nazanin"/>
          <w:b w:val="0"/>
          <w:sz w:val="26"/>
          <w:szCs w:val="26"/>
          <w:rtl/>
        </w:rPr>
        <w:t>با در نظر گرفتن افزایش بار 0.1 مگاواتی برای درخواست جدید، همچنان وضعیت فیدر پایدار می‌باشد.</w:t>
      </w:r>
    </w:p>
    <w:p>
      <w:pPr>
        <w:spacing w:after="80" w:line="276" w:lineRule="auto"/>
        <w:jc w:val="center"/>
        <w:bidi/>
      </w:pPr>
      <w:r>
        <w:rPr>
          <w:rFonts w:ascii="Times New Roman" w:hAnsi="Times New Roman" w:cs="B Nazanin"/>
          <w:b/>
          <w:sz w:val="24"/>
          <w:szCs w:val="24"/>
          <w:bCs/>
          <w:rtl/>
        </w:rPr>
        <w:t>جدول 1: وضعیت بارگذاری فیدرهای کمی‌آباد (در پیک سال 1404)</w:t>
      </w:r>
    </w:p>
    <w:tbl>
      <w:tblPr>
        <w:tblW w:type="auto" w:w="0"/>
        <w:jc w:val="center"/>
        <w:tblLook w:firstColumn="1" w:firstRow="1" w:lastColumn="0" w:lastRow="0" w:noHBand="0" w:noVBand="1" w:val="04A0"/>
        <w:bidiVisual/>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213"/>
        <w:gridCol w:w="3213"/>
        <w:gridCol w:w="3213"/>
      </w:tblGrid>
      <w:tr>
        <w:tc>
          <w:tcPr>
            <w:tcW w:type="dxa" w:w="3213"/>
            <w:shd w:val="clear" w:color="auto" w:fill="D9E2F3"/>
          </w:tcPr>
          <w:p>
            <w:pPr>
              <w:spacing w:after="40" w:before="40"/>
              <w:jc w:val="center"/>
              <w:bidi/>
            </w:pPr>
            <w:r/>
            <w:r>
              <w:rPr>
                <w:rFonts w:ascii="Times New Roman" w:hAnsi="Times New Roman" w:cs="B Nazanin"/>
                <w:b/>
                <w:sz w:val="24"/>
                <w:szCs w:val="24"/>
                <w:bCs/>
                <w:rtl/>
              </w:rPr>
              <w:t>مشخصه</w:t>
            </w:r>
          </w:p>
        </w:tc>
        <w:tc>
          <w:tcPr>
            <w:tcW w:type="dxa" w:w="3213"/>
            <w:shd w:val="clear" w:color="auto" w:fill="D9E2F3"/>
          </w:tcPr>
          <w:p>
            <w:pPr>
              <w:spacing w:after="40" w:before="40"/>
              <w:jc w:val="center"/>
              <w:bidi/>
            </w:pPr>
            <w:r/>
            <w:r>
              <w:rPr>
                <w:rFonts w:ascii="Times New Roman" w:hAnsi="Times New Roman" w:cs="B Nazanin"/>
                <w:b/>
                <w:sz w:val="24"/>
                <w:szCs w:val="24"/>
                <w:bCs/>
                <w:rtl/>
              </w:rPr>
              <w:t>فیدر 1 اردبیل</w:t>
            </w:r>
          </w:p>
        </w:tc>
        <w:tc>
          <w:tcPr>
            <w:tcW w:type="dxa" w:w="3213"/>
            <w:shd w:val="clear" w:color="auto" w:fill="D9E2F3"/>
          </w:tcPr>
          <w:p>
            <w:pPr>
              <w:spacing w:after="40" w:before="40"/>
              <w:jc w:val="center"/>
              <w:bidi/>
            </w:pPr>
            <w:r/>
            <w:r>
              <w:rPr>
                <w:rFonts w:ascii="Times New Roman" w:hAnsi="Times New Roman" w:cs="B Nazanin"/>
                <w:b/>
                <w:sz w:val="24"/>
                <w:szCs w:val="24"/>
                <w:bCs/>
                <w:rtl/>
              </w:rPr>
              <w:t>فیدر 2 اردبیل</w:t>
            </w:r>
          </w:p>
        </w:tc>
      </w:tr>
      <w:tr>
        <w:tc>
          <w:tcPr>
            <w:tcW w:type="dxa" w:w="3213"/>
            <w:shd w:val="clear" w:color="auto" w:fill="D9E2F3"/>
          </w:tcPr>
          <w:p>
            <w:pPr>
              <w:spacing w:after="40" w:before="40"/>
              <w:jc w:val="center"/>
              <w:bidi/>
            </w:pPr>
            <w:r/>
            <w:r>
              <w:rPr>
                <w:rFonts w:ascii="Times New Roman" w:hAnsi="Times New Roman" w:cs="B Nazanin"/>
                <w:b/>
                <w:sz w:val="24"/>
                <w:szCs w:val="24"/>
                <w:bCs/>
                <w:rtl/>
              </w:rPr>
              <w:t>پیک بار تابستان (آمپر)</w:t>
            </w:r>
          </w:p>
        </w:tc>
        <w:tc>
          <w:tcPr>
            <w:tcW w:type="dxa" w:w="3213"/>
          </w:tcPr>
          <w:p>
            <w:pPr>
              <w:spacing w:after="40" w:before="40"/>
              <w:jc w:val="center"/>
              <w:bidi/>
            </w:pPr>
            <w:r/>
            <w:r>
              <w:rPr>
                <w:rFonts w:ascii="Times New Roman" w:hAnsi="Times New Roman" w:cs="B Nazanin"/>
                <w:b w:val="0"/>
                <w:sz w:val="24"/>
                <w:szCs w:val="24"/>
                <w:rtl/>
              </w:rPr>
              <w:t>204</w:t>
            </w:r>
          </w:p>
        </w:tc>
        <w:tc>
          <w:tcPr>
            <w:tcW w:type="dxa" w:w="3213"/>
          </w:tcPr>
          <w:p>
            <w:pPr>
              <w:spacing w:after="40" w:before="40"/>
              <w:jc w:val="center"/>
              <w:bidi/>
            </w:pPr>
            <w:r/>
            <w:r>
              <w:rPr>
                <w:rFonts w:ascii="Times New Roman" w:hAnsi="Times New Roman" w:cs="B Nazanin"/>
                <w:b w:val="0"/>
                <w:sz w:val="24"/>
                <w:szCs w:val="24"/>
                <w:rtl/>
              </w:rPr>
              <w:t>2</w:t>
            </w:r>
          </w:p>
        </w:tc>
      </w:tr>
      <w:tr>
        <w:tc>
          <w:tcPr>
            <w:tcW w:type="dxa" w:w="3213"/>
            <w:shd w:val="clear" w:color="auto" w:fill="D9E2F3"/>
          </w:tcPr>
          <w:p>
            <w:pPr>
              <w:spacing w:after="40" w:before="40"/>
              <w:jc w:val="center"/>
              <w:bidi/>
            </w:pPr>
            <w:r/>
            <w:r>
              <w:rPr>
                <w:rFonts w:ascii="Times New Roman" w:hAnsi="Times New Roman" w:cs="B Nazanin"/>
                <w:b/>
                <w:sz w:val="24"/>
                <w:szCs w:val="24"/>
                <w:bCs/>
                <w:rtl/>
              </w:rPr>
              <w:t>پیک بار تابستان (مگاوات)</w:t>
            </w:r>
          </w:p>
        </w:tc>
        <w:tc>
          <w:tcPr>
            <w:tcW w:type="dxa" w:w="3213"/>
          </w:tcPr>
          <w:p>
            <w:pPr>
              <w:spacing w:after="40" w:before="40"/>
              <w:jc w:val="center"/>
              <w:bidi/>
            </w:pPr>
            <w:r/>
            <w:r>
              <w:rPr>
                <w:rFonts w:ascii="Times New Roman" w:hAnsi="Times New Roman" w:cs="B Nazanin"/>
                <w:b w:val="0"/>
                <w:sz w:val="24"/>
                <w:szCs w:val="24"/>
                <w:rtl/>
              </w:rPr>
              <w:t>6.3</w:t>
            </w:r>
          </w:p>
        </w:tc>
        <w:tc>
          <w:tcPr>
            <w:tcW w:type="dxa" w:w="3213"/>
          </w:tcPr>
          <w:p>
            <w:pPr>
              <w:spacing w:after="40" w:before="40"/>
              <w:jc w:val="center"/>
              <w:bidi/>
            </w:pPr>
            <w:r/>
            <w:r>
              <w:rPr>
                <w:rFonts w:ascii="Times New Roman" w:hAnsi="Times New Roman" w:cs="B Nazanin"/>
                <w:b w:val="0"/>
                <w:sz w:val="24"/>
                <w:szCs w:val="24"/>
                <w:rtl/>
              </w:rPr>
              <w:t>6.1</w:t>
            </w:r>
          </w:p>
        </w:tc>
      </w:tr>
      <w:tr>
        <w:tc>
          <w:tcPr>
            <w:tcW w:type="dxa" w:w="3213"/>
            <w:shd w:val="clear" w:color="auto" w:fill="D9E2F3"/>
          </w:tcPr>
          <w:p>
            <w:pPr>
              <w:spacing w:after="40" w:before="40"/>
              <w:jc w:val="center"/>
              <w:bidi/>
            </w:pPr>
            <w:r/>
            <w:r>
              <w:rPr>
                <w:rFonts w:ascii="Times New Roman" w:hAnsi="Times New Roman" w:cs="B Nazanin"/>
                <w:b/>
                <w:sz w:val="24"/>
                <w:szCs w:val="24"/>
                <w:bCs/>
                <w:rtl/>
              </w:rPr>
              <w:t>ضریب توان در پیک</w:t>
            </w:r>
          </w:p>
        </w:tc>
        <w:tc>
          <w:tcPr>
            <w:tcW w:type="dxa" w:w="3213"/>
          </w:tcPr>
          <w:p>
            <w:pPr>
              <w:spacing w:after="40" w:before="40"/>
              <w:jc w:val="center"/>
              <w:bidi/>
            </w:pPr>
            <w:r/>
            <w:r>
              <w:rPr>
                <w:rFonts w:ascii="Times New Roman" w:hAnsi="Times New Roman" w:cs="B Nazanin"/>
                <w:b w:val="0"/>
                <w:sz w:val="24"/>
                <w:szCs w:val="24"/>
                <w:rtl/>
              </w:rPr>
              <w:t>0.89</w:t>
            </w:r>
          </w:p>
        </w:tc>
        <w:tc>
          <w:tcPr>
            <w:tcW w:type="dxa" w:w="3213"/>
          </w:tcPr>
          <w:p>
            <w:pPr>
              <w:spacing w:after="40" w:before="40"/>
              <w:jc w:val="center"/>
              <w:bidi/>
            </w:pPr>
            <w:r/>
            <w:r>
              <w:rPr>
                <w:rFonts w:ascii="Times New Roman" w:hAnsi="Times New Roman" w:cs="B Nazanin"/>
                <w:b w:val="0"/>
                <w:sz w:val="24"/>
                <w:szCs w:val="24"/>
                <w:rtl/>
              </w:rPr>
              <w:t>0.89</w:t>
            </w:r>
          </w:p>
        </w:tc>
      </w:tr>
    </w:tbl>
    <w:p>
      <w:pPr>
        <w:spacing w:after="40"/>
      </w:pPr>
    </w:p>
    <w:p>
      <w:pPr>
        <w:spacing w:after="200" w:line="276" w:lineRule="auto"/>
        <w:jc w:val="right"/>
        <w:bidi/>
      </w:pPr>
      <w:r>
        <w:rPr>
          <w:rFonts w:ascii="Times New Roman" w:hAnsi="Times New Roman" w:cs="B Titr"/>
          <w:b/>
          <w:color w:val="1F4E79"/>
          <w:sz w:val="32"/>
          <w:szCs w:val="32"/>
          <w:bCs/>
          <w:rtl/>
        </w:rPr>
        <w:t>3- پیش‌بینی پیک بار در افق پنج‌ساله</w:t>
      </w:r>
    </w:p>
    <w:p>
      <w:pPr>
        <w:spacing w:after="120" w:line="276" w:lineRule="auto"/>
        <w:jc w:val="both"/>
        <w:bidi/>
      </w:pPr>
      <w:r>
        <w:rPr>
          <w:rFonts w:ascii="Times New Roman" w:hAnsi="Times New Roman" w:cs="B Nazanin"/>
          <w:b w:val="0"/>
          <w:sz w:val="26"/>
          <w:szCs w:val="26"/>
          <w:rtl/>
        </w:rPr>
        <w:t>با توجه به محدودیت داده‌های تاریخی موجود، نتایج پیش‌بینی دارای عدم قطعیت بوده و برای ارزیابی دقیق‌تر روند رشد بار، داده‌های سال‌های آتی مورد نیاز است.</w:t>
      </w:r>
    </w:p>
    <w:p>
      <w:pPr>
        <w:spacing w:after="120" w:line="276" w:lineRule="auto"/>
        <w:jc w:val="both"/>
        <w:bidi/>
      </w:pPr>
      <w:r>
        <w:rPr>
          <w:rFonts w:ascii="Times New Roman" w:hAnsi="Times New Roman" w:cs="B Nazanin"/>
          <w:b w:val="0"/>
          <w:sz w:val="26"/>
          <w:szCs w:val="26"/>
          <w:rtl/>
        </w:rPr>
        <w:t>با توجه به محدودیت داده‌های تاریخی موجود، نتایج پیش‌بینی دارای عدم قطعیت بوده و برای ارزیابی دقیق‌تر روند رشد بار، داده‌های سال‌های آتی مورد نیاز است.</w:t>
      </w:r>
    </w:p>
    <w:p>
      <w:pPr>
        <w:spacing w:after="200" w:line="276" w:lineRule="auto"/>
        <w:jc w:val="right"/>
        <w:bidi/>
      </w:pPr>
      <w:r>
        <w:rPr>
          <w:rFonts w:ascii="Times New Roman" w:hAnsi="Times New Roman" w:cs="B Titr"/>
          <w:b/>
          <w:color w:val="1F4E79"/>
          <w:sz w:val="32"/>
          <w:szCs w:val="32"/>
          <w:bCs/>
          <w:rtl/>
        </w:rPr>
        <w:t>4- نتایج پخش بار قبل از افزایش قدرت</w:t>
      </w:r>
    </w:p>
    <w:p>
      <w:pPr>
        <w:spacing w:after="120" w:line="276" w:lineRule="auto"/>
        <w:jc w:val="both"/>
        <w:bidi/>
      </w:pPr>
      <w:r>
        <w:rPr>
          <w:rFonts w:ascii="Times New Roman" w:hAnsi="Times New Roman" w:cs="B Nazanin"/>
          <w:b w:val="0"/>
          <w:sz w:val="26"/>
          <w:szCs w:val="26"/>
          <w:rtl/>
        </w:rPr>
        <w:t>نتیجه پخش بار برای شرایط فعلی و بدون لحاظ کردن افزایش قدرت شرکت تأمین تولید و توزیع ناب پروتئین مهر در شکل — نمایش داده شده است.</w:t>
      </w:r>
    </w:p>
    <w:p>
      <w:pPr>
        <w:spacing w:after="120" w:line="276" w:lineRule="auto"/>
        <w:jc w:val="both"/>
        <w:bidi/>
      </w:pPr>
      <w:r>
        <w:rPr>
          <w:rFonts w:ascii="Times New Roman" w:hAnsi="Times New Roman" w:cs="B Nazanin"/>
          <w:b w:val="0"/>
          <w:sz w:val="26"/>
          <w:szCs w:val="26"/>
          <w:rtl/>
        </w:rPr>
        <w:t>حداقل ولتاژ انتهای فیدر فیدر 1 اردبیل برابر با 0.835 پریونیت، جریان ابتدای فیدر 201 آمپر و تلفات خط 452 کیلووات می‌باشد. ولتاژ باس بار متقاضی در این وضعیت 0.956 پریونیت می‌باشد.</w:t>
      </w:r>
    </w:p>
    <w:p>
      <w:pPr>
        <w:spacing w:after="120" w:line="276" w:lineRule="auto"/>
        <w:jc w:val="both"/>
        <w:bidi/>
      </w:pPr>
      <w:r>
        <w:rPr>
          <w:rFonts w:ascii="Times New Roman" w:hAnsi="Times New Roman" w:cs="B Nazanin"/>
          <w:b w:val="0"/>
          <w:sz w:val="26"/>
          <w:szCs w:val="26"/>
          <w:rtl/>
        </w:rPr>
        <w:t>حداقل ولتاژ انتهای فیدر فیدر 2 اردبیل برابر با 0.847 پریونیت، جریان ابتدای فیدر 205 آمپر و تلفات خط 687 کیلووات می‌باشد.</w:t>
      </w:r>
    </w:p>
    <w:p>
      <w:pPr>
        <w:spacing w:after="200" w:line="276" w:lineRule="auto"/>
        <w:jc w:val="right"/>
        <w:bidi/>
      </w:pPr>
      <w:r>
        <w:rPr>
          <w:rFonts w:ascii="Times New Roman" w:hAnsi="Times New Roman" w:cs="B Titr"/>
          <w:b/>
          <w:color w:val="1F4E79"/>
          <w:sz w:val="32"/>
          <w:szCs w:val="32"/>
          <w:bCs/>
          <w:rtl/>
        </w:rPr>
        <w:t>5- نتایج پخش بار پس از افزایش قدرت</w:t>
      </w:r>
    </w:p>
    <w:p>
      <w:pPr>
        <w:spacing w:after="120" w:line="276" w:lineRule="auto"/>
        <w:jc w:val="both"/>
        <w:bidi/>
      </w:pPr>
      <w:r>
        <w:rPr>
          <w:rFonts w:ascii="Times New Roman" w:hAnsi="Times New Roman" w:cs="B Nazanin"/>
          <w:b w:val="0"/>
          <w:sz w:val="26"/>
          <w:szCs w:val="26"/>
          <w:rtl/>
        </w:rPr>
        <w:t>در این بخش اثر افزایش قدرت شرکت تأمین تولید و توزیع ناب پروتئین مهر بر روی فیدرهای فیدر 1 اردبیل و فیدر 2 اردبیل مورد بررسی قرار می‌گیرد. طبق خروجی نرم‌افزار PowerFactory برای پخش بار، مقدار جریان، تلفات و حداقل ولتاژ فیدرهای پس از افزایش قدرت مطابق شکل و جدول 2 به‌دست می‌آید.</w:t>
      </w:r>
    </w:p>
    <w:p>
      <w:pPr>
        <w:spacing w:after="120" w:line="276" w:lineRule="auto"/>
        <w:jc w:val="both"/>
        <w:bidi/>
      </w:pPr>
      <w:r>
        <w:rPr>
          <w:rFonts w:ascii="Times New Roman" w:hAnsi="Times New Roman" w:cs="B Nazanin"/>
          <w:b w:val="0"/>
          <w:sz w:val="26"/>
          <w:szCs w:val="26"/>
          <w:rtl/>
        </w:rPr>
        <w:t>مطابق آخرین دستورالعمل اتصال مصارف سنگین، تغییر حداقل ولتاژ انتهای فیدر پس از اعمال بار جدید نباید بیشتر از 5 درصد باشد. تغییر ولتاژ فیدر فیدر 1 اردبیل در این مورد 0 درصد و ناچیز می‌باشد؛ هرچند افزایش قدرت جدید تأثیر ناچیزی بر ولتاژ شبکه دارد، ولی در حالت کلی ولتاژ این فیدر خصوصاً در نقاط انتهایی دارای افت ولتاژ خارج از محدوده مجاز بوده و این وضعیت نامطلوب موجود، ناشی از افزایش قدرت جدید نیست و می‌بایست اقدامات اصلاحی مناسب (نصب جبرانساز، اصلاح شبکه و ...) در این خصوص انجام شود.</w:t>
      </w:r>
    </w:p>
    <w:p>
      <w:pPr>
        <w:spacing w:after="120" w:line="276" w:lineRule="auto"/>
        <w:jc w:val="both"/>
        <w:bidi/>
      </w:pPr>
      <w:r>
        <w:rPr>
          <w:rFonts w:ascii="Times New Roman" w:hAnsi="Times New Roman" w:cs="B Nazanin"/>
          <w:b w:val="0"/>
          <w:sz w:val="26"/>
          <w:szCs w:val="26"/>
          <w:rtl/>
        </w:rPr>
        <w:t>جریان ابتدای فیدر فیدر 1 اردبیل از 201 آمپر به 204 آمپر تغییر یافته است.</w:t>
      </w:r>
    </w:p>
    <w:p>
      <w:pPr>
        <w:spacing w:after="120" w:line="276" w:lineRule="auto"/>
        <w:jc w:val="both"/>
        <w:bidi/>
      </w:pPr>
      <w:r>
        <w:rPr>
          <w:rFonts w:ascii="Times New Roman" w:hAnsi="Times New Roman" w:cs="B Nazanin"/>
          <w:b w:val="0"/>
          <w:sz w:val="26"/>
          <w:szCs w:val="26"/>
          <w:rtl/>
        </w:rPr>
        <w:t>تلفات فیدر فیدر 1 اردبیل از 452 کیلووات به 459 کیلووات تغییر یافته است.</w:t>
      </w:r>
    </w:p>
    <w:p>
      <w:pPr>
        <w:spacing w:after="120" w:line="276" w:lineRule="auto"/>
        <w:jc w:val="both"/>
        <w:bidi/>
      </w:pPr>
      <w:r>
        <w:rPr>
          <w:rFonts w:ascii="Times New Roman" w:hAnsi="Times New Roman" w:cs="B Nazanin"/>
          <w:b w:val="0"/>
          <w:sz w:val="26"/>
          <w:szCs w:val="26"/>
          <w:rtl/>
        </w:rPr>
        <w:t>ولتاژ باس بار متقاضی نیز از 0.956 به 0.954 پریونیت تغییر می‌یابد.</w:t>
      </w:r>
    </w:p>
    <w:p>
      <w:pPr>
        <w:spacing w:after="120" w:line="276" w:lineRule="auto"/>
        <w:jc w:val="both"/>
        <w:bidi/>
      </w:pPr>
      <w:r>
        <w:rPr>
          <w:rFonts w:ascii="Times New Roman" w:hAnsi="Times New Roman" w:cs="B Nazanin"/>
          <w:b w:val="0"/>
          <w:sz w:val="26"/>
          <w:szCs w:val="26"/>
          <w:rtl/>
        </w:rPr>
        <w:t>مطابق آخرین دستورالعمل اتصال مصارف سنگین، تغییر حداقل ولتاژ انتهای فیدر پس از اعمال بار جدید نباید بیشتر از 5 درصد باشد. تغییر ولتاژ فیدر فیدر 2 اردبیل در این مورد 0 درصد و ناچیز می‌باشد؛ هرچند افزایش قدرت جدید تأثیر ناچیزی بر ولتاژ شبکه دارد، ولی در حالت کلی ولتاژ این فیدر خصوصاً در نقاط انتهایی دارای افت ولتاژ خارج از محدوده مجاز بوده و این وضعیت نامطلوب موجود، ناشی از افزایش قدرت جدید نیست و می‌بایست اقدامات اصلاحی مناسب (نصب جبرانساز، اصلاح شبکه و ...) در این خصوص انجام شود.</w:t>
      </w:r>
    </w:p>
    <w:p>
      <w:pPr>
        <w:spacing w:after="120" w:line="276" w:lineRule="auto"/>
        <w:jc w:val="both"/>
        <w:bidi/>
      </w:pPr>
      <w:r>
        <w:rPr>
          <w:rFonts w:ascii="Times New Roman" w:hAnsi="Times New Roman" w:cs="B Nazanin"/>
          <w:b w:val="0"/>
          <w:sz w:val="26"/>
          <w:szCs w:val="26"/>
          <w:rtl/>
        </w:rPr>
        <w:t>جریان ابتدای فیدر فیدر 2 اردبیل از 205 آمپر به 205 آمپر تغییر یافته است.</w:t>
      </w:r>
    </w:p>
    <w:p>
      <w:pPr>
        <w:spacing w:after="120" w:line="276" w:lineRule="auto"/>
        <w:jc w:val="both"/>
        <w:bidi/>
      </w:pPr>
      <w:r>
        <w:rPr>
          <w:rFonts w:ascii="Times New Roman" w:hAnsi="Times New Roman" w:cs="B Nazanin"/>
          <w:b w:val="0"/>
          <w:sz w:val="26"/>
          <w:szCs w:val="26"/>
          <w:rtl/>
        </w:rPr>
        <w:t>تلفات فیدر فیدر 2 اردبیل از 687 کیلووات به 687 کیلووات تغییر یافته است.</w:t>
      </w:r>
    </w:p>
    <w:p>
      <w:pPr>
        <w:spacing w:after="80" w:line="276" w:lineRule="auto"/>
        <w:jc w:val="center"/>
        <w:bidi/>
      </w:pPr>
      <w:r>
        <w:rPr>
          <w:rFonts w:ascii="Times New Roman" w:hAnsi="Times New Roman" w:cs="B Nazanin"/>
          <w:b/>
          <w:sz w:val="24"/>
          <w:szCs w:val="24"/>
          <w:bCs/>
          <w:rtl/>
        </w:rPr>
        <w:t>جدول 2: نتایج مربوط به افزایش قدرت شرکت تأمین تولید و توزیع ناب پروتئین مهر از قدرت 1000 به 1100 کیلووات</w:t>
      </w:r>
    </w:p>
    <w:tbl>
      <w:tblPr>
        <w:tblW w:type="auto" w:w="0"/>
        <w:jc w:val="center"/>
        <w:tblLook w:firstColumn="1" w:firstRow="1" w:lastColumn="0" w:lastRow="0" w:noHBand="0" w:noVBand="1" w:val="04A0"/>
        <w:bidiVisual/>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71"/>
        <w:gridCol w:w="1071"/>
        <w:gridCol w:w="1071"/>
        <w:gridCol w:w="1071"/>
        <w:gridCol w:w="1071"/>
        <w:gridCol w:w="1071"/>
        <w:gridCol w:w="1071"/>
        <w:gridCol w:w="1071"/>
        <w:gridCol w:w="1071"/>
      </w:tblGrid>
      <w:tr>
        <w:tc>
          <w:tcPr>
            <w:tcW w:type="dxa" w:w="1071"/>
            <w:shd w:val="clear" w:color="auto" w:fill="D9E2F3"/>
          </w:tcPr>
          <w:p>
            <w:pPr>
              <w:spacing w:after="40" w:before="40"/>
              <w:jc w:val="center"/>
              <w:bidi/>
            </w:pPr>
            <w:r/>
            <w:r>
              <w:rPr>
                <w:rFonts w:ascii="Times New Roman" w:hAnsi="Times New Roman" w:cs="B Nazanin"/>
                <w:b/>
                <w:sz w:val="24"/>
                <w:szCs w:val="24"/>
                <w:bCs/>
                <w:rtl/>
              </w:rPr>
              <w:t>وضعیت</w:t>
            </w:r>
          </w:p>
        </w:tc>
        <w:tc>
          <w:tcPr>
            <w:tcW w:type="dxa" w:w="4284"/>
            <w:gridSpan w:val="4"/>
            <w:shd w:val="clear" w:color="auto" w:fill="D9E2F3"/>
          </w:tcPr>
          <w:p>
            <w:pPr>
              <w:spacing w:after="40" w:before="40"/>
              <w:jc w:val="center"/>
              <w:bidi/>
            </w:pPr>
            <w:r/>
            <w:r>
              <w:rPr>
                <w:rFonts w:ascii="Times New Roman" w:hAnsi="Times New Roman" w:cs="B Nazanin"/>
                <w:b/>
                <w:sz w:val="24"/>
                <w:szCs w:val="24"/>
                <w:bCs/>
                <w:rtl/>
              </w:rPr>
              <w:t>فیدر 1 اردبیل</w:t>
            </w:r>
          </w:p>
          <w:p>
            <w:pPr>
              <w:spacing w:after="40" w:before="40"/>
              <w:jc w:val="center"/>
              <w:bidi/>
            </w:pPr>
            <w:r/>
            <w:r>
              <w:rPr>
                <w:rFonts w:ascii="Times New Roman" w:hAnsi="Times New Roman" w:cs="B Nazanin"/>
                <w:b/>
                <w:sz w:val="24"/>
                <w:szCs w:val="24"/>
                <w:bCs/>
                <w:rtl/>
              </w:rPr>
            </w:r>
          </w:p>
          <w:p>
            <w:pPr>
              <w:spacing w:after="40" w:before="40"/>
              <w:jc w:val="center"/>
              <w:bidi/>
            </w:pPr>
            <w:r/>
            <w:r>
              <w:rPr>
                <w:rFonts w:ascii="Times New Roman" w:hAnsi="Times New Roman" w:cs="B Nazanin"/>
                <w:b/>
                <w:sz w:val="24"/>
                <w:szCs w:val="24"/>
                <w:bCs/>
                <w:rtl/>
              </w:rPr>
            </w:r>
          </w:p>
          <w:p>
            <w:pPr>
              <w:spacing w:after="40" w:before="40"/>
              <w:jc w:val="center"/>
              <w:bidi/>
            </w:pPr>
            <w:r/>
            <w:r>
              <w:rPr>
                <w:rFonts w:ascii="Times New Roman" w:hAnsi="Times New Roman" w:cs="B Nazanin"/>
                <w:b/>
                <w:sz w:val="24"/>
                <w:szCs w:val="24"/>
                <w:bCs/>
                <w:rtl/>
              </w:rPr>
            </w:r>
          </w:p>
        </w:tc>
        <w:tc>
          <w:tcPr>
            <w:tcW w:type="dxa" w:w="4284"/>
            <w:gridSpan w:val="4"/>
            <w:shd w:val="clear" w:color="auto" w:fill="D9E2F3"/>
          </w:tcPr>
          <w:p>
            <w:pPr>
              <w:spacing w:after="40" w:before="40"/>
              <w:jc w:val="center"/>
              <w:bidi/>
            </w:pPr>
            <w:r/>
            <w:r>
              <w:rPr>
                <w:rFonts w:ascii="Times New Roman" w:hAnsi="Times New Roman" w:cs="B Nazanin"/>
                <w:b/>
                <w:sz w:val="24"/>
                <w:szCs w:val="24"/>
                <w:bCs/>
                <w:rtl/>
              </w:rPr>
              <w:t>فیدر 2 اردبیل</w:t>
            </w:r>
          </w:p>
          <w:p>
            <w:pPr>
              <w:spacing w:after="40" w:before="40"/>
              <w:jc w:val="center"/>
              <w:bidi/>
            </w:pPr>
            <w:r/>
            <w:r>
              <w:rPr>
                <w:rFonts w:ascii="Times New Roman" w:hAnsi="Times New Roman" w:cs="B Nazanin"/>
                <w:b/>
                <w:sz w:val="24"/>
                <w:szCs w:val="24"/>
                <w:bCs/>
                <w:rtl/>
              </w:rPr>
            </w:r>
          </w:p>
          <w:p>
            <w:pPr>
              <w:spacing w:after="40" w:before="40"/>
              <w:jc w:val="center"/>
              <w:bidi/>
            </w:pPr>
            <w:r/>
            <w:r>
              <w:rPr>
                <w:rFonts w:ascii="Times New Roman" w:hAnsi="Times New Roman" w:cs="B Nazanin"/>
                <w:b/>
                <w:sz w:val="24"/>
                <w:szCs w:val="24"/>
                <w:bCs/>
                <w:rtl/>
              </w:rPr>
            </w:r>
          </w:p>
          <w:p>
            <w:pPr>
              <w:spacing w:after="40" w:before="40"/>
              <w:jc w:val="center"/>
              <w:bidi/>
            </w:pPr>
            <w:r/>
            <w:r>
              <w:rPr>
                <w:rFonts w:ascii="Times New Roman" w:hAnsi="Times New Roman" w:cs="B Nazanin"/>
                <w:b/>
                <w:sz w:val="24"/>
                <w:szCs w:val="24"/>
                <w:bCs/>
                <w:rtl/>
              </w:rPr>
            </w:r>
          </w:p>
        </w:tc>
      </w:tr>
      <w:tr>
        <w:tc>
          <w:tcPr>
            <w:tcW w:type="dxa" w:w="1071"/>
            <w:shd w:val="clear" w:color="auto" w:fill="D9E2F3"/>
          </w:tcPr>
          <w:p>
            <w:pPr>
              <w:spacing w:after="40" w:before="40"/>
              <w:jc w:val="center"/>
              <w:bidi/>
            </w:pPr>
            <w:r/>
            <w:r>
              <w:rPr>
                <w:rFonts w:ascii="Times New Roman" w:hAnsi="Times New Roman" w:cs="B Nazanin"/>
                <w:b/>
                <w:sz w:val="24"/>
                <w:szCs w:val="24"/>
                <w:bCs/>
                <w:rtl/>
              </w:rPr>
              <w:t>وضعیت</w:t>
            </w:r>
          </w:p>
        </w:tc>
        <w:tc>
          <w:tcPr>
            <w:tcW w:type="dxa" w:w="1071"/>
            <w:shd w:val="clear" w:color="auto" w:fill="D9E2F3"/>
          </w:tcPr>
          <w:p>
            <w:pPr>
              <w:spacing w:after="40" w:before="40"/>
              <w:jc w:val="center"/>
              <w:bidi/>
            </w:pPr>
            <w:r/>
            <w:r>
              <w:rPr>
                <w:rFonts w:ascii="Times New Roman" w:hAnsi="Times New Roman" w:cs="B Nazanin"/>
                <w:b/>
                <w:sz w:val="24"/>
                <w:szCs w:val="24"/>
                <w:bCs/>
                <w:rtl/>
              </w:rPr>
              <w:t>جریان ابتدای فیدر (A)</w:t>
            </w:r>
          </w:p>
        </w:tc>
        <w:tc>
          <w:tcPr>
            <w:tcW w:type="dxa" w:w="1071"/>
            <w:shd w:val="clear" w:color="auto" w:fill="D9E2F3"/>
          </w:tcPr>
          <w:p>
            <w:pPr>
              <w:spacing w:after="40" w:before="40"/>
              <w:jc w:val="center"/>
              <w:bidi/>
            </w:pPr>
            <w:r/>
            <w:r>
              <w:rPr>
                <w:rFonts w:ascii="Times New Roman" w:hAnsi="Times New Roman" w:cs="B Nazanin"/>
                <w:b/>
                <w:sz w:val="24"/>
                <w:szCs w:val="24"/>
                <w:bCs/>
                <w:rtl/>
              </w:rPr>
              <w:t>تلفات (KW)</w:t>
            </w:r>
          </w:p>
        </w:tc>
        <w:tc>
          <w:tcPr>
            <w:tcW w:type="dxa" w:w="1071"/>
            <w:shd w:val="clear" w:color="auto" w:fill="D9E2F3"/>
          </w:tcPr>
          <w:p>
            <w:pPr>
              <w:spacing w:after="40" w:before="40"/>
              <w:jc w:val="center"/>
              <w:bidi/>
            </w:pPr>
            <w:r/>
            <w:r>
              <w:rPr>
                <w:rFonts w:ascii="Times New Roman" w:hAnsi="Times New Roman" w:cs="B Nazanin"/>
                <w:b/>
                <w:sz w:val="24"/>
                <w:szCs w:val="24"/>
                <w:bCs/>
                <w:rtl/>
              </w:rPr>
              <w:t>حداقل ولتاژ فیدر (P.U.)</w:t>
            </w:r>
          </w:p>
        </w:tc>
        <w:tc>
          <w:tcPr>
            <w:tcW w:type="dxa" w:w="1071"/>
            <w:shd w:val="clear" w:color="auto" w:fill="D9E2F3"/>
          </w:tcPr>
          <w:p>
            <w:pPr>
              <w:spacing w:after="40" w:before="40"/>
              <w:jc w:val="center"/>
              <w:bidi/>
            </w:pPr>
            <w:r/>
            <w:r>
              <w:rPr>
                <w:rFonts w:ascii="Times New Roman" w:hAnsi="Times New Roman" w:cs="B Nazanin"/>
                <w:b/>
                <w:sz w:val="24"/>
                <w:szCs w:val="24"/>
                <w:bCs/>
                <w:rtl/>
              </w:rPr>
              <w:t>ولتاژ باس بار متقاضی (P.U.)</w:t>
            </w:r>
          </w:p>
        </w:tc>
        <w:tc>
          <w:tcPr>
            <w:tcW w:type="dxa" w:w="1071"/>
            <w:shd w:val="clear" w:color="auto" w:fill="D9E2F3"/>
          </w:tcPr>
          <w:p>
            <w:pPr>
              <w:spacing w:after="40" w:before="40"/>
              <w:jc w:val="center"/>
              <w:bidi/>
            </w:pPr>
            <w:r/>
            <w:r>
              <w:rPr>
                <w:rFonts w:ascii="Times New Roman" w:hAnsi="Times New Roman" w:cs="B Nazanin"/>
                <w:b/>
                <w:sz w:val="24"/>
                <w:szCs w:val="24"/>
                <w:bCs/>
                <w:rtl/>
              </w:rPr>
              <w:t>جریان ابتدای فیدر (A)</w:t>
            </w:r>
          </w:p>
        </w:tc>
        <w:tc>
          <w:tcPr>
            <w:tcW w:type="dxa" w:w="1071"/>
            <w:shd w:val="clear" w:color="auto" w:fill="D9E2F3"/>
          </w:tcPr>
          <w:p>
            <w:pPr>
              <w:spacing w:after="40" w:before="40"/>
              <w:jc w:val="center"/>
              <w:bidi/>
            </w:pPr>
            <w:r/>
            <w:r>
              <w:rPr>
                <w:rFonts w:ascii="Times New Roman" w:hAnsi="Times New Roman" w:cs="B Nazanin"/>
                <w:b/>
                <w:sz w:val="24"/>
                <w:szCs w:val="24"/>
                <w:bCs/>
                <w:rtl/>
              </w:rPr>
              <w:t>تلفات (KW)</w:t>
            </w:r>
          </w:p>
        </w:tc>
        <w:tc>
          <w:tcPr>
            <w:tcW w:type="dxa" w:w="1071"/>
            <w:shd w:val="clear" w:color="auto" w:fill="D9E2F3"/>
          </w:tcPr>
          <w:p>
            <w:pPr>
              <w:spacing w:after="40" w:before="40"/>
              <w:jc w:val="center"/>
              <w:bidi/>
            </w:pPr>
            <w:r/>
            <w:r>
              <w:rPr>
                <w:rFonts w:ascii="Times New Roman" w:hAnsi="Times New Roman" w:cs="B Nazanin"/>
                <w:b/>
                <w:sz w:val="24"/>
                <w:szCs w:val="24"/>
                <w:bCs/>
                <w:rtl/>
              </w:rPr>
              <w:t>حداقل ولتاژ فیدر (P.U.)</w:t>
            </w:r>
          </w:p>
        </w:tc>
        <w:tc>
          <w:tcPr>
            <w:tcW w:type="dxa" w:w="1071"/>
            <w:shd w:val="clear" w:color="auto" w:fill="D9E2F3"/>
          </w:tcPr>
          <w:p>
            <w:pPr>
              <w:spacing w:after="40" w:before="40"/>
              <w:jc w:val="center"/>
              <w:bidi/>
            </w:pPr>
            <w:r/>
            <w:r>
              <w:rPr>
                <w:rFonts w:ascii="Times New Roman" w:hAnsi="Times New Roman" w:cs="B Nazanin"/>
                <w:b/>
                <w:sz w:val="24"/>
                <w:szCs w:val="24"/>
                <w:bCs/>
                <w:rtl/>
              </w:rPr>
              <w:t>ولتاژ باس بار متقاضی (P.U.)</w:t>
            </w:r>
          </w:p>
        </w:tc>
      </w:tr>
      <w:tr>
        <w:tc>
          <w:tcPr>
            <w:tcW w:type="dxa" w:w="1071"/>
            <w:shd w:val="clear" w:color="auto" w:fill="D9E2F3"/>
          </w:tcPr>
          <w:p>
            <w:pPr>
              <w:spacing w:after="40" w:before="40"/>
              <w:jc w:val="center"/>
              <w:bidi/>
            </w:pPr>
            <w:r/>
            <w:r>
              <w:rPr>
                <w:rFonts w:ascii="Times New Roman" w:hAnsi="Times New Roman" w:cs="B Nazanin"/>
                <w:b/>
                <w:sz w:val="24"/>
                <w:szCs w:val="24"/>
                <w:bCs/>
                <w:rtl/>
              </w:rPr>
              <w:t>وضعیت فعلی</w:t>
            </w:r>
          </w:p>
        </w:tc>
        <w:tc>
          <w:tcPr>
            <w:tcW w:type="dxa" w:w="1071"/>
          </w:tcPr>
          <w:p>
            <w:pPr>
              <w:spacing w:after="40" w:before="40"/>
              <w:jc w:val="center"/>
              <w:bidi/>
            </w:pPr>
            <w:r/>
            <w:r>
              <w:rPr>
                <w:rFonts w:ascii="Times New Roman" w:hAnsi="Times New Roman" w:cs="B Nazanin"/>
                <w:b w:val="0"/>
                <w:sz w:val="24"/>
                <w:szCs w:val="24"/>
                <w:rtl/>
              </w:rPr>
              <w:t>201</w:t>
            </w:r>
          </w:p>
        </w:tc>
        <w:tc>
          <w:tcPr>
            <w:tcW w:type="dxa" w:w="1071"/>
          </w:tcPr>
          <w:p>
            <w:pPr>
              <w:spacing w:after="40" w:before="40"/>
              <w:jc w:val="center"/>
              <w:bidi/>
            </w:pPr>
            <w:r/>
            <w:r>
              <w:rPr>
                <w:rFonts w:ascii="Times New Roman" w:hAnsi="Times New Roman" w:cs="B Nazanin"/>
                <w:b w:val="0"/>
                <w:sz w:val="24"/>
                <w:szCs w:val="24"/>
                <w:rtl/>
              </w:rPr>
              <w:t>452</w:t>
            </w:r>
          </w:p>
        </w:tc>
        <w:tc>
          <w:tcPr>
            <w:tcW w:type="dxa" w:w="1071"/>
          </w:tcPr>
          <w:p>
            <w:pPr>
              <w:spacing w:after="40" w:before="40"/>
              <w:jc w:val="center"/>
              <w:bidi/>
            </w:pPr>
            <w:r/>
            <w:r>
              <w:rPr>
                <w:rFonts w:ascii="Times New Roman" w:hAnsi="Times New Roman" w:cs="B Nazanin"/>
                <w:b w:val="0"/>
                <w:sz w:val="24"/>
                <w:szCs w:val="24"/>
                <w:rtl/>
              </w:rPr>
              <w:t>0.835</w:t>
            </w:r>
          </w:p>
        </w:tc>
        <w:tc>
          <w:tcPr>
            <w:tcW w:type="dxa" w:w="1071"/>
          </w:tcPr>
          <w:p>
            <w:pPr>
              <w:spacing w:after="40" w:before="40"/>
              <w:jc w:val="center"/>
              <w:bidi/>
            </w:pPr>
            <w:r/>
            <w:r>
              <w:rPr>
                <w:rFonts w:ascii="Times New Roman" w:hAnsi="Times New Roman" w:cs="B Nazanin"/>
                <w:b w:val="0"/>
                <w:sz w:val="24"/>
                <w:szCs w:val="24"/>
                <w:rtl/>
              </w:rPr>
              <w:t>0.956</w:t>
            </w:r>
          </w:p>
        </w:tc>
        <w:tc>
          <w:tcPr>
            <w:tcW w:type="dxa" w:w="1071"/>
          </w:tcPr>
          <w:p>
            <w:pPr>
              <w:spacing w:after="40" w:before="40"/>
              <w:jc w:val="center"/>
              <w:bidi/>
            </w:pPr>
            <w:r/>
            <w:r>
              <w:rPr>
                <w:rFonts w:ascii="Times New Roman" w:hAnsi="Times New Roman" w:cs="B Nazanin"/>
                <w:b w:val="0"/>
                <w:sz w:val="24"/>
                <w:szCs w:val="24"/>
                <w:rtl/>
              </w:rPr>
              <w:t>205</w:t>
            </w:r>
          </w:p>
        </w:tc>
        <w:tc>
          <w:tcPr>
            <w:tcW w:type="dxa" w:w="1071"/>
          </w:tcPr>
          <w:p>
            <w:pPr>
              <w:spacing w:after="40" w:before="40"/>
              <w:jc w:val="center"/>
              <w:bidi/>
            </w:pPr>
            <w:r/>
            <w:r>
              <w:rPr>
                <w:rFonts w:ascii="Times New Roman" w:hAnsi="Times New Roman" w:cs="B Nazanin"/>
                <w:b w:val="0"/>
                <w:sz w:val="24"/>
                <w:szCs w:val="24"/>
                <w:rtl/>
              </w:rPr>
              <w:t>687</w:t>
            </w:r>
          </w:p>
        </w:tc>
        <w:tc>
          <w:tcPr>
            <w:tcW w:type="dxa" w:w="1071"/>
          </w:tcPr>
          <w:p>
            <w:pPr>
              <w:spacing w:after="40" w:before="40"/>
              <w:jc w:val="center"/>
              <w:bidi/>
            </w:pPr>
            <w:r/>
            <w:r>
              <w:rPr>
                <w:rFonts w:ascii="Times New Roman" w:hAnsi="Times New Roman" w:cs="B Nazanin"/>
                <w:b w:val="0"/>
                <w:sz w:val="24"/>
                <w:szCs w:val="24"/>
                <w:rtl/>
              </w:rPr>
              <w:t>0.847</w:t>
            </w:r>
          </w:p>
        </w:tc>
        <w:tc>
          <w:tcPr>
            <w:tcW w:type="dxa" w:w="1071"/>
          </w:tcPr>
          <w:p>
            <w:pPr>
              <w:spacing w:after="40" w:before="40"/>
              <w:jc w:val="center"/>
              <w:bidi/>
            </w:pPr>
            <w:r/>
            <w:r>
              <w:rPr>
                <w:rFonts w:ascii="Times New Roman" w:hAnsi="Times New Roman" w:cs="B Nazanin"/>
                <w:b w:val="0"/>
                <w:sz w:val="24"/>
                <w:szCs w:val="24"/>
                <w:rtl/>
              </w:rPr>
              <w:t>—</w:t>
            </w:r>
          </w:p>
        </w:tc>
      </w:tr>
      <w:tr>
        <w:tc>
          <w:tcPr>
            <w:tcW w:type="dxa" w:w="1071"/>
            <w:shd w:val="clear" w:color="auto" w:fill="D9E2F3"/>
          </w:tcPr>
          <w:p>
            <w:pPr>
              <w:spacing w:after="40" w:before="40"/>
              <w:jc w:val="center"/>
              <w:bidi/>
            </w:pPr>
            <w:r/>
            <w:r>
              <w:rPr>
                <w:rFonts w:ascii="Times New Roman" w:hAnsi="Times New Roman" w:cs="B Nazanin"/>
                <w:b/>
                <w:sz w:val="24"/>
                <w:szCs w:val="24"/>
                <w:bCs/>
                <w:rtl/>
              </w:rPr>
              <w:t>اثر افزایش قدرت</w:t>
            </w:r>
          </w:p>
        </w:tc>
        <w:tc>
          <w:tcPr>
            <w:tcW w:type="dxa" w:w="1071"/>
          </w:tcPr>
          <w:p>
            <w:pPr>
              <w:spacing w:after="40" w:before="40"/>
              <w:jc w:val="center"/>
              <w:bidi/>
            </w:pPr>
            <w:r/>
            <w:r>
              <w:rPr>
                <w:rFonts w:ascii="Times New Roman" w:hAnsi="Times New Roman" w:cs="B Nazanin"/>
                <w:b w:val="0"/>
                <w:sz w:val="24"/>
                <w:szCs w:val="24"/>
                <w:rtl/>
              </w:rPr>
              <w:t>204</w:t>
            </w:r>
          </w:p>
        </w:tc>
        <w:tc>
          <w:tcPr>
            <w:tcW w:type="dxa" w:w="1071"/>
          </w:tcPr>
          <w:p>
            <w:pPr>
              <w:spacing w:after="40" w:before="40"/>
              <w:jc w:val="center"/>
              <w:bidi/>
            </w:pPr>
            <w:r/>
            <w:r>
              <w:rPr>
                <w:rFonts w:ascii="Times New Roman" w:hAnsi="Times New Roman" w:cs="B Nazanin"/>
                <w:b w:val="0"/>
                <w:sz w:val="24"/>
                <w:szCs w:val="24"/>
                <w:rtl/>
              </w:rPr>
              <w:t>459</w:t>
            </w:r>
          </w:p>
        </w:tc>
        <w:tc>
          <w:tcPr>
            <w:tcW w:type="dxa" w:w="1071"/>
          </w:tcPr>
          <w:p>
            <w:pPr>
              <w:spacing w:after="40" w:before="40"/>
              <w:jc w:val="center"/>
              <w:bidi/>
            </w:pPr>
            <w:r/>
            <w:r>
              <w:rPr>
                <w:rFonts w:ascii="Times New Roman" w:hAnsi="Times New Roman" w:cs="B Nazanin"/>
                <w:b w:val="0"/>
                <w:sz w:val="24"/>
                <w:szCs w:val="24"/>
                <w:rtl/>
              </w:rPr>
              <w:t>0.835</w:t>
            </w:r>
          </w:p>
        </w:tc>
        <w:tc>
          <w:tcPr>
            <w:tcW w:type="dxa" w:w="1071"/>
          </w:tcPr>
          <w:p>
            <w:pPr>
              <w:spacing w:after="40" w:before="40"/>
              <w:jc w:val="center"/>
              <w:bidi/>
            </w:pPr>
            <w:r/>
            <w:r>
              <w:rPr>
                <w:rFonts w:ascii="Times New Roman" w:hAnsi="Times New Roman" w:cs="B Nazanin"/>
                <w:b w:val="0"/>
                <w:sz w:val="24"/>
                <w:szCs w:val="24"/>
                <w:rtl/>
              </w:rPr>
              <w:t>0.954</w:t>
            </w:r>
          </w:p>
        </w:tc>
        <w:tc>
          <w:tcPr>
            <w:tcW w:type="dxa" w:w="1071"/>
          </w:tcPr>
          <w:p>
            <w:pPr>
              <w:spacing w:after="40" w:before="40"/>
              <w:jc w:val="center"/>
              <w:bidi/>
            </w:pPr>
            <w:r/>
            <w:r>
              <w:rPr>
                <w:rFonts w:ascii="Times New Roman" w:hAnsi="Times New Roman" w:cs="B Nazanin"/>
                <w:b w:val="0"/>
                <w:sz w:val="24"/>
                <w:szCs w:val="24"/>
                <w:rtl/>
              </w:rPr>
              <w:t>205</w:t>
            </w:r>
          </w:p>
        </w:tc>
        <w:tc>
          <w:tcPr>
            <w:tcW w:type="dxa" w:w="1071"/>
          </w:tcPr>
          <w:p>
            <w:pPr>
              <w:spacing w:after="40" w:before="40"/>
              <w:jc w:val="center"/>
              <w:bidi/>
            </w:pPr>
            <w:r/>
            <w:r>
              <w:rPr>
                <w:rFonts w:ascii="Times New Roman" w:hAnsi="Times New Roman" w:cs="B Nazanin"/>
                <w:b w:val="0"/>
                <w:sz w:val="24"/>
                <w:szCs w:val="24"/>
                <w:rtl/>
              </w:rPr>
              <w:t>687</w:t>
            </w:r>
          </w:p>
        </w:tc>
        <w:tc>
          <w:tcPr>
            <w:tcW w:type="dxa" w:w="1071"/>
          </w:tcPr>
          <w:p>
            <w:pPr>
              <w:spacing w:after="40" w:before="40"/>
              <w:jc w:val="center"/>
              <w:bidi/>
            </w:pPr>
            <w:r/>
            <w:r>
              <w:rPr>
                <w:rFonts w:ascii="Times New Roman" w:hAnsi="Times New Roman" w:cs="B Nazanin"/>
                <w:b w:val="0"/>
                <w:sz w:val="24"/>
                <w:szCs w:val="24"/>
                <w:rtl/>
              </w:rPr>
              <w:t>0.847</w:t>
            </w:r>
          </w:p>
        </w:tc>
        <w:tc>
          <w:tcPr>
            <w:tcW w:type="dxa" w:w="1071"/>
          </w:tcPr>
          <w:p>
            <w:pPr>
              <w:spacing w:after="40" w:before="40"/>
              <w:jc w:val="center"/>
              <w:bidi/>
            </w:pPr>
            <w:r/>
            <w:r>
              <w:rPr>
                <w:rFonts w:ascii="Times New Roman" w:hAnsi="Times New Roman" w:cs="B Nazanin"/>
                <w:b w:val="0"/>
                <w:sz w:val="24"/>
                <w:szCs w:val="24"/>
                <w:rtl/>
              </w:rPr>
              <w:t>—</w:t>
            </w:r>
          </w:p>
        </w:tc>
      </w:tr>
    </w:tbl>
    <w:p>
      <w:pPr>
        <w:spacing w:after="40"/>
      </w:pPr>
    </w:p>
    <w:p>
      <w:pPr>
        <w:spacing w:after="200" w:line="276" w:lineRule="auto"/>
        <w:jc w:val="right"/>
        <w:bidi/>
      </w:pPr>
      <w:r>
        <w:rPr>
          <w:rFonts w:ascii="Times New Roman" w:hAnsi="Times New Roman" w:cs="B Titr"/>
          <w:b/>
          <w:color w:val="1F4E79"/>
          <w:sz w:val="32"/>
          <w:szCs w:val="32"/>
          <w:bCs/>
          <w:rtl/>
        </w:rPr>
        <w:t>6- جمع‌بندی</w:t>
      </w:r>
    </w:p>
    <w:p>
      <w:pPr>
        <w:spacing w:after="120" w:line="276" w:lineRule="auto"/>
        <w:jc w:val="both"/>
        <w:bidi/>
      </w:pPr>
      <w:r>
        <w:rPr>
          <w:rFonts w:ascii="Times New Roman" w:hAnsi="Times New Roman" w:cs="B Nazanin"/>
          <w:b w:val="0"/>
          <w:sz w:val="26"/>
          <w:szCs w:val="26"/>
          <w:rtl/>
        </w:rPr>
        <w:t>با توجه به نتایج مطالعات انجام‌شده، اعمال افزایش قدرت شرکت تأمین تولید و توزیع ناب پروتئین مهر شرکت تأمین تولید و توزیع ناب پروتئین مهر بر روی فیدرهای فیدر 1 اردبیل و فیدر 2 اردبیل خروج حداقل ولتاژ فیدر فیدر 1 اردبیل از محدوده مجاز و خروج حداقل ولتاژ فیدر فیدر 2 اردبیل از محدوده مجاز داشته است لذا تأمین برق متقاضی بدون اقدامات اصلاحی اساسی (اصلاح شبکه، تغییر هادی و یا تغییر مسیر تغذیه) امکان‌پذیر نمی‌باشد.</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B Nazanin"/>
        <w:b w:val="0"/>
        <w:sz w:val="20"/>
        <w:szCs w:val="20"/>
        <w:rtl/>
      </w:rPr>
      <w:fldChar w:fldCharType="begin"/>
    </w:r>
    <w:r>
      <w:rPr>
        <w:rFonts w:ascii="Times New Roman" w:hAnsi="Times New Roman" w:cs="B Nazanin"/>
        <w:b w:val="0"/>
        <w:sz w:val="20"/>
        <w:szCs w:val="20"/>
        <w:rtl/>
      </w:rPr>
      <w:instrText xml:space="preserve"> PAGE </w:instrText>
    </w:r>
    <w:r>
      <w:rPr>
        <w:rFonts w:ascii="Times New Roman" w:hAnsi="Times New Roman" w:cs="B Nazanin"/>
        <w:b w:val="0"/>
        <w:sz w:val="20"/>
        <w:szCs w:val="20"/>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Pr>
        <w:rFonts w:ascii="Times New Roman" w:hAnsi="Times New Roman" w:cs="B Nazanin"/>
        <w:b/>
        <w:sz w:val="20"/>
        <w:szCs w:val="20"/>
        <w:bCs/>
        <w:rtl/>
      </w:rPr>
      <w:t>شماره گزارش: DM-18-001        تاریخ: شهریور 1405</w:t>
    </w:r>
  </w:p>
  <w:p>
    <w:pPr>
      <w:jc w:val="center"/>
      <w:bidi/>
    </w:pPr>
    <w:r>
      <w:rPr>
        <w:rFonts w:ascii="Times New Roman" w:hAnsi="Times New Roman" w:cs="B Nazanin"/>
        <w:b/>
        <w:sz w:val="20"/>
        <w:szCs w:val="20"/>
        <w:bCs/>
        <w:rtl/>
      </w:rPr>
      <w:t>دفترچه مطالعات تأمین برق به متقاضیان یک مگاوات و بالاتر</w:t>
    </w:r>
  </w:p>
  <w:p>
    <w:pPr>
      <w:jc w:val="center"/>
      <w:bidi/>
    </w:pPr>
    <w:r>
      <w:rPr>
        <w:rFonts w:ascii="Times New Roman" w:hAnsi="Times New Roman" w:cs="B Nazanin"/>
        <w:b w:val="0"/>
        <w:sz w:val="20"/>
        <w:szCs w:val="20"/>
        <w:rtl/>
      </w:rPr>
      <w:t>شرکت توزیع نیروی برق استان اردبیل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