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F3864"/>
          <w:sz w:val="36"/>
          <w:szCs w:val="36"/>
        </w:rPr>
        <w:t xml:space="preserve">Supplementary Material</w:t>
      </w:r>
    </w:p>
    <w:p>
      <w:pPr>
        <w:spacing w:after="80" w:before="0"/>
        <w:jc w:val="center"/>
      </w:pPr>
      <w:r>
        <w:rPr>
          <w:rFonts w:ascii="Times New Roman" w:cs="Times New Roman" w:eastAsia="Times New Roman" w:hAnsi="Times New Roman"/>
          <w:i/>
          <w:iCs/>
          <w:sz w:val="24"/>
          <w:szCs w:val="24"/>
        </w:rPr>
        <w:t xml:space="preserve">Harnessing Multimodal Deep Learning for Energy-Aware Edge Perception in </w:t>
      </w:r>
      <w:r>
        <w:rPr>
          <w:rFonts w:ascii="Times New Roman" w:cs="Times New Roman" w:eastAsia="Times New Roman" w:hAnsi="Times New Roman"/>
          <w:i/>
          <w:iCs/>
          <w:sz w:val="24"/>
          <w:szCs w:val="24"/>
        </w:rPr>
        <w:t>6G Edge Networks</w:t>
      </w:r>
    </w:p>
    <w:p>
      <w:pPr>
        <w:spacing w:after="320" w:before="0"/>
        <w:jc w:val="center"/>
      </w:pPr>
      <w:r>
        <w:rPr>
          <w:rFonts w:ascii="Times New Roman" w:cs="Times New Roman" w:eastAsia="Times New Roman" w:hAnsi="Times New Roman"/>
          <w:sz w:val="22"/>
          <w:szCs w:val="22"/>
        </w:rPr>
        <w:t xml:space="preserve">DL-EgSense Framework</w:t>
      </w:r>
    </w:p>
    <w:p>
      <w:pPr>
        <w:pStyle w:val="Heading1"/>
        <w:spacing w:after="120" w:before="240"/>
      </w:pPr>
      <w:r>
        <w:t xml:space="preserve">Table S1. Per-Task F1 Score Breakdown for the Weighted-Average F1 of 92.7%</w:t>
      </w:r>
    </w:p>
    <w:p>
      <w:pPr>
        <w:spacing w:after="80" w:before="80"/>
        <w:jc w:val="both"/>
      </w:pPr>
      <w:r>
        <w:rPr>
          <w:rFonts w:ascii="Times New Roman" w:cs="Times New Roman" w:eastAsia="Times New Roman" w:hAnsi="Times New Roman"/>
          <w:sz w:val="22"/>
          <w:szCs w:val="22"/>
        </w:rPr>
        <w:t xml:space="preserve">The weighted-average F1 score of 92.7% reported in Table 4 of the main manuscript is computed across four evaluation datasets. Table S1 presents the per-task precision, recall, and F1 scores, along with the sample weight assigned to each dataset. Weights are proportional to the number of test samples in each dataset partition.</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000"/>
      </w:tblGrid>
      <w:tr>
        <w:trPr>
          <w:tblHeader/>
        </w:trPr>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Dataset</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Precision (%)</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Recall (%)</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F1 Score (%)</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Sample Weight</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MMAct [47]</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91.9</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91.5</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91.7</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0.32</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EnviroSense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92.5</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92.1</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92.3</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0.24</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SpectrumSense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93.2</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92.8</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93.0</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0.20</w:t>
            </w:r>
          </w:p>
        </w:tc>
      </w:tr>
      <w:tr>
        <w:tc>
          <w:tcPr>
            <w:shd w:fill="DCE6F1" w:val="clea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DeepSense 6G [46]</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94.4</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94.2</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94.3</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0.24</w:t>
            </w:r>
          </w:p>
        </w:tc>
      </w:tr>
      <w:tr>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Weighted Average</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92.9</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92.6</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92.7</w:t>
            </w:r>
          </w:p>
        </w:tc>
        <w:tc>
          <w:tcPr>
            <w:shd w:fill="D9D9D9"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1.00</w:t>
            </w:r>
          </w:p>
        </w:tc>
      </w:tr>
    </w:tbl>
    <w:p>
      <w:pPr>
        <w:spacing w:after="80" w:before="120"/>
      </w:pPr>
    </w:p>
    <w:p>
      <w:pPr>
        <w:spacing w:after="80" w:before="80"/>
        <w:jc w:val="both"/>
      </w:pPr>
      <w:r>
        <w:rPr>
          <w:rFonts w:ascii="Times New Roman" w:cs="Times New Roman" w:eastAsia="Times New Roman" w:hAnsi="Times New Roman"/>
          <w:sz w:val="22"/>
          <w:szCs w:val="22"/>
        </w:rPr>
        <w:t xml:space="preserve">Note: All F1 scores are computed on the held-out test partition (15% of each dataset) using the unified evaluation protocol described in Section 4.1 of the main manuscript. The five-run mean is reported; standard deviations are within ±0.3% across all tasks.</w:t>
      </w:r>
    </w:p>
    <w:p>
      <w:pPr>
        <w:spacing w:after="0" w:before="240"/>
      </w:pPr>
    </w:p>
    <w:p>
      <w:pPr>
        <w:pStyle w:val="Heading1"/>
        <w:spacing w:after="120" w:before="240"/>
      </w:pPr>
      <w:r>
        <w:t xml:space="preserve">Table S2. Full Hyperparameter Configuration</w:t>
      </w:r>
    </w:p>
    <w:p>
      <w:pPr>
        <w:spacing w:after="80" w:before="80"/>
        <w:jc w:val="both"/>
      </w:pPr>
      <w:r>
        <w:rPr>
          <w:rFonts w:ascii="Times New Roman" w:cs="Times New Roman" w:eastAsia="Times New Roman" w:hAnsi="Times New Roman"/>
          <w:sz w:val="22"/>
          <w:szCs w:val="22"/>
        </w:rPr>
        <w:t xml:space="preserve">Table S2 lists all training hyperparameters used in the DL-EgSense experiments. All values were fixed prior to evaluation and held constant across datasets and hardware platforms unless otherwise noted. The balancing hyperparameters λ_energy and λ_complexity were selected via grid search on the validation partition only.</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rPr>
          <w:tblHeader/>
        </w:trPr>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Hyperparameter</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Value</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Notes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λ_energy</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1.0</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Grid search over [0.1, 5.0]; optimal energy–accuracy balance</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λ_complexity</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0.1</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Grid search over [0.01, 0.5]</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β_energy</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0.1</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Peak accuracy at this value; too high/low degrades performance</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Learning rate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1×10⁻³</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AdamW optimiser; cosine annealing from 1×10⁻³ to 1×10⁻⁵; 100 epochs maximum; early stopping with patience 10</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Batch size (training)</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32</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Mini-batch training on the 70% training partition</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Batch size (inference)</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Single-sample inference; reflects edge deployment and all reported latency and energy measurements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Attention heads</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4</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Reduced from standard 8/16 to lower energy overhead</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Embedding dimension</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128</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Shared across modalities; 2 encoder layers, FFN dim 256, dropout 0.1, top-50% attention pruning</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Quantisation bits (b)</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{1,2,4,8,16}</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HPEQ dynamically selects per layer/modality</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EWC penalty weight</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400</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Continual learning; prevents catastrophic forgetting</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FL rounds</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50</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FedAvg with energy-aware weighted aggregation; 20 clients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DP (ε, δ)</w:t>
            </w:r>
          </w:p>
        </w:tc>
        <w:tc>
          <w:tcPr>
            <w:tcMar>
              <w:top w:type="dxa" w:w="40"/>
              <w:left w:type="dxa" w:w="80"/>
              <w:bottom w:type="dxa" w:w="40"/>
              <w:right w:type="dxa" w:w="80"/>
            </w:tcMar>
          </w:tcPr>
          <w:p>
            <w:pPr>
              <w:spacing w:after="40" w:before="40"/>
              <w:jc w:val="center"/>
            </w:pPr>
            <w:r>
              <w:rPr>
                <w:rFonts w:ascii="Times New Roman" w:cs="Times New Roman" w:eastAsia="Times New Roman" w:hAnsi="Times New Roman"/>
                <w:b w:val="false"/>
                <w:bCs w:val="false"/>
                <w:sz w:val="20"/>
                <w:szCs w:val="20"/>
              </w:rPr>
              <w:t xml:space="preserve">1.0, 1×10⁻⁵</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Differential privacy applied to FL pipeline</w:t>
            </w:r>
          </w:p>
        </w:tc>
      </w:tr>
    </w:tbl>
    <w:p>
      <w:pPr>
        <w:spacing w:after="0" w:before="240"/>
      </w:pPr>
    </w:p>
    <w:p>
      <w:pPr>
        <w:pStyle w:val="Heading1"/>
        <w:spacing w:after="120" w:before="240"/>
      </w:pPr>
      <w:r>
        <w:t xml:space="preserve">Table S3. Training and Evaluation Environment</w:t>
      </w:r>
    </w:p>
    <w:p>
      <w:pPr>
        <w:spacing w:after="80" w:before="80"/>
        <w:jc w:val="both"/>
      </w:pPr>
      <w:r>
        <w:rPr>
          <w:rFonts w:ascii="Times New Roman" w:cs="Times New Roman" w:eastAsia="Times New Roman" w:hAnsi="Times New Roman"/>
          <w:sz w:val="22"/>
          <w:szCs w:val="22"/>
        </w:rPr>
        <w:t xml:space="preserve">Table S3 summarises the software stack, hardware configuration, measurement protocol, and preprocessing settings used across all experiments reported in the main manuscript. All baselines were re-evaluated under the same settings to ensure a fair comparison.</w:t>
      </w:r>
    </w:p>
    <w:p>
      <w:pPr>
        <w:spacing w:after="12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Setting</w:t>
            </w:r>
          </w:p>
        </w:tc>
        <w:tc>
          <w:tcPr>
            <w:shd w:fill="1F3864" w:val="clear"/>
            <w:tcMar>
              <w:top w:type="dxa" w:w="40"/>
              <w:left w:type="dxa" w:w="80"/>
              <w:bottom w:type="dxa" w:w="40"/>
              <w:right w:type="dxa" w:w="80"/>
            </w:tcMar>
          </w:tcPr>
          <w:p>
            <w:pPr>
              <w:spacing w:after="40" w:before="40"/>
              <w:jc w:val="center"/>
            </w:pPr>
            <w:r>
              <w:rPr>
                <w:rFonts w:ascii="Times New Roman" w:cs="Times New Roman" w:eastAsia="Times New Roman" w:hAnsi="Times New Roman"/>
                <w:b/>
                <w:bCs/>
                <w:sz w:val="20"/>
                <w:szCs w:val="20"/>
              </w:rPr>
              <w:t xml:space="preserve">Details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Framework</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PyTorch 2.1.0 + TensorFlow Lite 2.14.0</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OS</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Ubuntu 22.04 LTS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Inference precision</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FP32 (baseline comparisons); INT8 (HPEQ configurations)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Train / Val / Test split</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70% / 15% / 15% — identical across all datasets and baselines</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Random seeds</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0, 42, 123, 456, 789 (five independent runs; mean reported)</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Energy measurement</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r>
            <w:r>
              <w:rPr>
                <w:rFonts w:ascii="Times New Roman" w:cs="Times New Roman" w:eastAsia="Times New Roman" w:hAnsi="Times New Roman"/>
                <w:b w:val="false"/>
                <w:bCs w:val="false"/>
                <w:sz w:val="20"/>
                <w:szCs w:val="20"/>
              </w:rPr>
              <w:t>INA219 current sensor at a nominal 10 kHz target (effective rate recorded per trace);</w:t>
            </w:r>
            <w:r>
              <w:rPr>
                <w:rFonts w:ascii="Times New Roman" w:cs="Times New Roman" w:eastAsia="Times New Roman" w:hAnsi="Times New Roman"/>
                <w:b w:val="false"/>
                <w:bCs w:val="false"/>
                <w:sz w:val="20"/>
                <w:szCs w:val="20"/>
              </w:rPr>
              <w:t xml:space="preserve"> 60 s warm-up; idle power subtracted; 100 inference repetitions per configuration</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CPU governor</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High-performance; fixed at rated clock speed</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Thermal stabilisation</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5 minutes prior to each measurement session</w:t>
            </w:r>
          </w:p>
        </w:tc>
      </w:tr>
      <w:tr>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Preprocessing</w:t>
            </w:r>
          </w:p>
        </w:tc>
        <w:tc>
          <w:tcPr>
            <w:tcMar>
              <w:top w:type="dxa" w:w="40"/>
              <w:left w:type="dxa" w:w="80"/>
              <w:bottom w:type="dxa" w:w="40"/>
              <w:right w:type="dxa" w:w="80"/>
            </w:tcMar>
          </w:tcPr>
          <w:p>
            <w:pPr>
              <w:spacing w:after="40" w:before="40"/>
              <w:jc w:val="left"/>
            </w:pPr>
            <w:r>
              <w:rPr>
                <w:rFonts w:ascii="Times New Roman" w:cs="Times New Roman" w:eastAsia="Times New Roman" w:hAnsi="Times New Roman"/>
                <w:b w:val="false"/>
                <w:bCs w:val="false"/>
                <w:sz w:val="20"/>
                <w:szCs w:val="20"/>
              </w:rPr>
              <w:t xml:space="preserve">Identical pipeline applied across DL-EgSense and all baselines</w:t>
            </w:r>
          </w:p>
        </w:tc>
      </w:tr>
    </w:tbl>
    <w:p>
      <w:pPr>
        <w:spacing w:after="0" w:before="240"/>
      </w:pPr>
    </w:p>
    <w:p>
      <w:pPr>
        <w:pStyle w:val="Heading1"/>
        <w:spacing w:after="120" w:before="240"/>
      </w:pPr>
      <w:r>
        <w:t xml:space="preserve">S4. Preprocessing Pipeline</w:t>
      </w:r>
    </w:p>
    <w:p>
      <w:pPr>
        <w:pStyle w:val="Heading2"/>
        <w:spacing w:after="60" w:before="120"/>
      </w:pPr>
      <w:r>
        <w:rPr>
          <w:rFonts w:ascii="Times New Roman" w:cs="Times New Roman" w:eastAsia="Times New Roman" w:hAnsi="Times New Roman"/>
          <w:b/>
          <w:bCs/>
          <w:sz w:val="24"/>
          <w:szCs w:val="24"/>
        </w:rPr>
        <w:t xml:space="preserve">S4.1 MMAct (Activity Recognition)</w:t>
      </w:r>
    </w:p>
    <w:p>
      <w:pPr>
        <w:spacing w:after="80" w:before="80"/>
        <w:jc w:val="both"/>
      </w:pPr>
      <w:r>
        <w:rPr>
          <w:rFonts w:ascii="Times New Roman" w:cs="Times New Roman" w:eastAsia="Times New Roman" w:hAnsi="Times New Roman"/>
          <w:sz w:val="22"/>
          <w:szCs w:val="22"/>
        </w:rPr>
        <w:t xml:space="preserve">RGB frames were resized to 224×224 and normalised using ImageNet statistics (mean [0.485, 0.456, 0.406], std [0.229, 0.224, 0.225]). Accelerometer, gyroscope, and orientation signals were normalised per axis to zero mean and unit variance across the training split. Wi-Fi RSSI values were min-max normalised to [0, 1]. Temporal windows of 2 seconds with 50% overlap were used for all inertial and Wi-Fi streams.</w:t>
      </w:r>
    </w:p>
    <w:p>
      <w:pPr>
        <w:pStyle w:val="Heading2"/>
        <w:spacing w:after="60" w:before="120"/>
      </w:pPr>
      <w:r>
        <w:rPr>
          <w:rFonts w:ascii="Times New Roman" w:cs="Times New Roman" w:eastAsia="Times New Roman" w:hAnsi="Times New Roman"/>
          <w:b/>
          <w:bCs/>
          <w:sz w:val="24"/>
          <w:szCs w:val="24"/>
        </w:rPr>
        <w:t xml:space="preserve">S4.2 EnviroSense (Environmental Monitoring)</w:t>
      </w:r>
    </w:p>
    <w:p>
      <w:pPr>
        <w:spacing w:after="80" w:before="80"/>
        <w:jc w:val="both"/>
      </w:pPr>
      <w:r>
        <w:rPr>
          <w:rFonts w:ascii="Times New Roman" w:cs="Times New Roman" w:eastAsia="Times New Roman" w:hAnsi="Times New Roman"/>
          <w:sz w:val="22"/>
          <w:szCs w:val="22"/>
        </w:rPr>
        <w:t xml:space="preserve">RGB images were resized to 224×224 and normalised as above. Acoustic signals were converted to 128-bin mel-spectrograms (window 25 ms, hop 10 ms, 16 kHz sampling rate). Temperature, humidity, and air quality readings were standardised to zero mean and unit variance per sensor channel.</w:t>
      </w:r>
    </w:p>
    <w:p>
      <w:pPr>
        <w:pStyle w:val="Heading2"/>
        <w:spacing w:after="60" w:before="120"/>
      </w:pPr>
      <w:r>
        <w:rPr>
          <w:rFonts w:ascii="Times New Roman" w:cs="Times New Roman" w:eastAsia="Times New Roman" w:hAnsi="Times New Roman"/>
          <w:b/>
          <w:bCs/>
          <w:sz w:val="24"/>
          <w:szCs w:val="24"/>
        </w:rPr>
        <w:t xml:space="preserve">S4.3 SpectrumSense (Spectrum Sensing)</w:t>
      </w:r>
    </w:p>
    <w:p>
      <w:pPr>
        <w:spacing w:after="80" w:before="80"/>
        <w:jc w:val="both"/>
      </w:pPr>
      <w:r>
        <w:rPr>
          <w:rFonts w:ascii="Times New Roman" w:cs="Times New Roman" w:eastAsia="Times New Roman" w:hAnsi="Times New Roman"/>
          <w:sz w:val="22"/>
          <w:szCs w:val="22"/>
        </w:rPr>
        <w:t xml:space="preserve">RF signal recordings were segmented into 256-sample windows with 50% overlap. Power spectral density was computed per segment and normalised to [0, 1]. Contextual metadata fields were one-hot encoded.</w:t>
      </w:r>
    </w:p>
    <w:p>
      <w:pPr>
        <w:pStyle w:val="Heading2"/>
        <w:spacing w:after="60" w:before="120"/>
      </w:pPr>
      <w:r>
        <w:rPr>
          <w:rFonts w:ascii="Times New Roman" w:cs="Times New Roman" w:eastAsia="Times New Roman" w:hAnsi="Times New Roman"/>
          <w:b/>
          <w:bCs/>
          <w:sz w:val="24"/>
          <w:szCs w:val="24"/>
        </w:rPr>
        <w:t xml:space="preserve">S4.4 DeepSense 6G (Multi-Modal Sensing and Communication)</w:t>
      </w:r>
    </w:p>
    <w:p>
      <w:pPr>
        <w:spacing w:after="80" w:before="80"/>
        <w:jc w:val="both"/>
      </w:pPr>
      <w:r>
        <w:rPr>
          <w:rFonts w:ascii="Times New Roman" w:cs="Times New Roman" w:eastAsia="Times New Roman" w:hAnsi="Times New Roman"/>
          <w:sz w:val="22"/>
          <w:szCs w:val="22"/>
        </w:rPr>
        <w:t xml:space="preserve">Visual frames were processed identically to MMAct. RF beam and channel measurements were normalised per scenario using the training-split statistics. GPS coordinates were encoded as relative displacements from each scenario's median position, then normalised to [−1, 1].</w:t>
      </w:r>
    </w:p>
    <w:p>
      <w:pPr>
        <w:spacing w:after="0" w:before="240"/>
      </w:pPr>
    </w:p>
    <w:p>
      <w:pPr>
        <w:pStyle w:val="Heading1"/>
        <w:spacing w:after="120" w:before="240"/>
      </w:pPr>
      <w:r>
        <w:t xml:space="preserve">S5. Reproducibility</w:t>
      </w:r>
    </w:p>
    <w:p>
      <w:pPr>
        <w:spacing w:after="80" w:before="80"/>
        <w:jc w:val="both"/>
      </w:pPr>
      <w:r>
        <w:rPr>
          <w:rFonts w:ascii="Times New Roman" w:cs="Times New Roman" w:eastAsia="Times New Roman" w:hAnsi="Times New Roman"/>
          <w:sz w:val="22"/>
          <w:szCs w:val="22"/>
        </w:rPr>
        <w:t>Training code, configuration files, preprocessing scripts and the measurement pipeline are provided in the reproducibility package (v3; project repository https://github.com/MohsenHaz/DL-EDGESENSE). To reproduce the headline result: (1) install the requirements, (2) download the four datasets from the URLs in Section 4.1 of the main manuscript, (3) run preprocess.py with the settings in Table S3, (4) run train.py with the hyperparameters in Table S2, and (5) record the INA219 traces on the Raspberry Pi 4B, list them in measurements/MANIFEST.csv and run make reproduce. The expected values (weighted-average F1 of 92.7% and a measured energy per inference of 54.1 mJ in High-Energy Mode on the Raspberry Pi 4B) are stored in claims.yaml and checked by make verify; they are not copied into the code.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240"/>
    </w:pPr>
    <w:rPr>
      <w:rFonts w:ascii="Times New Roman" w:cs="Times New Roman" w:eastAsia="Times New Roman" w:hAnsi="Times New Roman"/>
      <w:b/>
      <w:bCs/>
      <w:color w:val="1F3864"/>
      <w:sz w:val="28"/>
      <w:szCs w:val="28"/>
    </w:rPr>
  </w:style>
  <w:style w:type="paragraph" w:styleId="Heading2">
    <w:name w:val="Heading 2"/>
    <w:basedOn w:val="Normal"/>
    <w:pPr>
      <w:spacing w:after="80" w:before="160"/>
    </w:pPr>
    <w:rPr>
      <w:rFonts w:ascii="Times New Roman" w:cs="Times New Roman" w:eastAsia="Times New Roman" w:hAnsi="Times New Roman"/>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2026-09-26T14:11:38.214Z</dcterms:created>
  <dcterms:modified xsi:type="dcterms:W3CDTF">2026-09-26T14:11:38.221Z</dcterms:modified>
</cp:coreProperties>
</file>

<file path=docProps/custom.xml><?xml version="1.0" encoding="utf-8"?>
<Properties xmlns="http://schemas.openxmlformats.org/officeDocument/2006/custom-properties" xmlns:vt="http://schemas.openxmlformats.org/officeDocument/2006/docPropsVTypes"/>
</file>