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Residential Rental Agreement</w:t>
      </w:r>
    </w:p>
    <w:p>
      <w:pPr>
        <w:pStyle w:val="Heading2"/>
      </w:pPr>
      <w:r>
        <w:t>Parties and Property</w:t>
      </w:r>
    </w:p>
    <w:p>
      <w:r>
        <w:t>This agreement is between Oakline Property Group and the tenant for Unit 14B at 88 River Street. The contract term starts on 2026-07-01 and ends on 2027-06-30.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Rent and Deposit</w:t>
      </w:r>
    </w:p>
    <w:p>
      <w:r>
        <w:t>Monthly rent is 1,850 USD due on the first business day. Security deposit is 2,000 USD and refundable according to inspection and cleaning outcomes.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Maintenance and Utilities</w:t>
      </w:r>
    </w:p>
    <w:p>
      <w:r>
        <w:t>Landlord handles structural repairs and plumbing failures. Tenant handles minor wear items, utility bills, and reports urgent hazards within 24 hours.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Termination and Penalties</w:t>
      </w:r>
    </w:p>
    <w:p>
      <w:r>
        <w:t>Early termination requires 60-day written notice and a termination charge equal to one month of rent unless legal exemption applies.</w:t>
      </w:r>
    </w:p>
    <w:p>
      <w:r>
        <w:t>Reference 1: On 2026-02-10, team Beacon reviewed clause SEC-17. Budget marker was USD 1295.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2: On 2026-03-20, team Comet reviewed clause SEC-24. Budget marker was USD 1390.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3: On 2026-04-11, team Delta reviewed clause SEC-31. Budget marker was USD 1485.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4: On 2026-05-07, team Echo reviewed clause SEC-38. Budget marker was USD 1580.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5: On 2026-06-30, team Falcon reviewed clause SEC-45. Budget marker was USD 1675.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6: On 2026-01-15, team Atlas reviewed clause SEC-11. Budget marker was USD 1770.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7: On 2026-02-10, team Beacon reviewed clause SEC-18. Budget marker was USD 1865.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8: On 2026-03-20, team Comet reviewed clause SEC-25. Budget marker was USD 1960.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9: On 2026-04-11, team Delta reviewed clause SEC-32. Budget marker was USD 2055.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10: On 2026-05-07, team Echo reviewed clause SEC-39. Budget marker was USD 2150.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11: On 2026-06-30, team Falcon reviewed clause SEC-46. Budget marker was USD 2245.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r>
        <w:t>Reference 12: On 2026-01-15, team Atlas reviewed clause SEC-12. Budget marker was USD 2340. Contact person: Mina Carter. Action item was documented with priority low and due date 2026-03-20. This paragraph confirms the rule: all changes need documented approval. Additional context explains dependencies, exception paths, and required approvals for operational continuity.</w:t>
      </w:r>
    </w:p>
    <w:p>
      <w:r>
        <w:t>Reference 13: On 2026-02-10, team Beacon reviewed clause SEC-19. Budget marker was USD 2435. Contact person: John Patel. Action item was documented with priority medium and due date 2026-04-11. This paragraph confirms the rule: incident reports must be filed within 24 hours. Additional context explains dependencies, exception paths, and required approvals for operational continuity.</w:t>
      </w:r>
    </w:p>
    <w:p>
      <w:r>
        <w:t>Reference 14: On 2026-03-20, team Comet reviewed clause SEC-26. Budget marker was USD 2530. Contact person: Sara Nguyen. Action item was documented with priority high and due date 2026-05-07. This paragraph confirms the rule: sensitive data requires encrypted storage. Additional context explains dependencies, exception paths, and required approvals for operational continuity.</w:t>
      </w:r>
    </w:p>
    <w:p>
      <w:r>
        <w:t>Reference 15: On 2026-04-11, team Delta reviewed clause SEC-33. Budget marker was USD 2625. Contact person: Liam Brooks. Action item was documented with priority low and due date 2026-06-30. This paragraph confirms the rule: monthly review meetings are mandatory. Additional context explains dependencies, exception paths, and required approvals for operational continuity.</w:t>
      </w:r>
    </w:p>
    <w:p>
      <w:r>
        <w:t>Reference 16: On 2026-05-07, team Echo reviewed clause SEC-40. Budget marker was USD 2720. Contact person: Nora Kim. Action item was documented with priority medium and due date 2026-01-15. This paragraph confirms the rule: customer-impacting outages need public notice. Additional context explains dependencies, exception paths, and required approvals for operational continuity.</w:t>
      </w:r>
    </w:p>
    <w:p>
      <w:r>
        <w:t>Reference 17: On 2026-06-30, team Falcon reviewed clause SEC-47. Budget marker was USD 2815. Contact person: David Lee. Action item was documented with priority high and due date 2026-02-10. This paragraph confirms the rule: policy exceptions expire after one quarter. Additional context explains dependencies, exception paths, and required approvals for operational continuity.</w:t>
      </w:r>
    </w:p>
    <w:p>
      <w:pPr>
        <w:pStyle w:val="ListBullet"/>
      </w:pPr>
      <w:r>
        <w:t>Checklist item 1: verify records, update dashboard metric 3, and notify stakeholders in channel OPS-01.</w:t>
      </w:r>
    </w:p>
    <w:p>
      <w:pPr>
        <w:pStyle w:val="ListBullet"/>
      </w:pPr>
      <w:r>
        <w:t>Checklist item 2: verify records, update dashboard metric 6, and notify stakeholders in channel OPS-02.</w:t>
      </w:r>
    </w:p>
    <w:p>
      <w:pPr>
        <w:pStyle w:val="ListBullet"/>
      </w:pPr>
      <w:r>
        <w:t>Checklist item 3: verify records, update dashboard metric 9, and notify stakeholders in channel OPS-03.</w:t>
      </w:r>
    </w:p>
    <w:p>
      <w:pPr>
        <w:pStyle w:val="ListBullet"/>
      </w:pPr>
      <w:r>
        <w:t>Checklist item 4: verify records, update dashboard metric 12, and notify stakeholders in channel OPS-04.</w:t>
      </w:r>
    </w:p>
    <w:p>
      <w:pPr>
        <w:pStyle w:val="ListBullet"/>
      </w:pPr>
      <w:r>
        <w:t>Checklist item 5: verify records, update dashboard metric 15, and notify stakeholders in channel OPS-05.</w:t>
      </w:r>
    </w:p>
    <w:p>
      <w:pPr>
        <w:pStyle w:val="ListBullet"/>
      </w:pPr>
      <w:r>
        <w:t>Checklist item 6: verify records, update dashboard metric 18, and notify stakeholders in channel OPS-06.</w:t>
      </w:r>
    </w:p>
    <w:p>
      <w:pPr>
        <w:pStyle w:val="ListBullet"/>
      </w:pPr>
      <w:r>
        <w:t>Checklist item 7: verify records, update dashboard metric 21, and notify stakeholders in channel OPS-07.</w:t>
      </w:r>
    </w:p>
    <w:p>
      <w:pPr>
        <w:pStyle w:val="Heading2"/>
      </w:pPr>
      <w:r>
        <w:t>Appendix: Quick Facts</w:t>
      </w:r>
    </w:p>
    <w:p>
      <w:r>
        <w:t>Fact 1: Record code QA-101, owner group Beacon, control level 2, archived in quarter Q2.</w:t>
      </w:r>
    </w:p>
    <w:p>
      <w:r>
        <w:t>Fact 2: Record code QA-102, owner group Comet, control level 3, archived in quarter Q3.</w:t>
      </w:r>
    </w:p>
    <w:p>
      <w:r>
        <w:t>Fact 3: Record code QA-103, owner group Delta, control level 4, archived in quarter Q4.</w:t>
      </w:r>
    </w:p>
    <w:p>
      <w:r>
        <w:t>Fact 4: Record code QA-104, owner group Echo, control level 1, archived in quarter Q1.</w:t>
      </w:r>
    </w:p>
    <w:p>
      <w:r>
        <w:t>Fact 5: Record code QA-105, owner group Falcon, control level 2, archived in quarter Q2.</w:t>
      </w:r>
    </w:p>
    <w:p>
      <w:r>
        <w:t>Fact 6: Record code QA-106, owner group Atlas, control level 3, archived in quarter Q3.</w:t>
      </w:r>
    </w:p>
    <w:p>
      <w:r>
        <w:t>Fact 7: Record code QA-107, owner group Beacon, control level 4, archived in quarter Q4.</w:t>
      </w:r>
    </w:p>
    <w:p>
      <w:r>
        <w:t>Fact 8: Record code QA-108, owner group Comet, control level 1, archived in quarter Q1.</w:t>
      </w:r>
    </w:p>
    <w:p>
      <w:r>
        <w:t>Fact 9: Record code QA-109, owner group Delta, control level 2, archived in quarter Q2.</w:t>
      </w:r>
    </w:p>
    <w:p>
      <w:r>
        <w:t>Fact 10: Record code QA-110, owner group Echo, control level 3, archived in quarter Q3.</w:t>
      </w:r>
    </w:p>
    <w:p>
      <w:r>
        <w:t>Fact 11: Record code QA-111, owner group Falcon, control level 4, archived in quarter Q4.</w:t>
      </w:r>
    </w:p>
    <w:p>
      <w:r>
        <w:t>Fact 12: Record code QA-112, owner group Atlas, control level 1, archived in quarter Q1.</w:t>
      </w:r>
    </w:p>
    <w:p>
      <w:r>
        <w:t>Fact 13: Record code QA-113, owner group Beacon, control level 2, archived in quarter Q2.</w:t>
      </w:r>
    </w:p>
    <w:p>
      <w:r>
        <w:t>Fact 14: Record code QA-114, owner group Comet, control level 3, archived in quarter Q3.</w:t>
      </w:r>
    </w:p>
    <w:p>
      <w:r>
        <w:t>Fact 15: Record code QA-115, owner group Delta, control level 4, archived in quarter Q4.</w:t>
      </w:r>
    </w:p>
    <w:p>
      <w:r>
        <w:t>Fact 16: Record code QA-116, owner group Echo, control level 1, archived in quarter Q1.</w:t>
      </w:r>
    </w:p>
    <w:p>
      <w:r>
        <w:t>Fact 17: Record code QA-117, owner group Falcon, control level 2, archived in quarter Q2.</w:t>
      </w:r>
    </w:p>
    <w:p>
      <w:r>
        <w:t>Fact 18: Record code QA-118, owner group Atlas, control level 3, archived in quarter Q3.</w:t>
      </w:r>
    </w:p>
    <w:p>
      <w:r>
        <w:t>Fact 19: Record code QA-119, owner group Beacon, control level 4, archived in quarter Q4.</w:t>
      </w:r>
    </w:p>
    <w:p>
      <w:r>
        <w:t>Fact 20: Record code QA-120, owner group Comet, control level 1, archived in quarter Q1.</w:t>
      </w:r>
    </w:p>
    <w:p>
      <w:r>
        <w:t>Fact 21: Record code QA-121, owner group Delta, control level 2, archived in quarter Q2.</w:t>
      </w:r>
    </w:p>
    <w:p>
      <w:r>
        <w:t>Fact 22: Record code QA-122, owner group Echo, control level 3, archived in quarter Q3.</w:t>
      </w:r>
    </w:p>
    <w:p>
      <w:r>
        <w:t>Fact 23: Record code QA-123, owner group Falcon, control level 4, archived in quarter Q4.</w:t>
      </w:r>
    </w:p>
    <w:p>
      <w:r>
        <w:t>Fact 24: Record code QA-124, owner group Atlas, control level 1, archived in quarter Q1.</w:t>
      </w:r>
    </w:p>
    <w:p>
      <w:r>
        <w:t>Fact 25: Record code QA-125, owner group Beacon, control level 2, archived in quarter Q2.</w:t>
      </w:r>
    </w:p>
    <w:p>
      <w:r>
        <w:t>Fact 26: Record code QA-126, owner group Comet, control level 3, archived in quarter Q3.</w:t>
      </w:r>
    </w:p>
    <w:p>
      <w:r>
        <w:t>Fact 27: Record code QA-127, owner group Delta, control level 4, archived in quarter Q4.</w:t>
      </w:r>
    </w:p>
    <w:p>
      <w:r>
        <w:t>Fact 28: Record code QA-128, owner group Echo, control level 1, archived in quarter Q1.</w:t>
      </w:r>
    </w:p>
    <w:p>
      <w:r>
        <w:t>Fact 29: Record code QA-129, owner group Falcon, control level 2, archived in quarter Q2.</w:t>
      </w:r>
    </w:p>
    <w:p>
      <w:r>
        <w:t>This sample document is intentionally long for DocQA indexing, chunking, and retrieval tests. It contains structured sections, repeated references, dates, amounts, responsibilities, and clear statements so that question-answer flows can validate semantic search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