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14b5ef47fc996be53dc3d00b8c1ccda391bdd05"/>
    <w:p>
      <w:pPr>
        <w:pStyle w:val="Heading1"/>
      </w:pPr>
      <w:r>
        <w:t xml:space="preserve">Automotive-Specific Systems &amp; Applications for L4 Autonomy</w:t>
      </w:r>
    </w:p>
    <w:p>
      <w:pPr>
        <w:pStyle w:val="FirstParagraph"/>
      </w:pPr>
      <w:r>
        <w:t xml:space="preserve">Level 4 autonomous vehicles demand robust, fail-operational architectures that integrate advanced sensing, computing, and safety mechanisms. The following report analyzes key automotive systems and applications – from ADAS sensors to power management and vibration control – emphasizing their roles in enabling safe, reliable L4 autonomy. Each section discusses the function of the system, integration with compute and sensor fusion, relevant standards (e.g. ISO 26262, ISO 16750, AEC-Q100), and design considerations. Comparative evaluations (where applicable) highlight alternative approaches (e.g. solver types or power strategies) to guide system design decisions.</w:t>
      </w:r>
    </w:p>
    <w:bookmarkStart w:id="24" w:name="advanced-driver-assistance-systems-adas"/>
    <w:p>
      <w:pPr>
        <w:pStyle w:val="Heading2"/>
      </w:pPr>
      <w:r>
        <w:t xml:space="preserve">Advanced Driver-Assistance Systems (ADAS)</w:t>
      </w:r>
    </w:p>
    <w:p>
      <w:pPr>
        <w:pStyle w:val="FirstParagraph"/>
      </w:pPr>
      <w:r>
        <w:t xml:space="preserve">ADAS functions (lane-keeping, adaptive cruise, automated braking, etc.) are the foundation for higher autonomy. They provide safety-critical perception and control features even at L4, often serving as redundant failover systems.</w:t>
      </w:r>
      <w:r>
        <w:t xml:space="preserve"> </w:t>
      </w:r>
      <w:r>
        <w:rPr>
          <w:b/>
          <w:bCs/>
        </w:rPr>
        <w:t xml:space="preserve">Sensors and Fusion:</w:t>
      </w:r>
      <w:r>
        <w:t xml:space="preserve"> </w:t>
      </w:r>
      <w:r>
        <w:t xml:space="preserve">ADAS relies on multi-modal sensing (cameras, radar, lidar, ultrasonic, GNSS) fused to perceive the environment. For example, high-precision GNSS combined with IMU data enables sub-30cm positioning for lane detection, V2X sharing, and collision avoidance</w:t>
      </w:r>
      <w:hyperlink r:id="rId21">
        <w:r>
          <w:rPr>
            <w:rStyle w:val="Hyperlink"/>
          </w:rPr>
          <w:t xml:space="preserve">[1]</w:t>
        </w:r>
      </w:hyperlink>
      <w:r>
        <w:t xml:space="preserve">. Sensor fusion improves reliability by compensating for individual sensor weaknesses (e.g. cameras struggle at night, lidar in fog)</w:t>
      </w:r>
      <w:hyperlink r:id="rId22">
        <w:r>
          <w:rPr>
            <w:rStyle w:val="Hyperlink"/>
          </w:rPr>
          <w:t xml:space="preserve">[2]</w:t>
        </w:r>
      </w:hyperlink>
      <w:r>
        <w:t xml:space="preserve">. ADAS ECUs must integrate these inputs in real time, often on dedicated automotive SoCs with safety monitors.</w:t>
      </w:r>
    </w:p>
    <w:p>
      <w:pPr>
        <w:pStyle w:val="BodyText"/>
      </w:pPr>
      <w:r>
        <w:rPr>
          <w:b/>
          <w:bCs/>
        </w:rPr>
        <w:t xml:space="preserve">Compute &amp; Architecture:</w:t>
      </w:r>
      <w:r>
        <w:t xml:space="preserve"> </w:t>
      </w:r>
      <w:r>
        <w:t xml:space="preserve">ADAS compute platforms typically use automotive-grade SoCs (e.g. NVIDIA DRIVE, Mobileye EyeQ) with hardware redundancy or lock-step cores. The compute chain processes camera/radar data through pipelines (ISP, DSP, neural accelerators) under a real-time OS. Software follows ISO 26262 processes to achieve high ASIL levels. For instance, ST’s GNSS receiver (Teseo APP) is built with an ISO 26262-inspired safety architecture to provide “absolute and safe” positioning alongside IMU fusion</w:t>
      </w:r>
      <w:hyperlink r:id="rId21">
        <w:r>
          <w:rPr>
            <w:rStyle w:val="Hyperlink"/>
          </w:rPr>
          <w:t xml:space="preserve">[1]</w:t>
        </w:r>
      </w:hyperlink>
      <w:r>
        <w:t xml:space="preserve">. In L4 vehicles, ADAS subsystems may share sensors and compute with higher-level autonomy modules; designers must ensure that cross-domain buses (e.g. automotive Ethernet) and hypervisors maintain isolation and safety of ADAS tasks.</w:t>
      </w:r>
    </w:p>
    <w:p>
      <w:pPr>
        <w:pStyle w:val="BodyText"/>
      </w:pPr>
      <w:r>
        <w:rPr>
          <w:b/>
          <w:bCs/>
        </w:rPr>
        <w:t xml:space="preserve">Safety and Standards:</w:t>
      </w:r>
      <w:r>
        <w:t xml:space="preserve"> </w:t>
      </w:r>
      <w:r>
        <w:t xml:space="preserve">ADAS functions are usually designed to at least ASIL B/C, with ASIL D for critical functions (braking, steering). ISO 26262 and ISO 21448 (SOTIF) guide ADAS development: redundant sensing and software fault detection are mandated to prevent hazardous malfunctions. Systems are validated via hardware-in-the-loop tests and millions of simulation km. Testing often includes sensor fault injection and validation against NCAP protocols. In summary, ADAS modules enhance vehicle safety and comfort now, and in L4 architectures they become integrated fail-safe subsystems. Their design follows strict automotive standards (ISO 26262, AEC-Q100-qualified components) to ensure reliability</w:t>
      </w:r>
      <w:hyperlink r:id="rId22">
        <w:r>
          <w:rPr>
            <w:rStyle w:val="Hyperlink"/>
          </w:rPr>
          <w:t xml:space="preserve">[2]</w:t>
        </w:r>
      </w:hyperlink>
      <w:hyperlink r:id="rId23">
        <w:r>
          <w:rPr>
            <w:rStyle w:val="Hyperlink"/>
          </w:rPr>
          <w:t xml:space="preserve">[3]</w:t>
        </w:r>
      </w:hyperlink>
      <w:r>
        <w:t xml:space="preserve">.</w:t>
      </w:r>
    </w:p>
    <w:bookmarkEnd w:id="24"/>
    <w:bookmarkStart w:id="27" w:name="autonomous-vehicle-navigation-gps-denied"/>
    <w:p>
      <w:pPr>
        <w:pStyle w:val="Heading2"/>
      </w:pPr>
      <w:r>
        <w:t xml:space="preserve">Autonomous Vehicle Navigation (GPS-Denied)</w:t>
      </w:r>
    </w:p>
    <w:p>
      <w:pPr>
        <w:pStyle w:val="FirstParagraph"/>
      </w:pPr>
      <w:r>
        <w:t xml:space="preserve">Autonomous navigation requires continuous, high-fidelity localization and mapping. In open skies, GNSS with RTK corrections can give centimeter accuracy, but L4 vehicles must also handle tunnels, urban canyons, and indoor scenarios where GPS is lost.</w:t>
      </w:r>
      <w:r>
        <w:t xml:space="preserve"> </w:t>
      </w:r>
      <w:r>
        <w:rPr>
          <w:b/>
          <w:bCs/>
        </w:rPr>
        <w:t xml:space="preserve">Sensor Suite:</w:t>
      </w:r>
      <w:r>
        <w:t xml:space="preserve"> </w:t>
      </w:r>
      <w:r>
        <w:t xml:space="preserve">L4 vehicles fuse inertial sensors (high-grade IMU), wheel odometry, lidar or radar-based localization, and vision-based SLAM to maintain pose. For example, systems check consistency among GNSS, HD-map matching, IMU, and even novel sensors like ground-penetrating radar (GPR) for backup localization</w:t>
      </w:r>
      <w:hyperlink r:id="rId25">
        <w:r>
          <w:rPr>
            <w:rStyle w:val="Hyperlink"/>
          </w:rPr>
          <w:t xml:space="preserve">[4]</w:t>
        </w:r>
      </w:hyperlink>
      <w:r>
        <w:t xml:space="preserve">. Each modality has trade-offs: GNSS provides absolute global position but fails under cover; lidars give detailed 3D maps but can be confused by dynamic clutter; cameras offer rich texture but need good lighting. By fusing them, the vehicle “cross-validates” its location (e.g. a Kalman filter or factor graph) so a GPS glitch or sensor dropout is handled by other sources</w:t>
      </w:r>
      <w:hyperlink r:id="rId22">
        <w:r>
          <w:rPr>
            <w:rStyle w:val="Hyperlink"/>
          </w:rPr>
          <w:t xml:space="preserve">[2]</w:t>
        </w:r>
      </w:hyperlink>
      <w:hyperlink r:id="rId25">
        <w:r>
          <w:rPr>
            <w:rStyle w:val="Hyperlink"/>
          </w:rPr>
          <w:t xml:space="preserve">[4]</w:t>
        </w:r>
      </w:hyperlink>
      <w:r>
        <w:t xml:space="preserve">.</w:t>
      </w:r>
    </w:p>
    <w:p>
      <w:pPr>
        <w:pStyle w:val="BodyText"/>
      </w:pPr>
      <w:r>
        <w:rPr>
          <w:b/>
          <w:bCs/>
        </w:rPr>
        <w:t xml:space="preserve">GPS-Denied Strategies:</w:t>
      </w:r>
      <w:r>
        <w:t xml:space="preserve"> </w:t>
      </w:r>
      <w:r>
        <w:t xml:space="preserve">In GPS-denied conditions, autonomous navigation relies on SLAM and map-based localization. Lidar-based SLAM aligns current scans to an HD point-cloud map; visual odometry tracks features across images; high-performance IMUs bridge short GPS gaps. Emerging solutions like subsurface radar (WaveSense GPR) can provide stable localization even if above-ground sensors fail</w:t>
      </w:r>
      <w:hyperlink r:id="rId26">
        <w:r>
          <w:rPr>
            <w:rStyle w:val="Hyperlink"/>
          </w:rPr>
          <w:t xml:space="preserve">[5]</w:t>
        </w:r>
      </w:hyperlink>
      <w:r>
        <w:t xml:space="preserve">. Practically, navigation software must integrate all available cues: for instance, Toyota/Audi architectures use centralized fusion layers for camera/radar/IMU</w:t>
      </w:r>
      <w:hyperlink r:id="rId21">
        <w:r>
          <w:rPr>
            <w:rStyle w:val="Hyperlink"/>
          </w:rPr>
          <w:t xml:space="preserve">[1]</w:t>
        </w:r>
      </w:hyperlink>
      <w:r>
        <w:t xml:space="preserve">. The system continually estimates confidence and switches reliance as needed (e.g. if GNSS error &gt; threshold, it downweights GNSS and uses lidar-vision fusion).</w:t>
      </w:r>
    </w:p>
    <w:p>
      <w:pPr>
        <w:pStyle w:val="BodyText"/>
      </w:pPr>
      <w:r>
        <w:rPr>
          <w:b/>
          <w:bCs/>
        </w:rPr>
        <w:t xml:space="preserve">Compute &amp; Fusion:</w:t>
      </w:r>
      <w:r>
        <w:t xml:space="preserve"> </w:t>
      </w:r>
      <w:r>
        <w:t xml:space="preserve">Navigation algorithms run on the same safety-certified compute platforms as perception. They require deterministic real-time computation (e.g. to update pose at 100 Hz). Architecturally, localization runs as a safety-critical process (often ASIL D) on multicore CPUs/GPUs or dedicated accelerators, with built-in sanity checks. The whole pipeline (map-loading, matching, filtering) must meet hard deadlines to ensure timely control. Integration with ADAS/perception fusion is common: e.g. camera-based lane localization can aid precise positioning. Navigation also interacts with planning modules via a middleware (often ROS/AUTOSAR Adaptive), all developed per ISO 26262 guidelines for functional safety.</w:t>
      </w:r>
    </w:p>
    <w:p>
      <w:pPr>
        <w:pStyle w:val="BodyText"/>
      </w:pPr>
      <w:r>
        <w:rPr>
          <w:b/>
          <w:bCs/>
        </w:rPr>
        <w:t xml:space="preserve">Standards &amp; Safety:</w:t>
      </w:r>
      <w:r>
        <w:t xml:space="preserve"> </w:t>
      </w:r>
      <w:r>
        <w:t xml:space="preserve">Functional safety (ISO 26262) demands that critical navigation (e.g. position and velocity estimates) be reliable. Systems implement continuous plausibility checks: for instance, cross-checking wheel-speed vs GNSS/IMU to detect slippage. In addition, SOTIF (ISO 21448) guides how to handle “uncertain” environments (e.g. feature-poor areas causing SLAM drift). Designers use redundancy (multiple IMUs, redundant power) and watchdog mechanisms (e.g. if localization drifts beyond bounds, safely degrade performance). In short, autonomous navigation employs multi-sensor fusion and fallback strategies to ensure the vehicle “always knows where it is”</w:t>
      </w:r>
      <w:hyperlink r:id="rId22">
        <w:r>
          <w:rPr>
            <w:rStyle w:val="Hyperlink"/>
          </w:rPr>
          <w:t xml:space="preserve">[2]</w:t>
        </w:r>
      </w:hyperlink>
      <w:hyperlink r:id="rId25">
        <w:r>
          <w:rPr>
            <w:rStyle w:val="Hyperlink"/>
          </w:rPr>
          <w:t xml:space="preserve">[4]</w:t>
        </w:r>
      </w:hyperlink>
      <w:r>
        <w:t xml:space="preserve">.</w:t>
      </w:r>
    </w:p>
    <w:bookmarkEnd w:id="27"/>
    <w:bookmarkStart w:id="31" w:name="automotive-chip-qualification-aec-q100"/>
    <w:p>
      <w:pPr>
        <w:pStyle w:val="Heading2"/>
      </w:pPr>
      <w:r>
        <w:t xml:space="preserve">Automotive Chip Qualification (AEC-Q100)</w:t>
      </w:r>
    </w:p>
    <w:p>
      <w:pPr>
        <w:pStyle w:val="FirstParagraph"/>
      </w:pPr>
      <w:r>
        <w:t xml:space="preserve">All compute hardware and sensors in an L4 vehicle must be automotive-qualified. The Automotive Electronics Council’s AEC-Q100 standard defines qualification tests for ICs used in vehicles. It ensures chips withstand</w:t>
      </w:r>
      <w:r>
        <w:t xml:space="preserve"> </w:t>
      </w:r>
      <w:r>
        <w:rPr>
          <w:b/>
          <w:bCs/>
        </w:rPr>
        <w:t xml:space="preserve">extreme environments</w:t>
      </w:r>
      <w:r>
        <w:t xml:space="preserve"> </w:t>
      </w:r>
      <w:r>
        <w:t xml:space="preserve">(−40 °C to +150 °C, high vibration, humidity, electrical stress)</w:t>
      </w:r>
      <w:hyperlink r:id="rId23">
        <w:r>
          <w:rPr>
            <w:rStyle w:val="Hyperlink"/>
          </w:rPr>
          <w:t xml:space="preserve">[3]</w:t>
        </w:r>
      </w:hyperlink>
      <w:r>
        <w:t xml:space="preserve">. For L4, this is critical: compute SoCs and MCUs must not fail under prolonged shock/vibration or thermal cycling, and any failure cannot lead to unsafe behavior.</w:t>
      </w:r>
    </w:p>
    <w:p>
      <w:pPr>
        <w:pStyle w:val="BodyText"/>
      </w:pPr>
      <w:r>
        <w:rPr>
          <w:b/>
          <w:bCs/>
        </w:rPr>
        <w:t xml:space="preserve">AEC-Q100 Revision J:</w:t>
      </w:r>
      <w:r>
        <w:t xml:space="preserve"> </w:t>
      </w:r>
      <w:r>
        <w:t xml:space="preserve">The latest update (Rev J, Oct 2023) targets advanced automotive tech (EVs, ADAS). It introduces</w:t>
      </w:r>
      <w:r>
        <w:t xml:space="preserve"> </w:t>
      </w:r>
      <w:r>
        <w:rPr>
          <w:b/>
          <w:bCs/>
        </w:rPr>
        <w:t xml:space="preserve">expanded stress tests</w:t>
      </w:r>
      <w:r>
        <w:t xml:space="preserve"> </w:t>
      </w:r>
      <w:r>
        <w:t xml:space="preserve">(power/thermal cycling reflecting EV busbars and charging profiles) and mandates failure analysis to catch early-life defects</w:t>
      </w:r>
      <w:hyperlink r:id="rId28">
        <w:r>
          <w:rPr>
            <w:rStyle w:val="Hyperlink"/>
          </w:rPr>
          <w:t xml:space="preserve">[6]</w:t>
        </w:r>
      </w:hyperlink>
      <w:r>
        <w:t xml:space="preserve">. Notably, Rev J recognizes advanced process nodes: chips in the 14nm range (common for high-end ADAS SoCs) now must meet automotive reliability requirements</w:t>
      </w:r>
      <w:hyperlink r:id="rId29">
        <w:r>
          <w:rPr>
            <w:rStyle w:val="Hyperlink"/>
          </w:rPr>
          <w:t xml:space="preserve">[7]</w:t>
        </w:r>
      </w:hyperlink>
      <w:r>
        <w:t xml:space="preserve">. Because smaller geometries have different failure modes (electromigration, dielectric breakdown), the standard shifts from older QFP packages to BGA/flip-chip assemblies to improve heat dissipation and mechanical robustness</w:t>
      </w:r>
      <w:hyperlink r:id="rId29">
        <w:r>
          <w:rPr>
            <w:rStyle w:val="Hyperlink"/>
          </w:rPr>
          <w:t xml:space="preserve">[7]</w:t>
        </w:r>
      </w:hyperlink>
      <w:r>
        <w:t xml:space="preserve">.</w:t>
      </w:r>
    </w:p>
    <w:p>
      <w:pPr>
        <w:pStyle w:val="BodyText"/>
      </w:pPr>
      <w:r>
        <w:rPr>
          <w:b/>
          <w:bCs/>
        </w:rPr>
        <w:t xml:space="preserve">Implications for L4 Compute:</w:t>
      </w:r>
      <w:r>
        <w:t xml:space="preserve"> </w:t>
      </w:r>
      <w:r>
        <w:t xml:space="preserve">As chips are central to autonomy (sensor processing, AI inference), AEC-Q100 qualification is often a prerequisite before system-level certification. Manufacturers typically use Automotive Grade (AEC-Q100) versions of CPUs, GPUs, memory, and power ICs. For example, high-performance ADAS SoCs like NVIDIA’s DRIVE or Qualcomm’s Snapdragon Ride are built on parts that pass AEC-Q100 or equivalent automotive-grade programs. In addition, ISO 26262 requires detailed hardware safety analysis; proven reliability data from AEC-Q100 tests supports ASIL claims. In practice, using AEC-Q100 devices (and following automotive-design practices, like oversizing capacitors, adding watchdogs, etc.) helps ensure that hardware faults are exceedingly rare and predictable</w:t>
      </w:r>
      <w:hyperlink r:id="rId30">
        <w:r>
          <w:rPr>
            <w:rStyle w:val="Hyperlink"/>
          </w:rPr>
          <w:t xml:space="preserve">[8]</w:t>
        </w:r>
      </w:hyperlink>
      <w:hyperlink r:id="rId23">
        <w:r>
          <w:rPr>
            <w:rStyle w:val="Hyperlink"/>
          </w:rPr>
          <w:t xml:space="preserve">[3]</w:t>
        </w:r>
      </w:hyperlink>
      <w:r>
        <w:t xml:space="preserve">.</w:t>
      </w:r>
    </w:p>
    <w:p>
      <w:pPr>
        <w:pStyle w:val="BodyText"/>
      </w:pPr>
      <w:r>
        <w:rPr>
          <w:b/>
          <w:bCs/>
        </w:rPr>
        <w:t xml:space="preserve">Qualification Flow:</w:t>
      </w:r>
      <w:r>
        <w:t xml:space="preserve"> </w:t>
      </w:r>
      <w:r>
        <w:t xml:space="preserve">Typically, a chipmaker provides Test Reports showing compliance with AEC-Q100 (alongside ISO 26262 work products for functional safety). The design flow for an L4 ECU includes mission profile definition and stress-test planning (per JESD94/KBTM guidelines) to exercise the chip under expected conditions. At the vehicle level, system designers must ensure</w:t>
      </w:r>
      <w:r>
        <w:t xml:space="preserve"> </w:t>
      </w:r>
      <w:r>
        <w:rPr>
          <w:b/>
          <w:bCs/>
        </w:rPr>
        <w:t xml:space="preserve">all</w:t>
      </w:r>
      <w:r>
        <w:t xml:space="preserve"> </w:t>
      </w:r>
      <w:r>
        <w:t xml:space="preserve">semiconductors (even discrete sensors, AEC-Q103) meet their respective AEC qualification</w:t>
      </w:r>
      <w:hyperlink r:id="rId23">
        <w:r>
          <w:rPr>
            <w:rStyle w:val="Hyperlink"/>
          </w:rPr>
          <w:t xml:space="preserve">[3]</w:t>
        </w:r>
      </w:hyperlink>
      <w:r>
        <w:t xml:space="preserve">. This forms part of the safety argument that the hardware platform can tolerate automotive loads without unexpected failure.</w:t>
      </w:r>
    </w:p>
    <w:bookmarkEnd w:id="31"/>
    <w:bookmarkStart w:id="36" w:name="automotive-physics-simulation-solvers"/>
    <w:p>
      <w:pPr>
        <w:pStyle w:val="Heading2"/>
      </w:pPr>
      <w:r>
        <w:t xml:space="preserve">Automotive Physics Simulation &amp; Solvers</w:t>
      </w:r>
    </w:p>
    <w:p>
      <w:pPr>
        <w:pStyle w:val="FirstParagraph"/>
      </w:pPr>
      <w:r>
        <w:t xml:space="preserve">Simulation is indispensable in L4 development for both</w:t>
      </w:r>
      <w:r>
        <w:t xml:space="preserve"> </w:t>
      </w:r>
      <w:r>
        <w:rPr>
          <w:b/>
          <w:bCs/>
        </w:rPr>
        <w:t xml:space="preserve">component design</w:t>
      </w:r>
      <w:r>
        <w:t xml:space="preserve"> </w:t>
      </w:r>
      <w:r>
        <w:t xml:space="preserve">and</w:t>
      </w:r>
      <w:r>
        <w:t xml:space="preserve"> </w:t>
      </w:r>
      <w:r>
        <w:rPr>
          <w:b/>
          <w:bCs/>
        </w:rPr>
        <w:t xml:space="preserve">virtual testing</w:t>
      </w:r>
      <w:r>
        <w:t xml:space="preserve">. Engineers use finite element (FE) and computational fluid dynamics (CFD) solvers to model vehicle structures and sensor hardware, while virtual testbeds (e.g. CarSim, Prescan, NVIDIA Omniverse) simulate vehicle dynamics and environments for software validation.</w:t>
      </w:r>
    </w:p>
    <w:p>
      <w:pPr>
        <w:numPr>
          <w:ilvl w:val="0"/>
          <w:numId w:val="1001"/>
        </w:numPr>
      </w:pPr>
      <w:r>
        <w:rPr>
          <w:b/>
          <w:bCs/>
        </w:rPr>
        <w:t xml:space="preserve">Crash and Structural Simulation:</w:t>
      </w:r>
      <w:r>
        <w:t xml:space="preserve"> </w:t>
      </w:r>
      <w:r>
        <w:t xml:space="preserve">Explicit finite-element (FEM) solvers (e.g. LS-DYNA, Abaqus Explicit) predict crashworthiness with high fidelity. Crash FEM is “widely used” for its accuracy and reliability</w:t>
      </w:r>
      <w:hyperlink r:id="rId32">
        <w:r>
          <w:rPr>
            <w:rStyle w:val="Hyperlink"/>
          </w:rPr>
          <w:t xml:space="preserve">[9]</w:t>
        </w:r>
      </w:hyperlink>
      <w:r>
        <w:t xml:space="preserve">. For example, ANSYS or Simcenter tools simulate collisions and occupant safety, which is vital to design robust chassis that survive the mechanical stresses expected in L4 (ensuring passenger safety). Implicit FEM solvers handle static loads (brake calipers, suspension mounts) and modal analysis (structural resonances). Innovative approaches even integrate neural nets to accelerate FEM, as in the FEMIN framework</w:t>
      </w:r>
      <w:hyperlink r:id="rId32">
        <w:r>
          <w:rPr>
            <w:rStyle w:val="Hyperlink"/>
          </w:rPr>
          <w:t xml:space="preserve">[9]</w:t>
        </w:r>
      </w:hyperlink>
      <w:r>
        <w:t xml:space="preserve">. Designers compare solver types: explicit for nonlinear, high-speed events; implicit for stiffness-dominated or long-duration loads; multibody dynamics solvers (e.g. ADAMS) for suspension and handling.</w:t>
      </w:r>
    </w:p>
    <w:p>
      <w:pPr>
        <w:numPr>
          <w:ilvl w:val="0"/>
          <w:numId w:val="1001"/>
        </w:numPr>
      </w:pPr>
      <w:r>
        <w:rPr>
          <w:b/>
          <w:bCs/>
        </w:rPr>
        <w:t xml:space="preserve">Multiphysics (Thermal, EMC, Aerodynamics):</w:t>
      </w:r>
      <w:r>
        <w:t xml:space="preserve"> </w:t>
      </w:r>
      <w:r>
        <w:t xml:space="preserve">EVs demand intensive thermal and electrical simulation. CFD solvers model airflow for cooling (battery packs, brakes) and external aerodynamics to minimize drag. Thermal solvers analyze heat sinks and power electronics to ensure components stay within safe temperatures. Electromagnetic solvers (FDTD, MOM) are used in sensor development: for instance, designing radar antenna patterns or lidar optical components. The spectrum includes co-simulation of power electronics (switch-mode converters) with thermal FEM. AltaSim notes that</w:t>
      </w:r>
      <w:r>
        <w:t xml:space="preserve"> </w:t>
      </w:r>
      <w:r>
        <w:rPr>
          <w:b/>
          <w:bCs/>
        </w:rPr>
        <w:t xml:space="preserve">multiphysics simulation</w:t>
      </w:r>
      <w:r>
        <w:t xml:space="preserve"> </w:t>
      </w:r>
      <w:r>
        <w:t xml:space="preserve">is key for battery thermal management, motor design, and even ADAS sensors (optical, piezoelectric)</w:t>
      </w:r>
      <w:hyperlink r:id="rId33">
        <w:r>
          <w:rPr>
            <w:rStyle w:val="Hyperlink"/>
          </w:rPr>
          <w:t xml:space="preserve">[10]</w:t>
        </w:r>
      </w:hyperlink>
      <w:r>
        <w:t xml:space="preserve">. They highlight “structural thermal optical analysis (STOP)” for camera sensors to predict behavior under sunlight, and fluid analysis for anti-soiling systems</w:t>
      </w:r>
      <w:hyperlink r:id="rId33">
        <w:r>
          <w:rPr>
            <w:rStyle w:val="Hyperlink"/>
          </w:rPr>
          <w:t xml:space="preserve">[10]</w:t>
        </w:r>
      </w:hyperlink>
      <w:r>
        <w:t xml:space="preserve">.</w:t>
      </w:r>
    </w:p>
    <w:p>
      <w:pPr>
        <w:numPr>
          <w:ilvl w:val="0"/>
          <w:numId w:val="1001"/>
        </w:numPr>
      </w:pPr>
      <w:r>
        <w:rPr>
          <w:b/>
          <w:bCs/>
        </w:rPr>
        <w:t xml:space="preserve">Sensor &amp; Scenario Simulation:</w:t>
      </w:r>
      <w:r>
        <w:t xml:space="preserve"> </w:t>
      </w:r>
      <w:r>
        <w:t xml:space="preserve">Virtual validation of ADAS/AD relies on simulated sensor data. Frameworks combine a</w:t>
      </w:r>
      <w:r>
        <w:t xml:space="preserve"> </w:t>
      </w:r>
      <w:r>
        <w:rPr>
          <w:b/>
          <w:bCs/>
        </w:rPr>
        <w:t xml:space="preserve">vehicle model, environment model, sensor model, and autonomy function</w:t>
      </w:r>
      <w:hyperlink r:id="rId34">
        <w:r>
          <w:rPr>
            <w:rStyle w:val="Hyperlink"/>
          </w:rPr>
          <w:t xml:space="preserve">[11]</w:t>
        </w:r>
      </w:hyperlink>
      <w:r>
        <w:t xml:space="preserve">. This may include high-fidelity ray-tracing for camera (global illumination, shutter effects), lidar (photon tracing, RCS modeling as in [27]), and radar (GMM-based radar cross-section modeling</w:t>
      </w:r>
      <w:hyperlink r:id="rId35">
        <w:r>
          <w:rPr>
            <w:rStyle w:val="Hyperlink"/>
          </w:rPr>
          <w:t xml:space="preserve">[12]</w:t>
        </w:r>
      </w:hyperlink>
      <w:r>
        <w:t xml:space="preserve">). Simulation solves real-world scenarios impractical to test live. For example, LiDAR simulators (ray-tracing solvers) model precise beam reflections, while game-engine tools generate dynamic traffic and pedestrians. These are coupled with vehicle dynamics solvers (real-time ODE integration) and control software to evaluate full-stack behavior.</w:t>
      </w:r>
    </w:p>
    <w:p>
      <w:pPr>
        <w:numPr>
          <w:ilvl w:val="0"/>
          <w:numId w:val="1001"/>
        </w:numPr>
      </w:pPr>
      <w:r>
        <w:rPr>
          <w:b/>
          <w:bCs/>
        </w:rPr>
        <w:t xml:space="preserve">Comparative Solvers:</w:t>
      </w:r>
      <w:r>
        <w:t xml:space="preserve"> </w:t>
      </w:r>
      <w:r>
        <w:t xml:space="preserve">Designers choose solvers based on fidelity vs speed. For crash, high-fidelity FEM vs faster multi-body trade off accuracy. For sensor sim, data-driven models (e.g. the Gaussian mixture radar model</w:t>
      </w:r>
      <w:hyperlink r:id="rId35">
        <w:r>
          <w:rPr>
            <w:rStyle w:val="Hyperlink"/>
          </w:rPr>
          <w:t xml:space="preserve">[12]</w:t>
        </w:r>
      </w:hyperlink>
      <w:r>
        <w:t xml:space="preserve">) may replace physics engines for speed. Simulation also includes Hardware-in-the-Loop (HIL) with real ECU hardware interfaced to real-time vehicle models (often solved via fixed-step solvers in MATLAB/Simulink or real-time engines). The combination ensures both the</w:t>
      </w:r>
      <w:r>
        <w:t xml:space="preserve"> </w:t>
      </w:r>
      <w:r>
        <w:rPr>
          <w:b/>
          <w:bCs/>
        </w:rPr>
        <w:t xml:space="preserve">nominal performance</w:t>
      </w:r>
      <w:r>
        <w:t xml:space="preserve"> </w:t>
      </w:r>
      <w:r>
        <w:t xml:space="preserve">(per ISO 21448 SOTIF) and edge-case safety (per ISO 26262) are tested.</w:t>
      </w:r>
    </w:p>
    <w:p>
      <w:pPr>
        <w:pStyle w:val="FirstParagraph"/>
      </w:pPr>
      <w:r>
        <w:t xml:space="preserve">In summary, physics-based simulation (FEM, CFD, etc.) ensures components and systems are designed to handle the physical environment, while integrated simulation frameworks verify ADAS/L4 software in closed-loop with realistic sensor models</w:t>
      </w:r>
      <w:hyperlink r:id="rId35">
        <w:r>
          <w:rPr>
            <w:rStyle w:val="Hyperlink"/>
          </w:rPr>
          <w:t xml:space="preserve">[12]</w:t>
        </w:r>
      </w:hyperlink>
      <w:hyperlink r:id="rId33">
        <w:r>
          <w:rPr>
            <w:rStyle w:val="Hyperlink"/>
          </w:rPr>
          <w:t xml:space="preserve">[10]</w:t>
        </w:r>
      </w:hyperlink>
      <w:r>
        <w:t xml:space="preserve">. Both aspects are critical to validate that L4 autonomy is safe and reliable.</w:t>
      </w:r>
    </w:p>
    <w:bookmarkEnd w:id="36"/>
    <w:bookmarkStart w:id="41" w:name="X37a54e32d5772738de27b25ddc79b5a917d6086"/>
    <w:p>
      <w:pPr>
        <w:pStyle w:val="Heading2"/>
      </w:pPr>
      <w:r>
        <w:t xml:space="preserve">Real-Time Processing for Safety-Critical Systems</w:t>
      </w:r>
    </w:p>
    <w:p>
      <w:pPr>
        <w:pStyle w:val="FirstParagraph"/>
      </w:pPr>
      <w:r>
        <w:t xml:space="preserve">L4 autonomy requires that perception, planning, and control tasks run within strict time bounds.</w:t>
      </w:r>
      <w:r>
        <w:t xml:space="preserve"> </w:t>
      </w:r>
      <w:r>
        <w:rPr>
          <w:b/>
          <w:bCs/>
        </w:rPr>
        <w:t xml:space="preserve">Deterministic execution</w:t>
      </w:r>
      <w:r>
        <w:t xml:space="preserve"> </w:t>
      </w:r>
      <w:r>
        <w:t xml:space="preserve">is key: missing a deadline (e.g. late obstacle detection) can be catastrophic. Thus, the compute architecture combines high-performance processors with real-time operating systems and safety monitors.</w:t>
      </w:r>
    </w:p>
    <w:p>
      <w:pPr>
        <w:numPr>
          <w:ilvl w:val="0"/>
          <w:numId w:val="1002"/>
        </w:numPr>
      </w:pPr>
      <w:r>
        <w:rPr>
          <w:b/>
          <w:bCs/>
        </w:rPr>
        <w:t xml:space="preserve">Compute Platforms:</w:t>
      </w:r>
      <w:r>
        <w:t xml:space="preserve"> </w:t>
      </w:r>
      <w:r>
        <w:t xml:space="preserve">Modern AV computers (e.g. NVIDIA DRIVE AGX, Intel Mobileye EyeQ, Qualcomm Snapdragon Ride) integrate multi-core CPUs, GPUs/AI accelerators, and often safety islands (lock-step cores or a separate MC). For instance, NVIDIA’s DriveAGX platform uses multiple SoCs (Thor, Orin) on one board with a</w:t>
      </w:r>
      <w:r>
        <w:t xml:space="preserve"> </w:t>
      </w:r>
      <w:r>
        <w:rPr>
          <w:b/>
          <w:bCs/>
        </w:rPr>
        <w:t xml:space="preserve">safety-certified DriveOS</w:t>
      </w:r>
      <w:r>
        <w:t xml:space="preserve"> </w:t>
      </w:r>
      <w:r>
        <w:t xml:space="preserve">on top</w:t>
      </w:r>
      <w:hyperlink r:id="rId37">
        <w:r>
          <w:rPr>
            <w:rStyle w:val="Hyperlink"/>
          </w:rPr>
          <w:t xml:space="preserve">[13]</w:t>
        </w:r>
      </w:hyperlink>
      <w:r>
        <w:t xml:space="preserve">. DriveOS provides time-partitioning, secure boot, and runtime monitors so that AI workloads and deterministic control tasks coexist. AUTOSAR Adaptive or QNX are typical safety-certified RTOS choices, supporting ASIL-D processes.</w:t>
      </w:r>
    </w:p>
    <w:p>
      <w:pPr>
        <w:numPr>
          <w:ilvl w:val="0"/>
          <w:numId w:val="1002"/>
        </w:numPr>
      </w:pPr>
      <w:r>
        <w:rPr>
          <w:b/>
          <w:bCs/>
        </w:rPr>
        <w:t xml:space="preserve">Real-Time Software:</w:t>
      </w:r>
      <w:r>
        <w:t xml:space="preserve"> </w:t>
      </w:r>
      <w:r>
        <w:t xml:space="preserve">Sensor fusion and planning algorithms run with guaranteed scheduling. Tasks such as camera image processing or radar fusion have set deadlines. This is achieved via static scheduling (e.g. rate-monotonic or time-triggered) or real-time kernels. Safety frameworks often isolate functions: for example, camera processing may run in an isolated partition from the control logic, with redundant cross-checks. Safety monitors (like NVIDIA Halos</w:t>
      </w:r>
      <w:hyperlink r:id="rId38">
        <w:r>
          <w:rPr>
            <w:rStyle w:val="Hyperlink"/>
          </w:rPr>
          <w:t xml:space="preserve">[14]</w:t>
        </w:r>
      </w:hyperlink>
      <w:r>
        <w:t xml:space="preserve">) continuously check timing and memory integrity at run-time, triggering safe shutdown if anomalies occur.</w:t>
      </w:r>
    </w:p>
    <w:p>
      <w:pPr>
        <w:numPr>
          <w:ilvl w:val="0"/>
          <w:numId w:val="1002"/>
        </w:numPr>
      </w:pPr>
      <w:r>
        <w:rPr>
          <w:b/>
          <w:bCs/>
        </w:rPr>
        <w:t xml:space="preserve">Integration with Sensor Fusion:</w:t>
      </w:r>
      <w:r>
        <w:t xml:space="preserve"> </w:t>
      </w:r>
      <w:r>
        <w:t xml:space="preserve">Real-time processing is tightly coupled with sensor fusion. The compute system ingests raw sensor streams (possibly hundreds of MB/s) and must publish a fused 3D view within milliseconds. Architecturally, this means high-throughput buses (PCIe, high-speed SerDes) and DMA engines feed data to accelerators. NVIDIA notes that DriveAGX provides “the compute performance and redundancy necessary” for L4 autonomy</w:t>
      </w:r>
      <w:hyperlink r:id="rId39">
        <w:r>
          <w:rPr>
            <w:rStyle w:val="Hyperlink"/>
          </w:rPr>
          <w:t xml:space="preserve">[15]</w:t>
        </w:r>
      </w:hyperlink>
      <w:r>
        <w:t xml:space="preserve">, and that its safety OS “enables real-time processing, security, and system monitoring” to meet ISO 26262 requirements</w:t>
      </w:r>
      <w:hyperlink r:id="rId37">
        <w:r>
          <w:rPr>
            <w:rStyle w:val="Hyperlink"/>
          </w:rPr>
          <w:t xml:space="preserve">[13]</w:t>
        </w:r>
      </w:hyperlink>
      <w:r>
        <w:t xml:space="preserve">.</w:t>
      </w:r>
    </w:p>
    <w:p>
      <w:pPr>
        <w:numPr>
          <w:ilvl w:val="0"/>
          <w:numId w:val="1002"/>
        </w:numPr>
      </w:pPr>
      <w:r>
        <w:rPr>
          <w:b/>
          <w:bCs/>
        </w:rPr>
        <w:t xml:space="preserve">Safety Mechanisms:</w:t>
      </w:r>
      <w:r>
        <w:t xml:space="preserve"> </w:t>
      </w:r>
      <w:r>
        <w:t xml:space="preserve">Real-time safety-critical systems employ redundancy at multiple levels. Dual or lock-step cores detect computation errors. Watchdogs and self-tests (Built-In Self-Test, BIST) verify memory and logic. Timing budgets include worst-case analysis to ensure the system can always respond (Fail-operational control). As GPR notes, “redundant compute platforms” are used so that if one fails, another takes over seamlessly</w:t>
      </w:r>
      <w:hyperlink r:id="rId40">
        <w:r>
          <w:rPr>
            <w:rStyle w:val="Hyperlink"/>
          </w:rPr>
          <w:t xml:space="preserve">[16]</w:t>
        </w:r>
      </w:hyperlink>
      <w:r>
        <w:t xml:space="preserve">. For example, braking commands might be processed by two independent threads on separate cores, with a voter. All design and verification follow ISO 26262’s mandated processes (e.g. MISRA C, Model-Based Development with code generation guidelines).</w:t>
      </w:r>
    </w:p>
    <w:p>
      <w:pPr>
        <w:pStyle w:val="FirstParagraph"/>
      </w:pPr>
      <w:r>
        <w:t xml:space="preserve">In essence, L4 platforms use</w:t>
      </w:r>
      <w:r>
        <w:t xml:space="preserve"> </w:t>
      </w:r>
      <w:r>
        <w:rPr>
          <w:b/>
          <w:bCs/>
        </w:rPr>
        <w:t xml:space="preserve">safety-certified real-time architectures</w:t>
      </w:r>
      <w:r>
        <w:t xml:space="preserve"> </w:t>
      </w:r>
      <w:r>
        <w:t xml:space="preserve">combining high-performance AI-capable compute with rigorous scheduling and monitoring. This integration ensures perception and actuation tasks meet their deadlines and maintain functionality even under faults</w:t>
      </w:r>
      <w:hyperlink r:id="rId37">
        <w:r>
          <w:rPr>
            <w:rStyle w:val="Hyperlink"/>
          </w:rPr>
          <w:t xml:space="preserve">[13]</w:t>
        </w:r>
      </w:hyperlink>
      <w:hyperlink r:id="rId25">
        <w:r>
          <w:rPr>
            <w:rStyle w:val="Hyperlink"/>
          </w:rPr>
          <w:t xml:space="preserve">[4]</w:t>
        </w:r>
      </w:hyperlink>
      <w:r>
        <w:t xml:space="preserve">.</w:t>
      </w:r>
    </w:p>
    <w:bookmarkEnd w:id="41"/>
    <w:bookmarkStart w:id="45" w:name="low-power-computing-adaptive-wake-up"/>
    <w:p>
      <w:pPr>
        <w:pStyle w:val="Heading2"/>
      </w:pPr>
      <w:r>
        <w:t xml:space="preserve">Low-Power Computing &amp; Adaptive Wake-Up</w:t>
      </w:r>
    </w:p>
    <w:p>
      <w:pPr>
        <w:pStyle w:val="FirstParagraph"/>
      </w:pPr>
      <w:r>
        <w:t xml:space="preserve">Although L4 vehicles often run on robust power systems (especially EVs),</w:t>
      </w:r>
      <w:r>
        <w:t xml:space="preserve"> </w:t>
      </w:r>
      <w:r>
        <w:rPr>
          <w:i/>
          <w:iCs/>
        </w:rPr>
        <w:t xml:space="preserve">efficient power management</w:t>
      </w:r>
      <w:r>
        <w:t xml:space="preserve"> </w:t>
      </w:r>
      <w:r>
        <w:t xml:space="preserve">is still important (for range, heat, and unattended operation). In many automotive systems, ECUs spend most time in sleep or standby, waking only on events. Key strategies include:</w:t>
      </w:r>
    </w:p>
    <w:p>
      <w:pPr>
        <w:numPr>
          <w:ilvl w:val="0"/>
          <w:numId w:val="1003"/>
        </w:numPr>
      </w:pPr>
      <w:r>
        <w:rPr>
          <w:b/>
          <w:bCs/>
        </w:rPr>
        <w:t xml:space="preserve">Deep Sleep Modes:</w:t>
      </w:r>
      <w:r>
        <w:t xml:space="preserve"> </w:t>
      </w:r>
      <w:r>
        <w:t xml:space="preserve">Automotive microcontrollers and SBCs implement low-power modes (Stop, Standby, Hibernate) where almost all logic is shut down. For example, an ECU may cut power to CPU cores and RAM (save minimal context), leaving only a “wake-up periphery” active (such as a CAN/LIN transceiver or a real-time clock)</w:t>
      </w:r>
      <w:hyperlink r:id="rId42">
        <w:r>
          <w:rPr>
            <w:rStyle w:val="Hyperlink"/>
          </w:rPr>
          <w:t xml:space="preserve">[17]</w:t>
        </w:r>
      </w:hyperlink>
      <w:r>
        <w:t xml:space="preserve">. In this state, consumption can drop to microamp levels. The always-on transceiver monitors the bus for wake patterns (e.g. a special CAN frame). This avoids draining the battery when the vehicle is parked, while still allowing sensors or driver interaction to wake the system.</w:t>
      </w:r>
    </w:p>
    <w:p>
      <w:pPr>
        <w:numPr>
          <w:ilvl w:val="0"/>
          <w:numId w:val="1003"/>
        </w:numPr>
      </w:pPr>
      <w:r>
        <w:rPr>
          <w:b/>
          <w:bCs/>
        </w:rPr>
        <w:t xml:space="preserve">Fast Wake-Up:</w:t>
      </w:r>
      <w:r>
        <w:t xml:space="preserve"> </w:t>
      </w:r>
      <w:r>
        <w:t xml:space="preserve">When an event arrives (CAN message, collision sensor, door unlock), the system must resume operation quickly. Techniques include using a small, on-chip high-speed oscillator to restart clocks. For example, a 16 MHz internal RC oscillator can establish a bus clock in under 5 cycles, allowing the MCU to “near instantly” begin processing</w:t>
      </w:r>
      <w:hyperlink r:id="rId43">
        <w:r>
          <w:rPr>
            <w:rStyle w:val="Hyperlink"/>
          </w:rPr>
          <w:t xml:space="preserve">[18]</w:t>
        </w:r>
      </w:hyperlink>
      <w:r>
        <w:t xml:space="preserve">. This enables sub-millisecond wake latencies, important for safety (e.g. powering up ADAS functions immediately after ignition).</w:t>
      </w:r>
    </w:p>
    <w:p>
      <w:pPr>
        <w:numPr>
          <w:ilvl w:val="0"/>
          <w:numId w:val="1003"/>
        </w:numPr>
      </w:pPr>
      <w:r>
        <w:rPr>
          <w:b/>
          <w:bCs/>
        </w:rPr>
        <w:t xml:space="preserve">Adaptive Wake Policies:</w:t>
      </w:r>
      <w:r>
        <w:t xml:space="preserve"> </w:t>
      </w:r>
      <w:r>
        <w:t xml:space="preserve">In addition to edge-triggered wake (on bus traffic), ECUs often perform periodic wake-ups for maintenance tasks or to check signals. Designers use a low-power 128 kHz oscillator (on-chip RTC or LINFlex controller) to wake the MCU every few milliseconds, do a quick poll (e.g. check if any button pressed or message received) and go back to sleep</w:t>
      </w:r>
      <w:hyperlink r:id="rId44">
        <w:r>
          <w:rPr>
            <w:rStyle w:val="Hyperlink"/>
          </w:rPr>
          <w:t xml:space="preserve">[19]</w:t>
        </w:r>
      </w:hyperlink>
      <w:r>
        <w:t xml:space="preserve">. This “duty-cycling” balances prompt responsiveness against power drain. Configurable wake patterns (per CiA 823 standard) allow selective network wake-up so that not all ECUs wake on every bus message</w:t>
      </w:r>
      <w:hyperlink r:id="rId42">
        <w:r>
          <w:rPr>
            <w:rStyle w:val="Hyperlink"/>
          </w:rPr>
          <w:t xml:space="preserve">[17]</w:t>
        </w:r>
      </w:hyperlink>
      <w:hyperlink r:id="rId44">
        <w:r>
          <w:rPr>
            <w:rStyle w:val="Hyperlink"/>
          </w:rPr>
          <w:t xml:space="preserve">[19]</w:t>
        </w:r>
      </w:hyperlink>
      <w:r>
        <w:t xml:space="preserve">.</w:t>
      </w:r>
    </w:p>
    <w:p>
      <w:pPr>
        <w:numPr>
          <w:ilvl w:val="0"/>
          <w:numId w:val="1003"/>
        </w:numPr>
      </w:pPr>
      <w:r>
        <w:rPr>
          <w:b/>
          <w:bCs/>
        </w:rPr>
        <w:t xml:space="preserve">Integration Strategies:</w:t>
      </w:r>
      <w:r>
        <w:t xml:space="preserve"> </w:t>
      </w:r>
      <w:r>
        <w:t xml:space="preserve">These low-power designs must integrate with the safety architecture. The wake logic itself is safety-critical (false sleeps could disable safety systems). Techniques include dual-path wake detection (e.g. both a hardware CAN controller and a separate transceiver with own wake latch</w:t>
      </w:r>
      <w:hyperlink r:id="rId42">
        <w:r>
          <w:rPr>
            <w:rStyle w:val="Hyperlink"/>
          </w:rPr>
          <w:t xml:space="preserve">[17]</w:t>
        </w:r>
      </w:hyperlink>
      <w:hyperlink r:id="rId44">
        <w:r>
          <w:rPr>
            <w:rStyle w:val="Hyperlink"/>
          </w:rPr>
          <w:t xml:space="preserve">[19]</w:t>
        </w:r>
      </w:hyperlink>
      <w:r>
        <w:t xml:space="preserve">). The power domain hierarchy is carefully designed: critical sensors might remain powered always, whereas control units sleep. ISO 26262 requires validating wake transitions (e.g. demonstrating that wake-up will always succeed before entering deep sleep).</w:t>
      </w:r>
    </w:p>
    <w:p>
      <w:pPr>
        <w:numPr>
          <w:ilvl w:val="0"/>
          <w:numId w:val="1003"/>
        </w:numPr>
      </w:pPr>
      <w:r>
        <w:rPr>
          <w:b/>
          <w:bCs/>
        </w:rPr>
        <w:t xml:space="preserve">Comparative Approaches:</w:t>
      </w:r>
      <w:r>
        <w:t xml:space="preserve"> </w:t>
      </w:r>
      <w:r>
        <w:t xml:space="preserve">Different MCUs trade off wake speed vs. current: Some designs keep RAM powered (fast restore) vs. save-to-flash (slower). Choosing oscillators: high-frequency clocks for speed (higher idle power) vs. ultra-low-frequency for minimal draw (longer wake time). The solution depends on the application’s duty cycle: for instance, tire-pressure modules use only RTC wake, while ADAS controllers may always-on until ignition off.</w:t>
      </w:r>
    </w:p>
    <w:p>
      <w:pPr>
        <w:pStyle w:val="FirstParagraph"/>
      </w:pPr>
      <w:r>
        <w:t xml:space="preserve">Overall, low-power and adaptive wake-up schemes extend vehicle readiness (always-on monitoring) without excessive battery drain. They leverage hardware features (on-chip RC oscillators, network wake units) to quickly re-activate full compute. In L4 vehicles, these are crucial for functions like remote diagnostics or keeping V2X radios alive at minimal cost, while guaranteeing safety-critical systems can wake in time.</w:t>
      </w:r>
    </w:p>
    <w:bookmarkEnd w:id="45"/>
    <w:bookmarkStart w:id="50" w:name="power-management-for-automotive-compute"/>
    <w:p>
      <w:pPr>
        <w:pStyle w:val="Heading2"/>
      </w:pPr>
      <w:r>
        <w:t xml:space="preserve">Power Management for Automotive Compute</w:t>
      </w:r>
    </w:p>
    <w:p>
      <w:pPr>
        <w:pStyle w:val="FirstParagraph"/>
      </w:pPr>
      <w:r>
        <w:t xml:space="preserve">Power management in L4 autonomous vehicles spans from the ECU board to the entire vehicle’s energy system. Key considerations include efficient conversion, distribution, and dynamic scaling of power to meet real-time compute needs while satisfying reliability standards.</w:t>
      </w:r>
    </w:p>
    <w:p>
      <w:pPr>
        <w:numPr>
          <w:ilvl w:val="0"/>
          <w:numId w:val="1004"/>
        </w:numPr>
      </w:pPr>
      <w:r>
        <w:rPr>
          <w:b/>
          <w:bCs/>
        </w:rPr>
        <w:t xml:space="preserve">System-Level Power Architecture:</w:t>
      </w:r>
      <w:r>
        <w:t xml:space="preserve"> </w:t>
      </w:r>
      <w:r>
        <w:t xml:space="preserve">Unlike traditional cars with simple 12–48 V buses, L4 vehicles (especially EVs) have complex power domains. High-voltage batteries, DC/DC converters, and isolated domains feed compute clusters. The entire power train (including charging, ignition, and shutdown sequencing) must be coordinated. For compute specifically, designers use modular power supplies and PDUs (power distribution units) with built-in protections. For example, a centralized autonomy computer might have dedicated buck/boost converters for CPU/GPU cores, memory, and sensors. Standards like LV148 guide load dump and transients testing for these supplies. Functional safety requires monitoring (e.g. undervoltage detection) and a safe shutdown if power fails.</w:t>
      </w:r>
    </w:p>
    <w:p>
      <w:pPr>
        <w:numPr>
          <w:ilvl w:val="0"/>
          <w:numId w:val="1004"/>
        </w:numPr>
      </w:pPr>
      <w:r>
        <w:rPr>
          <w:b/>
          <w:bCs/>
        </w:rPr>
        <w:t xml:space="preserve">On-Chip Power Management:</w:t>
      </w:r>
      <w:r>
        <w:t xml:space="preserve"> </w:t>
      </w:r>
      <w:r>
        <w:t xml:space="preserve">Modern SoCs integrate DVFS (Dynamic Voltage and Frequency Scaling) and power gating. As one case study notes,</w:t>
      </w:r>
      <w:r>
        <w:t xml:space="preserve"> </w:t>
      </w:r>
      <w:r>
        <w:rPr>
          <w:b/>
          <w:bCs/>
        </w:rPr>
        <w:t xml:space="preserve">DVFS</w:t>
      </w:r>
      <w:r>
        <w:t xml:space="preserve"> </w:t>
      </w:r>
      <w:r>
        <w:t xml:space="preserve">in ADAS processors “optimizes power consumption by adjusting voltage and frequency to demand”</w:t>
      </w:r>
      <w:hyperlink r:id="rId46">
        <w:r>
          <w:rPr>
            <w:rStyle w:val="Hyperlink"/>
          </w:rPr>
          <w:t xml:space="preserve">[20]</w:t>
        </w:r>
      </w:hyperlink>
      <w:r>
        <w:t xml:space="preserve">. In practice, the compute stack (OS or hypervisor) dynamically lowers GPU/CPU clocks when processing is light, and raises them under heavy AI loads, to save energy. NVIDIA’s DRIVE platform exemplifies this: it is “engineered to manage substantial compute requirements… while consuming minimal power”</w:t>
      </w:r>
      <w:hyperlink r:id="rId47">
        <w:r>
          <w:rPr>
            <w:rStyle w:val="Hyperlink"/>
          </w:rPr>
          <w:t xml:space="preserve">[21]</w:t>
        </w:r>
      </w:hyperlink>
      <w:r>
        <w:t xml:space="preserve">. It achieves this via dynamic scaling and specialized hardware accelerators (which consume less power per operation than general-purpose cores). Qualcomm’s SNAPDRAGON Ride similarly offers modular power management within its ADAS compute units.</w:t>
      </w:r>
    </w:p>
    <w:p>
      <w:pPr>
        <w:numPr>
          <w:ilvl w:val="0"/>
          <w:numId w:val="1004"/>
        </w:numPr>
      </w:pPr>
      <w:r>
        <w:rPr>
          <w:b/>
          <w:bCs/>
        </w:rPr>
        <w:t xml:space="preserve">Thermal and Efficiency:</w:t>
      </w:r>
      <w:r>
        <w:t xml:space="preserve"> </w:t>
      </w:r>
      <w:r>
        <w:t xml:space="preserve">Efficiency directly impacts thermal design. Automotive compute racks must dissipate heat in cramped spaces. Designers often run chips at optimal power points to limit heat generation. Thermal management (heat sinks, coolant loops) is integrated with power control: e.g., if a temperature sensor detects overheating, the PMU throttles compute before critical limits. NVidia highlights its “power-efficient, in-vehicle architecture” delivering AI performance with minimal thermal impact</w:t>
      </w:r>
      <w:hyperlink r:id="rId48">
        <w:r>
          <w:rPr>
            <w:rStyle w:val="Hyperlink"/>
          </w:rPr>
          <w:t xml:space="preserve">[22]</w:t>
        </w:r>
      </w:hyperlink>
      <w:r>
        <w:t xml:space="preserve">. This holistic design – from semiconductor materials to board layout – sets a performance-per-watt standard for autonomy.</w:t>
      </w:r>
    </w:p>
    <w:p>
      <w:pPr>
        <w:numPr>
          <w:ilvl w:val="0"/>
          <w:numId w:val="1004"/>
        </w:numPr>
      </w:pPr>
      <w:r>
        <w:rPr>
          <w:b/>
          <w:bCs/>
        </w:rPr>
        <w:t xml:space="preserve">Noise and Transient Management:</w:t>
      </w:r>
      <w:r>
        <w:t xml:space="preserve"> </w:t>
      </w:r>
      <w:r>
        <w:t xml:space="preserve">Power supplies themselves must not introduce noise into sensitive sensors. Dedicated clean power rails (with low-dropout regulators and EMI filters) feed radar and camera modules. Advanced filtering (LC filters, common-mode chokes) is used especially for high-frequency digital noise. Case studies stress that ADAS demands “clean and stable power supplies” because its radar/camera sensors are noise-sensitive</w:t>
      </w:r>
      <w:hyperlink r:id="rId49">
        <w:r>
          <w:rPr>
            <w:rStyle w:val="Hyperlink"/>
          </w:rPr>
          <w:t xml:space="preserve">[23]</w:t>
        </w:r>
      </w:hyperlink>
      <w:r>
        <w:t xml:space="preserve">. Power converters are designed to meet CISPR25 EMC limits to avoid interfering with communication or perception.</w:t>
      </w:r>
    </w:p>
    <w:p>
      <w:pPr>
        <w:numPr>
          <w:ilvl w:val="0"/>
          <w:numId w:val="1004"/>
        </w:numPr>
      </w:pPr>
      <w:r>
        <w:rPr>
          <w:b/>
          <w:bCs/>
        </w:rPr>
        <w:t xml:space="preserve">Redundancy and Safety:</w:t>
      </w:r>
      <w:r>
        <w:t xml:space="preserve"> </w:t>
      </w:r>
      <w:r>
        <w:t xml:space="preserve">Functional safety requires that power management not become a single point of failure. Redundant power paths (dual battery lines, dual converters) are used for ASIL-critical domains. The system can tolerate one converter failing by rerouting power or gracefully reducing load. All power ICs in safety domains may be ASIL-qualified. For example, Texas Instruments’ TPS65919-Q1 PMU is ISO 26262-certified. Any software managing power (like a kernel driver throttling CPUs) follows MISRA coding and is developed to ASIL C/D practices.</w:t>
      </w:r>
    </w:p>
    <w:p>
      <w:pPr>
        <w:numPr>
          <w:ilvl w:val="0"/>
          <w:numId w:val="1004"/>
        </w:numPr>
      </w:pPr>
      <w:r>
        <w:rPr>
          <w:b/>
          <w:bCs/>
        </w:rPr>
        <w:t xml:space="preserve">Comparative Power Strategies:</w:t>
      </w:r>
      <w:r>
        <w:t xml:space="preserve"> </w:t>
      </w:r>
      <w:r>
        <w:t xml:space="preserve">Beyond DVFS, other techniques include</w:t>
      </w:r>
      <w:r>
        <w:t xml:space="preserve"> </w:t>
      </w:r>
      <w:r>
        <w:rPr>
          <w:b/>
          <w:bCs/>
        </w:rPr>
        <w:t xml:space="preserve">clock gating</w:t>
      </w:r>
      <w:r>
        <w:t xml:space="preserve"> </w:t>
      </w:r>
      <w:r>
        <w:t xml:space="preserve">(turning off unused logic blocks) and</w:t>
      </w:r>
      <w:r>
        <w:t xml:space="preserve"> </w:t>
      </w:r>
      <w:r>
        <w:rPr>
          <w:b/>
          <w:bCs/>
        </w:rPr>
        <w:t xml:space="preserve">power islands</w:t>
      </w:r>
      <w:r>
        <w:t xml:space="preserve"> </w:t>
      </w:r>
      <w:r>
        <w:t xml:space="preserve">(shutting down entire GPU domains when idle). In a zonal architecture, controllers may power down an entire zone’s compute when the vehicle is parked. Each strategy has trade-offs (latency vs. savings). For critical systems (brakes, steering), most designers</w:t>
      </w:r>
      <w:r>
        <w:t xml:space="preserve"> </w:t>
      </w:r>
      <w:r>
        <w:rPr>
          <w:b/>
          <w:bCs/>
        </w:rPr>
        <w:t xml:space="preserve">disable DVFS</w:t>
      </w:r>
      <w:r>
        <w:t xml:space="preserve"> </w:t>
      </w:r>
      <w:r>
        <w:t xml:space="preserve">to avoid timing jitter. Thus, autonomy computers often have mixed modes: deterministic fixed-frequency cores for control loops, and scalable cores for perception.</w:t>
      </w:r>
    </w:p>
    <w:p>
      <w:pPr>
        <w:pStyle w:val="FirstParagraph"/>
      </w:pPr>
      <w:r>
        <w:t xml:space="preserve">In summary, automotive compute power management combines rigorous hardware design (broad voltage rails, AEC-Q100 grade regulators), smart DVFS and gating schemes, and safety margins. It aims to</w:t>
      </w:r>
      <w:r>
        <w:t xml:space="preserve"> </w:t>
      </w:r>
      <w:r>
        <w:rPr>
          <w:b/>
          <w:bCs/>
        </w:rPr>
        <w:t xml:space="preserve">maximize efficiency without compromising performance or safety</w:t>
      </w:r>
      <w:r>
        <w:t xml:space="preserve">, enabling the high compute loads of L4 autonomy to run reliably and within thermal budgets</w:t>
      </w:r>
      <w:hyperlink r:id="rId46">
        <w:r>
          <w:rPr>
            <w:rStyle w:val="Hyperlink"/>
          </w:rPr>
          <w:t xml:space="preserve">[20]</w:t>
        </w:r>
      </w:hyperlink>
      <w:hyperlink r:id="rId48">
        <w:r>
          <w:rPr>
            <w:rStyle w:val="Hyperlink"/>
          </w:rPr>
          <w:t xml:space="preserve">[22]</w:t>
        </w:r>
      </w:hyperlink>
      <w:r>
        <w:t xml:space="preserve">.</w:t>
      </w:r>
    </w:p>
    <w:bookmarkEnd w:id="50"/>
    <w:bookmarkStart w:id="53" w:name="Xfbbf5c2702a9440458bc62de9e2f992779bf268"/>
    <w:p>
      <w:pPr>
        <w:pStyle w:val="Heading2"/>
      </w:pPr>
      <w:r>
        <w:t xml:space="preserve">Automotive Vibration Filtering &amp; Noise Rejection</w:t>
      </w:r>
    </w:p>
    <w:p>
      <w:pPr>
        <w:pStyle w:val="FirstParagraph"/>
      </w:pPr>
      <w:r>
        <w:t xml:space="preserve">Vehicular environments induce significant vibrations and electrical noise that can degrade sensor signals. Robust filtering and isolation ensure sensors (especially inertial, vision, and lidar) and electronics deliver clean data for perception and control.</w:t>
      </w:r>
    </w:p>
    <w:p>
      <w:pPr>
        <w:numPr>
          <w:ilvl w:val="0"/>
          <w:numId w:val="1005"/>
        </w:numPr>
      </w:pPr>
      <w:r>
        <w:rPr>
          <w:b/>
          <w:bCs/>
        </w:rPr>
        <w:t xml:space="preserve">Mechanical Isolation:</w:t>
      </w:r>
      <w:r>
        <w:t xml:space="preserve"> </w:t>
      </w:r>
      <w:r>
        <w:t xml:space="preserve">Sensitive devices (cameras, IMUs, lidar) are often mounted on vibration-damping systems. For instance, camera gimbals and lidar units use</w:t>
      </w:r>
      <w:r>
        <w:t xml:space="preserve"> </w:t>
      </w:r>
      <w:r>
        <w:rPr>
          <w:b/>
          <w:bCs/>
        </w:rPr>
        <w:t xml:space="preserve">wire-rope isolators and dampers</w:t>
      </w:r>
      <w:r>
        <w:t xml:space="preserve"> </w:t>
      </w:r>
      <w:r>
        <w:t xml:space="preserve">to decouple them from chassis shake</w:t>
      </w:r>
      <w:hyperlink r:id="rId51">
        <w:r>
          <w:rPr>
            <w:rStyle w:val="Hyperlink"/>
          </w:rPr>
          <w:t xml:space="preserve">[24]</w:t>
        </w:r>
      </w:hyperlink>
      <w:r>
        <w:t xml:space="preserve">. Such isolators attenuate high-frequency, structure-borne noise and shocks, resulting in steadier imagery (“smoothness to the footage”)</w:t>
      </w:r>
      <w:hyperlink r:id="rId51">
        <w:r>
          <w:rPr>
            <w:rStyle w:val="Hyperlink"/>
          </w:rPr>
          <w:t xml:space="preserve">[24]</w:t>
        </w:r>
      </w:hyperlink>
      <w:r>
        <w:t xml:space="preserve">. Similarly, engine and gearbox mounts use rubber/metal isolators to absorb low-frequency vibrations, preventing them from propagating to the cabin and equipment. In sensor design, integral dampers or gel compounds are used to protect MEMS accelerometers from mechanical shocks.</w:t>
      </w:r>
    </w:p>
    <w:p>
      <w:pPr>
        <w:numPr>
          <w:ilvl w:val="0"/>
          <w:numId w:val="1005"/>
        </w:numPr>
      </w:pPr>
      <w:r>
        <w:rPr>
          <w:b/>
          <w:bCs/>
        </w:rPr>
        <w:t xml:space="preserve">Sensor Data Filtering:</w:t>
      </w:r>
      <w:r>
        <w:t xml:space="preserve"> </w:t>
      </w:r>
      <w:r>
        <w:t xml:space="preserve">On the data-processing side, algorithms filter out residual vibration-induced noise. IMU data, for example, are passed through low-pass or Kalman filters to remove high-frequency jitter caused by road roughness. Advanced techniques (wavelet denoising, vibration-adaptive Kalman filters) can improve accuracy in real time</w:t>
      </w:r>
      <w:hyperlink r:id="rId52">
        <w:r>
          <w:rPr>
            <w:rStyle w:val="Hyperlink"/>
          </w:rPr>
          <w:t xml:space="preserve">[25]</w:t>
        </w:r>
      </w:hyperlink>
      <w:r>
        <w:t xml:space="preserve">. Inertial Designers note that</w:t>
      </w:r>
      <w:r>
        <w:t xml:space="preserve"> </w:t>
      </w:r>
      <w:r>
        <w:rPr>
          <w:b/>
          <w:bCs/>
        </w:rPr>
        <w:t xml:space="preserve">vibration “injects unwanted signal or noise” and degrades SNR</w:t>
      </w:r>
      <w:r>
        <w:t xml:space="preserve"> </w:t>
      </w:r>
      <w:r>
        <w:t xml:space="preserve">in MEMS sensors</w:t>
      </w:r>
      <w:hyperlink r:id="rId52">
        <w:r>
          <w:rPr>
            <w:rStyle w:val="Hyperlink"/>
          </w:rPr>
          <w:t xml:space="preserve">[25]</w:t>
        </w:r>
      </w:hyperlink>
      <w:r>
        <w:t xml:space="preserve">, so careful signal conditioning is essential. Visual sensors may use digital image stabilization to compensate minor camera shaking. Radar/ultrasonic modules include internal mechanical tuning to minimize ringing. Powerline filters and shielding on cables prevent electrical noise (e.g. from alternators or ignition coils) from corrupting analog sensor lines.</w:t>
      </w:r>
    </w:p>
    <w:p>
      <w:pPr>
        <w:numPr>
          <w:ilvl w:val="0"/>
          <w:numId w:val="1005"/>
        </w:numPr>
      </w:pPr>
      <w:r>
        <w:rPr>
          <w:b/>
          <w:bCs/>
        </w:rPr>
        <w:t xml:space="preserve">EMC and Grounding:</w:t>
      </w:r>
      <w:r>
        <w:t xml:space="preserve"> </w:t>
      </w:r>
      <w:r>
        <w:t xml:space="preserve">“Noise rejection” also refers to electromagnetic interference. Car environments (high currents, switching converters) demand strict EMC design. Filter capacitors, ferrite beads, and twisted pairs are used per ISO 11452/7637 to ensure stable sensor operation. For example, Bosch’s camera sensors incorporate on-chip regulators and filtering to reject noise. Power supplies for sensors include LC filters to dampen switching ripple, maintaining “clean” power</w:t>
      </w:r>
      <w:hyperlink r:id="rId49">
        <w:r>
          <w:rPr>
            <w:rStyle w:val="Hyperlink"/>
          </w:rPr>
          <w:t xml:space="preserve">[23]</w:t>
        </w:r>
      </w:hyperlink>
      <w:r>
        <w:t xml:space="preserve">.</w:t>
      </w:r>
    </w:p>
    <w:p>
      <w:pPr>
        <w:numPr>
          <w:ilvl w:val="0"/>
          <w:numId w:val="1005"/>
        </w:numPr>
      </w:pPr>
      <w:r>
        <w:rPr>
          <w:b/>
          <w:bCs/>
        </w:rPr>
        <w:t xml:space="preserve">Sensor Fusion as Noise Mitigation:</w:t>
      </w:r>
      <w:r>
        <w:t xml:space="preserve"> </w:t>
      </w:r>
      <w:r>
        <w:t xml:space="preserve">Finally, fusion algorithms inherently filter noise: multiple sensor modalities can reject false readings. For example, if a camera detects a spurious feature due to vibration blur, the fusion with radar or lidar (unaffected by that frequency range) can veto it. State estimation filters use redundancy to smooth sensor noise statistically. In short, at both hardware and algorithmic levels, L4 vehicles implement layers of vibration damping and signal filtering to ensure reliable perception and control.</w:t>
      </w:r>
    </w:p>
    <w:bookmarkEnd w:id="53"/>
    <w:bookmarkStart w:id="56" w:name="pcb-chassis-vibration-analysis"/>
    <w:p>
      <w:pPr>
        <w:pStyle w:val="Heading2"/>
      </w:pPr>
      <w:r>
        <w:t xml:space="preserve">PCB &amp; Chassis Vibration Analysis</w:t>
      </w:r>
    </w:p>
    <w:p>
      <w:pPr>
        <w:pStyle w:val="FirstParagraph"/>
      </w:pPr>
      <w:r>
        <w:t xml:space="preserve">The physical design of vehicle chassis and electronics must withstand continuous vibration without failure.</w:t>
      </w:r>
      <w:r>
        <w:t xml:space="preserve"> </w:t>
      </w:r>
      <w:r>
        <w:rPr>
          <w:b/>
          <w:bCs/>
        </w:rPr>
        <w:t xml:space="preserve">Structural analysis</w:t>
      </w:r>
      <w:r>
        <w:t xml:space="preserve"> </w:t>
      </w:r>
      <w:r>
        <w:t xml:space="preserve">and vibration testing ensure that boards, connectors, and the chassis itself remain reliable under road loads.</w:t>
      </w:r>
    </w:p>
    <w:p>
      <w:pPr>
        <w:numPr>
          <w:ilvl w:val="0"/>
          <w:numId w:val="1006"/>
        </w:numPr>
      </w:pPr>
      <w:r>
        <w:rPr>
          <w:b/>
          <w:bCs/>
        </w:rPr>
        <w:t xml:space="preserve">PCB-Level Vibration:</w:t>
      </w:r>
      <w:r>
        <w:t xml:space="preserve"> </w:t>
      </w:r>
      <w:r>
        <w:t xml:space="preserve">Electronic modules are engineered for harsh vibration. PCBs use automotive-grade laminates and component mounting (e.g. adhesive bonding or solder fillet design) to resist fatigue. Engineers perform modal and random-vibration simulations (finite-element analysis) on PCB assemblies to identify resonant frequencies. They add stiffeners or change component placement to shift modes. Conformal coatings or potting may be applied for critical boards to damp motion. Board-level vibration profiles follow IEC and automotive standards (like ISO 16750-3). Altium notes that automotive parts are tested for “extreme … vibrations” to ensure survival</w:t>
      </w:r>
      <w:hyperlink r:id="rId23">
        <w:r>
          <w:rPr>
            <w:rStyle w:val="Hyperlink"/>
          </w:rPr>
          <w:t xml:space="preserve">[3]</w:t>
        </w:r>
      </w:hyperlink>
      <w:r>
        <w:t xml:space="preserve">.</w:t>
      </w:r>
    </w:p>
    <w:p>
      <w:pPr>
        <w:numPr>
          <w:ilvl w:val="0"/>
          <w:numId w:val="1006"/>
        </w:numPr>
      </w:pPr>
      <w:r>
        <w:rPr>
          <w:b/>
          <w:bCs/>
        </w:rPr>
        <w:t xml:space="preserve">Chassis and Suspension NVH:</w:t>
      </w:r>
      <w:r>
        <w:t xml:space="preserve"> </w:t>
      </w:r>
      <w:r>
        <w:t xml:space="preserve">The vehicle chassis undergoes NVH (noise, vibration, harshness) tuning. Modal analysis of the chassis structure identifies problematic bending or torsional resonances. Chassis engineers use FEA to simulate road-induced loads on the frame and body-in-white. They design dampers and mountings (e.g. engine/transmission mounts) to isolate vibrations, and tune suspension absorbers to minimize transmission to the cabin. ISO 16750 (Environmental Tests) guides this: its random vibration tests “ensure that the vibration characteristics of vehicle components…are accurately simulated” to mimic road conditions</w:t>
      </w:r>
      <w:hyperlink r:id="rId54">
        <w:r>
          <w:rPr>
            <w:rStyle w:val="Hyperlink"/>
          </w:rPr>
          <w:t xml:space="preserve">[26]</w:t>
        </w:r>
      </w:hyperlink>
      <w:r>
        <w:t xml:space="preserve">. For example, engine mounts must survive higher vibration amplitudes than cabin components.</w:t>
      </w:r>
    </w:p>
    <w:p>
      <w:pPr>
        <w:numPr>
          <w:ilvl w:val="0"/>
          <w:numId w:val="1006"/>
        </w:numPr>
      </w:pPr>
      <w:r>
        <w:rPr>
          <w:b/>
          <w:bCs/>
        </w:rPr>
        <w:t xml:space="preserve">Standards and Testing:</w:t>
      </w:r>
      <w:r>
        <w:t xml:space="preserve"> </w:t>
      </w:r>
      <w:r>
        <w:t xml:space="preserve">ISO 16750 (especially Part 3: Road–Load Vibration) and military MIL-STD-810 (for extreme conditions) specify test profiles. Random vibration testing per ISO 16750 subjects components (PCBs, sensors, mounts) to multi-axis vibration profiles derived from real road data</w:t>
      </w:r>
      <w:hyperlink r:id="rId54">
        <w:r>
          <w:rPr>
            <w:rStyle w:val="Hyperlink"/>
          </w:rPr>
          <w:t xml:space="preserve">[26]</w:t>
        </w:r>
      </w:hyperlink>
      <w:r>
        <w:t xml:space="preserve">. The goal is to detect fatigue points before production. As Eurolab explains, such tests expose items to “random vibrations that mimic road irregularities” and identify potential failures</w:t>
      </w:r>
      <w:hyperlink r:id="rId54">
        <w:r>
          <w:rPr>
            <w:rStyle w:val="Hyperlink"/>
          </w:rPr>
          <w:t xml:space="preserve">[26]</w:t>
        </w:r>
      </w:hyperlink>
      <w:r>
        <w:t xml:space="preserve">. High-frequency vibration testing (up to hundreds of Hz) focuses on electronics, while low-frequency tests (1–100 Hz) address chassis and suspension.</w:t>
      </w:r>
    </w:p>
    <w:p>
      <w:pPr>
        <w:numPr>
          <w:ilvl w:val="0"/>
          <w:numId w:val="1006"/>
        </w:numPr>
      </w:pPr>
      <w:r>
        <w:rPr>
          <w:b/>
          <w:bCs/>
        </w:rPr>
        <w:t xml:space="preserve">Noise Rejection in Chassis:</w:t>
      </w:r>
      <w:r>
        <w:t xml:space="preserve"> </w:t>
      </w:r>
      <w:r>
        <w:t xml:space="preserve">Additionally, chassis design considers acoustic noise from vibration. Under-hood shields and acoustic insulation reduce vibration transmission to the cabin. Braces and bushings are tuned to damp specific frequencies. Any structure carrying sensors (like LiDAR pods on the roof) is similarly analyzed: material choice and mounting geometry are optimized to avoid amplifying vehicle motion.</w:t>
      </w:r>
    </w:p>
    <w:p>
      <w:pPr>
        <w:pStyle w:val="FirstParagraph"/>
      </w:pPr>
      <w:r>
        <w:t xml:space="preserve">In summary,</w:t>
      </w:r>
      <w:r>
        <w:t xml:space="preserve"> </w:t>
      </w:r>
      <w:r>
        <w:rPr>
          <w:b/>
          <w:bCs/>
        </w:rPr>
        <w:t xml:space="preserve">vibration analysis and mitigation</w:t>
      </w:r>
      <w:r>
        <w:t xml:space="preserve"> </w:t>
      </w:r>
      <w:r>
        <w:t xml:space="preserve">occur at every level: from component mount design on PCBs to full-vehicle NVH. Designers use standards (ISO 16750, AEC-Q200 for passives) to qualify parts against vibration. By combining FEA simulations with empirical testing, L4 vehicle architects ensure that neither the chassis nor the electronics will fail or produce erroneous signals under the continuous vibrations of real-world driving</w:t>
      </w:r>
      <w:hyperlink r:id="rId55">
        <w:r>
          <w:rPr>
            <w:rStyle w:val="Hyperlink"/>
          </w:rPr>
          <w:t xml:space="preserve">[27]</w:t>
        </w:r>
      </w:hyperlink>
      <w:hyperlink r:id="rId54">
        <w:r>
          <w:rPr>
            <w:rStyle w:val="Hyperlink"/>
          </w:rPr>
          <w:t xml:space="preserve">[26]</w:t>
        </w:r>
      </w:hyperlink>
      <w:r>
        <w:t xml:space="preserve">.</w:t>
      </w:r>
    </w:p>
    <w:p>
      <w:pPr>
        <w:pStyle w:val="BodyText"/>
      </w:pPr>
      <w:r>
        <w:rPr>
          <w:b/>
          <w:bCs/>
        </w:rPr>
        <w:t xml:space="preserve">Sources:</w:t>
      </w:r>
      <w:r>
        <w:t xml:space="preserve"> </w:t>
      </w:r>
      <w:r>
        <w:t xml:space="preserve">Authoritative literature and standards documents were consulted to inform each section</w:t>
      </w:r>
      <w:hyperlink r:id="rId21">
        <w:r>
          <w:rPr>
            <w:rStyle w:val="Hyperlink"/>
          </w:rPr>
          <w:t xml:space="preserve">[1]</w:t>
        </w:r>
      </w:hyperlink>
      <w:hyperlink r:id="rId22">
        <w:r>
          <w:rPr>
            <w:rStyle w:val="Hyperlink"/>
          </w:rPr>
          <w:t xml:space="preserve">[2]</w:t>
        </w:r>
      </w:hyperlink>
      <w:hyperlink r:id="rId30">
        <w:r>
          <w:rPr>
            <w:rStyle w:val="Hyperlink"/>
          </w:rPr>
          <w:t xml:space="preserve">[8]</w:t>
        </w:r>
      </w:hyperlink>
      <w:hyperlink r:id="rId32">
        <w:r>
          <w:rPr>
            <w:rStyle w:val="Hyperlink"/>
          </w:rPr>
          <w:t xml:space="preserve">[9]</w:t>
        </w:r>
      </w:hyperlink>
      <w:hyperlink r:id="rId35">
        <w:r>
          <w:rPr>
            <w:rStyle w:val="Hyperlink"/>
          </w:rPr>
          <w:t xml:space="preserve">[12]</w:t>
        </w:r>
      </w:hyperlink>
      <w:hyperlink r:id="rId37">
        <w:r>
          <w:rPr>
            <w:rStyle w:val="Hyperlink"/>
          </w:rPr>
          <w:t xml:space="preserve">[13]</w:t>
        </w:r>
      </w:hyperlink>
      <w:hyperlink r:id="rId42">
        <w:r>
          <w:rPr>
            <w:rStyle w:val="Hyperlink"/>
          </w:rPr>
          <w:t xml:space="preserve">[17]</w:t>
        </w:r>
      </w:hyperlink>
      <w:hyperlink r:id="rId46">
        <w:r>
          <w:rPr>
            <w:rStyle w:val="Hyperlink"/>
          </w:rPr>
          <w:t xml:space="preserve">[20]</w:t>
        </w:r>
      </w:hyperlink>
      <w:hyperlink r:id="rId52">
        <w:r>
          <w:rPr>
            <w:rStyle w:val="Hyperlink"/>
          </w:rPr>
          <w:t xml:space="preserve">[25]</w:t>
        </w:r>
      </w:hyperlink>
      <w:hyperlink r:id="rId51">
        <w:r>
          <w:rPr>
            <w:rStyle w:val="Hyperlink"/>
          </w:rPr>
          <w:t xml:space="preserve">[24]</w:t>
        </w:r>
      </w:hyperlink>
      <w:hyperlink r:id="rId55">
        <w:r>
          <w:rPr>
            <w:rStyle w:val="Hyperlink"/>
          </w:rPr>
          <w:t xml:space="preserve">[27]</w:t>
        </w:r>
      </w:hyperlink>
      <w:hyperlink r:id="rId54">
        <w:r>
          <w:rPr>
            <w:rStyle w:val="Hyperlink"/>
          </w:rPr>
          <w:t xml:space="preserve">[26]</w:t>
        </w:r>
      </w:hyperlink>
      <w:r>
        <w:t xml:space="preserve">. The integration of these technologies follows ISO 26262 (functional safety) and related standards to ensure L4 autonomy meets stringent safety and reliability requirements.</w:t>
      </w:r>
    </w:p>
    <w:bookmarkEnd w:id="56"/>
    <w:bookmarkEnd w:id="57"/>
    <w:bookmarkEnd w:id="58"/>
    <w:p>
      <w:r>
        <w:pict>
          <v:rect style="width:0;height:1.5pt" o:hralign="center" o:hrstd="t" o:hr="t"/>
        </w:pict>
      </w:r>
    </w:p>
    <w:bookmarkStart w:id="72" w:name="citations"/>
    <w:p>
      <w:pPr>
        <w:pStyle w:val="FirstParagraph"/>
      </w:pPr>
      <w:hyperlink r:id="rId21">
        <w:r>
          <w:rPr>
            <w:rStyle w:val="Hyperlink"/>
          </w:rPr>
          <w:t xml:space="preserve">[1]</w:t>
        </w:r>
      </w:hyperlink>
      <w:r>
        <w:t xml:space="preserve"> </w:t>
      </w:r>
      <w:r>
        <w:t xml:space="preserve">st.com</w:t>
      </w:r>
    </w:p>
    <w:p>
      <w:pPr>
        <w:pStyle w:val="BodyText"/>
      </w:pPr>
      <w:hyperlink r:id="rId59">
        <w:r>
          <w:rPr>
            <w:rStyle w:val="Hyperlink"/>
          </w:rPr>
          <w:t xml:space="preserve">https://www.st.com/content/dam/AME/2019/developers-conference-2019/presentations/STDevCon19_7.5_Overview%20of%20ADAS-Active-Safety.pdf</w:t>
        </w:r>
      </w:hyperlink>
    </w:p>
    <w:p>
      <w:pPr>
        <w:pStyle w:val="BodyText"/>
      </w:pPr>
      <w:hyperlink r:id="rId22">
        <w:r>
          <w:rPr>
            <w:rStyle w:val="Hyperlink"/>
          </w:rPr>
          <w:t xml:space="preserve">[2]</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40">
        <w:r>
          <w:rPr>
            <w:rStyle w:val="Hyperlink"/>
          </w:rPr>
          <w:t xml:space="preserve">[16]</w:t>
        </w:r>
      </w:hyperlink>
      <w:r>
        <w:t xml:space="preserve"> </w:t>
      </w:r>
      <w:r>
        <w:t xml:space="preserve">Functional Safety: How GPR Helps Meet Requirements - GPR, Inc.</w:t>
      </w:r>
    </w:p>
    <w:p>
      <w:pPr>
        <w:pStyle w:val="BodyText"/>
      </w:pPr>
      <w:hyperlink r:id="rId60">
        <w:r>
          <w:rPr>
            <w:rStyle w:val="Hyperlink"/>
          </w:rPr>
          <w:t xml:space="preserve">https://gpr.com/blog/functional-safety-how-gpr-helps-meet-requirements/</w:t>
        </w:r>
      </w:hyperlink>
    </w:p>
    <w:p>
      <w:pPr>
        <w:pStyle w:val="BodyText"/>
      </w:pPr>
      <w:hyperlink r:id="rId23">
        <w:r>
          <w:rPr>
            <w:rStyle w:val="Hyperlink"/>
          </w:rPr>
          <w:t xml:space="preserve">[3]</w:t>
        </w:r>
      </w:hyperlink>
      <w:r>
        <w:t xml:space="preserve"> </w:t>
      </w:r>
      <w:hyperlink r:id="rId55">
        <w:r>
          <w:rPr>
            <w:rStyle w:val="Hyperlink"/>
          </w:rPr>
          <w:t xml:space="preserve">[27]</w:t>
        </w:r>
      </w:hyperlink>
      <w:r>
        <w:t xml:space="preserve"> </w:t>
      </w:r>
      <w:r>
        <w:t xml:space="preserve">Component Standards for Automotive Grade Electronics</w:t>
      </w:r>
    </w:p>
    <w:p>
      <w:pPr>
        <w:pStyle w:val="BodyText"/>
      </w:pPr>
      <w:hyperlink r:id="rId61">
        <w:r>
          <w:rPr>
            <w:rStyle w:val="Hyperlink"/>
          </w:rPr>
          <w:t xml:space="preserve">https://resources.altium.com/p/component-standards-automotive-grade-electronics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AEC-Q100 REV J overview for Auto Chip Reliability Verification</w:t>
      </w:r>
    </w:p>
    <w:p>
      <w:pPr>
        <w:pStyle w:val="BodyText"/>
      </w:pPr>
      <w:hyperlink r:id="rId62">
        <w:r>
          <w:rPr>
            <w:rStyle w:val="Hyperlink"/>
          </w:rPr>
          <w:t xml:space="preserve">https://www.istgroup.com/en/tech_20231121-aec-q100-rev/</w:t>
        </w:r>
      </w:hyperlink>
    </w:p>
    <w:p>
      <w:pPr>
        <w:pStyle w:val="BodyText"/>
      </w:pPr>
      <w:hyperlink r:id="rId32">
        <w:r>
          <w:rPr>
            <w:rStyle w:val="Hyperlink"/>
          </w:rPr>
          <w:t xml:space="preserve">[9]</w:t>
        </w:r>
      </w:hyperlink>
      <w:r>
        <w:t xml:space="preserve"> </w:t>
      </w:r>
      <w:r>
        <w:t xml:space="preserve">Accelerating crash simulations with Finite Element Method Integrated Networks (FEMIN): Comparing two approaches to replace large portions of a FEM simulation - ScienceDirect</w:t>
      </w:r>
    </w:p>
    <w:p>
      <w:pPr>
        <w:pStyle w:val="BodyText"/>
      </w:pPr>
      <w:hyperlink r:id="rId63">
        <w:r>
          <w:rPr>
            <w:rStyle w:val="Hyperlink"/>
          </w:rPr>
          <w:t xml:space="preserve">https://www.sciencedirect.com/science/article/pii/S0045782525003184</w:t>
        </w:r>
      </w:hyperlink>
    </w:p>
    <w:p>
      <w:pPr>
        <w:pStyle w:val="BodyText"/>
      </w:pPr>
      <w:hyperlink r:id="rId33">
        <w:r>
          <w:rPr>
            <w:rStyle w:val="Hyperlink"/>
          </w:rPr>
          <w:t xml:space="preserve">[10]</w:t>
        </w:r>
      </w:hyperlink>
      <w:r>
        <w:t xml:space="preserve"> </w:t>
      </w:r>
      <w:r>
        <w:t xml:space="preserve">Solving Automotive Design Challenges with Simulation - AltaSim Technologies, LLC</w:t>
      </w:r>
    </w:p>
    <w:p>
      <w:pPr>
        <w:pStyle w:val="BodyText"/>
      </w:pPr>
      <w:hyperlink r:id="rId64">
        <w:r>
          <w:rPr>
            <w:rStyle w:val="Hyperlink"/>
          </w:rPr>
          <w:t xml:space="preserve">https://altasimtechnologies.com/solving-automotive-design-challenges-with-simulation/</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 </w:t>
      </w:r>
      <w:r>
        <w:t xml:space="preserve">Bayesian Gaussian Mixture Models for Enhanced Radar Sensor Modeling: A Data-Driven Approach towards Sensor Simulation for ADAS/AD Development - PMC</w:t>
      </w:r>
      <w:r>
        <w:t xml:space="preserve"> </w:t>
      </w:r>
    </w:p>
    <w:p>
      <w:pPr>
        <w:pStyle w:val="BodyText"/>
      </w:pPr>
      <w:hyperlink r:id="rId65">
        <w:r>
          <w:rPr>
            <w:rStyle w:val="Hyperlink"/>
          </w:rPr>
          <w:t xml:space="preserve">https://pmc.ncbi.nlm.nih.gov/articles/PMC11014321/</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8">
        <w:r>
          <w:rPr>
            <w:rStyle w:val="Hyperlink"/>
          </w:rPr>
          <w:t xml:space="preserve">[22]</w:t>
        </w:r>
      </w:hyperlink>
      <w:r>
        <w:t xml:space="preserve"> </w:t>
      </w:r>
      <w:r>
        <w:t xml:space="preserve">In-Vehicle Computing for Autonomous Vehicles | NVIDIA</w:t>
      </w:r>
      <w:r>
        <w:t xml:space="preserve"> </w:t>
      </w:r>
    </w:p>
    <w:p>
      <w:pPr>
        <w:pStyle w:val="BodyText"/>
      </w:pPr>
      <w:hyperlink r:id="rId66">
        <w:r>
          <w:rPr>
            <w:rStyle w:val="Hyperlink"/>
          </w:rPr>
          <w:t xml:space="preserve">https://www.nvidia.com/en-us/solutions/autonomous-vehicles/in-vehicle-computing/</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r>
        <w:t xml:space="preserve">Low Power System Techniques for Automotive Control Units</w:t>
      </w:r>
    </w:p>
    <w:p>
      <w:pPr>
        <w:pStyle w:val="BodyText"/>
      </w:pPr>
      <w:hyperlink r:id="rId67">
        <w:r>
          <w:rPr>
            <w:rStyle w:val="Hyperlink"/>
          </w:rPr>
          <w:t xml:space="preserve">https://www.nxp.com/docs/en/supporting-information/WBNR_FTF10_AUT_F0408_PDF.pdf</w:t>
        </w:r>
      </w:hyperlink>
    </w:p>
    <w:p>
      <w:pPr>
        <w:pStyle w:val="BodyText"/>
      </w:pPr>
      <w:hyperlink r:id="rId46">
        <w:r>
          <w:rPr>
            <w:rStyle w:val="Hyperlink"/>
          </w:rPr>
          <w:t xml:space="preserve">[20]</w:t>
        </w:r>
      </w:hyperlink>
      <w:r>
        <w:t xml:space="preserve"> </w:t>
      </w:r>
      <w:hyperlink r:id="rId47">
        <w:r>
          <w:rPr>
            <w:rStyle w:val="Hyperlink"/>
          </w:rPr>
          <w:t xml:space="preserve">[21]</w:t>
        </w:r>
      </w:hyperlink>
      <w:r>
        <w:t xml:space="preserve"> </w:t>
      </w:r>
      <w:hyperlink r:id="rId49">
        <w:r>
          <w:rPr>
            <w:rStyle w:val="Hyperlink"/>
          </w:rPr>
          <w:t xml:space="preserve">[23]</w:t>
        </w:r>
      </w:hyperlink>
      <w:r>
        <w:t xml:space="preserve"> </w:t>
      </w:r>
      <w:r>
        <w:t xml:space="preserve">Real-World Applications of Power Management in Automotive Systems</w:t>
      </w:r>
    </w:p>
    <w:p>
      <w:pPr>
        <w:pStyle w:val="BodyText"/>
      </w:pPr>
      <w:hyperlink r:id="rId68">
        <w:r>
          <w:rPr>
            <w:rStyle w:val="Hyperlink"/>
          </w:rPr>
          <w:t xml:space="preserve">https://www.monolithicpower.com/en/learning/mpscholar/automotive-electronics/case-studies-in-auto-power-electronics/real-world-applications?srsltid=AfmBOoo6_BCwFq5wtKO3l-Uyf-OVKnCJUEyA7WaWpXlX2mknXU3XJnOe</w:t>
        </w:r>
      </w:hyperlink>
    </w:p>
    <w:p>
      <w:pPr>
        <w:pStyle w:val="BodyText"/>
      </w:pPr>
      <w:hyperlink r:id="rId51">
        <w:r>
          <w:rPr>
            <w:rStyle w:val="Hyperlink"/>
          </w:rPr>
          <w:t xml:space="preserve">[24]</w:t>
        </w:r>
      </w:hyperlink>
      <w:r>
        <w:t xml:space="preserve"> </w:t>
      </w:r>
      <w:r>
        <w:t xml:space="preserve">gimbal dampers vibration isolators - DAMPERZEN engineering</w:t>
      </w:r>
    </w:p>
    <w:p>
      <w:pPr>
        <w:pStyle w:val="BodyText"/>
      </w:pPr>
      <w:hyperlink r:id="rId69">
        <w:r>
          <w:rPr>
            <w:rStyle w:val="Hyperlink"/>
          </w:rPr>
          <w:t xml:space="preserve">https://www.damperzen.com/wp2/</w:t>
        </w:r>
      </w:hyperlink>
    </w:p>
    <w:p>
      <w:pPr>
        <w:pStyle w:val="BodyText"/>
      </w:pPr>
      <w:hyperlink r:id="rId52">
        <w:r>
          <w:rPr>
            <w:rStyle w:val="Hyperlink"/>
          </w:rPr>
          <w:t xml:space="preserve">[25]</w:t>
        </w:r>
      </w:hyperlink>
      <w:r>
        <w:t xml:space="preserve"> </w:t>
      </w:r>
      <w:r>
        <w:t xml:space="preserve">High Performance Inertial Sensing Solutions Enable Autonomous Machine Applications | Analog Devices</w:t>
      </w:r>
    </w:p>
    <w:p>
      <w:pPr>
        <w:pStyle w:val="BodyText"/>
      </w:pPr>
      <w:hyperlink r:id="rId70">
        <w:r>
          <w:rPr>
            <w:rStyle w:val="Hyperlink"/>
          </w:rPr>
          <w:t xml:space="preserve">https://www.analog.com/en/signals/thought-leadership/high-performance-inertial-sensing-solutions.html</w:t>
        </w:r>
      </w:hyperlink>
    </w:p>
    <w:p>
      <w:pPr>
        <w:pStyle w:val="BodyText"/>
      </w:pPr>
      <w:hyperlink r:id="rId54">
        <w:r>
          <w:rPr>
            <w:rStyle w:val="Hyperlink"/>
          </w:rPr>
          <w:t xml:space="preserve">[26]</w:t>
        </w:r>
      </w:hyperlink>
      <w:r>
        <w:t xml:space="preserve"> </w:t>
      </w:r>
      <w:r>
        <w:t xml:space="preserve">Random Vibration Testing (ISO 16750)</w:t>
      </w:r>
    </w:p>
    <w:p>
      <w:pPr>
        <w:pStyle w:val="BodyText"/>
      </w:pPr>
      <w:hyperlink r:id="rId71">
        <w:r>
          <w:rPr>
            <w:rStyle w:val="Hyperlink"/>
          </w:rPr>
          <w:t xml:space="preserve">https://www.testinglab.com/random-vibration-testing-iso-16750</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altasimtechnologies.com/solving-automotive-design-challenges-with-simulation/" TargetMode="External" /><Relationship Type="http://schemas.openxmlformats.org/officeDocument/2006/relationships/hyperlink" Id="rId33" Target="https://altasimtechnologies.com/solving-automotive-design-challenges-with-simulation/#:~:text=Image%3A%20EV%20Sensors%20%2062Simulation,mud%2C%20and%20other%20environmental%20detritus" TargetMode="External" /><Relationship Type="http://schemas.openxmlformats.org/officeDocument/2006/relationships/hyperlink" Id="rId60" Target="https://gpr.com/blog/functional-safety-how-gpr-helps-meet-requirements/" TargetMode="External" /><Relationship Type="http://schemas.openxmlformats.org/officeDocument/2006/relationships/hyperlink" Id="rId40" Target="https://gpr.com/blog/functional-safety-how-gpr-helps-meet-requirements/#:~:text=%2A%20Computational%20redundancy%3A%20Critical%20decision,malfunctions%20without%20disrupting%20vehicle%20operation" TargetMode="External" /><Relationship Type="http://schemas.openxmlformats.org/officeDocument/2006/relationships/hyperlink" Id="rId22" Target="https://gpr.com/blog/functional-safety-how-gpr-helps-meet-requirements/#:~:text=Sensor%20Fusion%3A%20Enhancing%20Reliability%20Through,Modal%20Perception" TargetMode="External" /><Relationship Type="http://schemas.openxmlformats.org/officeDocument/2006/relationships/hyperlink" Id="rId25" Target="https://gpr.com/blog/functional-safety-how-gpr-helps-meet-requirements/#:~:text=are%20not%20affected%20by%20occlusion%2C,trigger%20failover%20mechanisms%20if%20necessary" TargetMode="External" /><Relationship Type="http://schemas.openxmlformats.org/officeDocument/2006/relationships/hyperlink" Id="rId26" Target="https://gpr.com/blog/functional-safety-how-gpr-helps-meet-requirements/#:~:text=checks%20verify%20that%20braking%20and,trigger%20failover%20mechanisms%20if%20necessary" TargetMode="External" /><Relationship Type="http://schemas.openxmlformats.org/officeDocument/2006/relationships/hyperlink" Id="rId65" Target="https://pmc.ncbi.nlm.nih.gov/articles/PMC11014321/" TargetMode="External" /><Relationship Type="http://schemas.openxmlformats.org/officeDocument/2006/relationships/hyperlink" Id="rId35" Target="https://pmc.ncbi.nlm.nih.gov/articles/PMC11014321/#:~:text=1" TargetMode="External" /><Relationship Type="http://schemas.openxmlformats.org/officeDocument/2006/relationships/hyperlink" Id="rId34" Target="https://pmc.ncbi.nlm.nih.gov/articles/PMC11014321/#:~:text=For%20performing%20simulations%20for%20the,as%20depicted%20in%20Figure%201" TargetMode="External" /><Relationship Type="http://schemas.openxmlformats.org/officeDocument/2006/relationships/hyperlink" Id="rId61" Target="https://resources.altium.com/p/component-standards-automotive-grade-electronics" TargetMode="External" /><Relationship Type="http://schemas.openxmlformats.org/officeDocument/2006/relationships/hyperlink" Id="rId23" Target="https://resources.altium.com/p/component-standards-automotive-grade-electronics#:~:text=%23%20AEC" TargetMode="External" /><Relationship Type="http://schemas.openxmlformats.org/officeDocument/2006/relationships/hyperlink" Id="rId55" Target="https://resources.altium.com/p/component-standards-automotive-grade-electronics#:~:text=,Standard" TargetMode="External" /><Relationship Type="http://schemas.openxmlformats.org/officeDocument/2006/relationships/hyperlink" Id="rId70" Target="https://www.analog.com/en/signals/thought-leadership/high-performance-inertial-sensing-solutions.html" TargetMode="External" /><Relationship Type="http://schemas.openxmlformats.org/officeDocument/2006/relationships/hyperlink" Id="rId52" Target="https://www.analog.com/en/signals/thought-leadership/high-performance-inertial-sensing-solutions.html#:~:text=Table%203,Reliable%2C%20safe%20operation%2C%20all%20conditions" TargetMode="External" /><Relationship Type="http://schemas.openxmlformats.org/officeDocument/2006/relationships/hyperlink" Id="rId69" Target="https://www.damperzen.com/wp2/" TargetMode="External" /><Relationship Type="http://schemas.openxmlformats.org/officeDocument/2006/relationships/hyperlink" Id="rId51" Target="https://www.damperzen.com/wp2/#:~:text=Professional%20vibration%20isolation%20solutions%20for,gimbals%2C%20sensors%20and%20sensitive%20equipment" TargetMode="External" /><Relationship Type="http://schemas.openxmlformats.org/officeDocument/2006/relationships/hyperlink" Id="rId62" Target="https://www.istgroup.com/en/tech_20231121-aec-q100-rev/" TargetMode="External" /><Relationship Type="http://schemas.openxmlformats.org/officeDocument/2006/relationships/hyperlink" Id="rId30" Target="https://www.istgroup.com/en/tech_20231121-aec-q100-rev/#:~:text=%3E%20,tight%20safety%20and%20performance%20criteria" TargetMode="External" /><Relationship Type="http://schemas.openxmlformats.org/officeDocument/2006/relationships/hyperlink" Id="rId29" Target="https://www.istgroup.com/en/tech_20231121-aec-q100-rev/#:~:text=,Changes" TargetMode="External" /><Relationship Type="http://schemas.openxmlformats.org/officeDocument/2006/relationships/hyperlink" Id="rId28" Target="https://www.istgroup.com/en/tech_20231121-aec-q100-rev/#:~:text=AEC,vehicle%20stability%20and%20customer%20safety" TargetMode="External" /><Relationship Type="http://schemas.openxmlformats.org/officeDocument/2006/relationships/hyperlink" Id="rId68" Target="https://www.monolithicpower.com/en/learning/mpscholar/automotive-electronics/case-studies-in-auto-power-electronics/real-world-applications?srsltid=AfmBOoo6_BCwFq5wtKO3l-Uyf-OVKnCJUEyA7WaWpXlX2mknXU3XJnOe" TargetMode="External" /><Relationship Type="http://schemas.openxmlformats.org/officeDocument/2006/relationships/hyperlink" Id="rId46" Target="https://www.monolithicpower.com/en/learning/mpscholar/automotive-electronics/case-studies-in-auto-power-electronics/real-world-applications?srsltid=AfmBOoo6_BCwFq5wtKO3l-Uyf-OVKnCJUEyA7WaWpXlX2mknXU3XJnOe#:~:text=Dynamic%20Voltage%20and%20Frequency%20Scaling,frequency%20based%20on%20computational%20demands" TargetMode="External" /><Relationship Type="http://schemas.openxmlformats.org/officeDocument/2006/relationships/hyperlink" Id="rId49" Target="https://www.monolithicpower.com/en/learning/mpscholar/automotive-electronics/case-studies-in-auto-power-electronics/real-world-applications?srsltid=AfmBOoo6_BCwFq5wtKO3l-Uyf-OVKnCJUEyA7WaWpXlX2mknXU3XJnOe#:~:text=Noise%20Sensitivity%3A%20Due%20to%20their,clean%20and%20stable%20power%20supplies" TargetMode="External" /><Relationship Type="http://schemas.openxmlformats.org/officeDocument/2006/relationships/hyperlink" Id="rId47" Target="https://www.monolithicpower.com/en/learning/mpscholar/automotive-electronics/case-studies-in-auto-power-electronics/real-world-applications?srsltid=AfmBOoo6_BCwFq5wtKO3l-Uyf-OVKnCJUEyA7WaWpXlX2mknXU3XJnOe#:~:text=Renowned%20for%20its%20potent%20computing,the%20enhancement%20of%20processor%20design" TargetMode="External" /><Relationship Type="http://schemas.openxmlformats.org/officeDocument/2006/relationships/hyperlink" Id="rId66" Target="https://www.nvidia.com/en-us/solutions/autonomous-vehicles/in-vehicle-computing/" TargetMode="External" /><Relationship Type="http://schemas.openxmlformats.org/officeDocument/2006/relationships/hyperlink" Id="rId38" Target="https://www.nvidia.com/en-us/solutions/autonomous-vehicles/in-vehicle-computing/#:~:text=End" TargetMode="External" /><Relationship Type="http://schemas.openxmlformats.org/officeDocument/2006/relationships/hyperlink" Id="rId48" Target="https://www.nvidia.com/en-us/solutions/autonomous-vehicles/in-vehicle-computing/#:~:text=Image%3A%20Energy%20icon" TargetMode="External" /><Relationship Type="http://schemas.openxmlformats.org/officeDocument/2006/relationships/hyperlink" Id="rId39" Target="https://www.nvidia.com/en-us/solutions/autonomous-vehicles/in-vehicle-computing/#:~:text=The%20future%20of%20mobility%20is,to%20enable%20L4%20autonomous%20driving" TargetMode="External" /><Relationship Type="http://schemas.openxmlformats.org/officeDocument/2006/relationships/hyperlink" Id="rId37" Target="https://www.nvidia.com/en-us/solutions/autonomous-vehicles/in-vehicle-computing/#:~:text=autonomous%20driving%20software%20stack,to%20meet%20functional%20safety%20requirements" TargetMode="External" /><Relationship Type="http://schemas.openxmlformats.org/officeDocument/2006/relationships/hyperlink" Id="rId67" Target="https://www.nxp.com/docs/en/supporting-information/WBNR_FTF10_AUT_F0408_PDF.pdf" TargetMode="External" /><Relationship Type="http://schemas.openxmlformats.org/officeDocument/2006/relationships/hyperlink" Id="rId44" Target="https://www.nxp.com/docs/en/supporting-information/WBNR_FTF10_AUT_F0408_PDF.pdf#:~:text=Interface%29%20to%20wake,16MHz%20IRC%20for%20fast%20execution" TargetMode="External" /><Relationship Type="http://schemas.openxmlformats.org/officeDocument/2006/relationships/hyperlink" Id="rId42" Target="https://www.nxp.com/docs/en/supporting-information/WBNR_FTF10_AUT_F0408_PDF.pdf#:~:text=match%20at%20L330%20%E2%80%A2%20Always,segment%20%E2%96%BA%20Power%20Domain%20RD1" TargetMode="External" /><Relationship Type="http://schemas.openxmlformats.org/officeDocument/2006/relationships/hyperlink" Id="rId43" Target="https://www.nxp.com/docs/en/supporting-information/WBNR_FTF10_AUT_F0408_PDF.pdf#:~:text=match%20at%20L439%20%E2%80%A2%20Very,Up" TargetMode="External" /><Relationship Type="http://schemas.openxmlformats.org/officeDocument/2006/relationships/hyperlink" Id="rId63" Target="https://www.sciencedirect.com/science/article/pii/S0045782525003184" TargetMode="External" /><Relationship Type="http://schemas.openxmlformats.org/officeDocument/2006/relationships/hyperlink" Id="rId32" Target="https://www.sciencedirect.com/science/article/pii/S0045782525003184#:~:text=The%20Finite%20Element%20Method%20,deterministic%20NNs%20from%20a%20previous" TargetMode="External" /><Relationship Type="http://schemas.openxmlformats.org/officeDocument/2006/relationships/hyperlink" Id="rId59" Target="https://www.st.com/content/dam/AME/2019/developers-conference-2019/presentations/STDevCon19_7.5_Overview%20of%20ADAS-Active-Safety.pdf" TargetMode="External" /><Relationship Type="http://schemas.openxmlformats.org/officeDocument/2006/relationships/hyperlink" Id="rId21" Target="https://www.st.com/content/dam/AME/2019/developers-conference-2019/presentations/STDevCon19_7.5_Overview%20of%20ADAS-Active-Safety.pdf#:~:text=Precise%20Positioning%20to%20enable%20,Precision%20Enables%20More%20Safety%20Features" TargetMode="External" /><Relationship Type="http://schemas.openxmlformats.org/officeDocument/2006/relationships/hyperlink" Id="rId71" Target="https://www.testinglab.com/random-vibration-testing-iso-16750" TargetMode="External" /><Relationship Type="http://schemas.openxmlformats.org/officeDocument/2006/relationships/hyperlink" Id="rId54" Target="https://www.testinglab.com/random-vibration-testing-iso-16750#:~:text=The%20Random%20Vibration%20Testing%20,that%20can%20affect%20component%20performance" TargetMode="External" /></Relationships>
</file>

<file path=word/_rels/footnotes.xml.rels><?xml version="1.0" encoding="UTF-8"?><Relationships xmlns="http://schemas.openxmlformats.org/package/2006/relationships"><Relationship Type="http://schemas.openxmlformats.org/officeDocument/2006/relationships/hyperlink" Id="rId64" Target="https://altasimtechnologies.com/solving-automotive-design-challenges-with-simulation/" TargetMode="External" /><Relationship Type="http://schemas.openxmlformats.org/officeDocument/2006/relationships/hyperlink" Id="rId33" Target="https://altasimtechnologies.com/solving-automotive-design-challenges-with-simulation/#:~:text=Image%3A%20EV%20Sensors%20%2062Simulation,mud%2C%20and%20other%20environmental%20detritus" TargetMode="External" /><Relationship Type="http://schemas.openxmlformats.org/officeDocument/2006/relationships/hyperlink" Id="rId60" Target="https://gpr.com/blog/functional-safety-how-gpr-helps-meet-requirements/" TargetMode="External" /><Relationship Type="http://schemas.openxmlformats.org/officeDocument/2006/relationships/hyperlink" Id="rId40" Target="https://gpr.com/blog/functional-safety-how-gpr-helps-meet-requirements/#:~:text=%2A%20Computational%20redundancy%3A%20Critical%20decision,malfunctions%20without%20disrupting%20vehicle%20operation" TargetMode="External" /><Relationship Type="http://schemas.openxmlformats.org/officeDocument/2006/relationships/hyperlink" Id="rId22" Target="https://gpr.com/blog/functional-safety-how-gpr-helps-meet-requirements/#:~:text=Sensor%20Fusion%3A%20Enhancing%20Reliability%20Through,Modal%20Perception" TargetMode="External" /><Relationship Type="http://schemas.openxmlformats.org/officeDocument/2006/relationships/hyperlink" Id="rId25" Target="https://gpr.com/blog/functional-safety-how-gpr-helps-meet-requirements/#:~:text=are%20not%20affected%20by%20occlusion%2C,trigger%20failover%20mechanisms%20if%20necessary" TargetMode="External" /><Relationship Type="http://schemas.openxmlformats.org/officeDocument/2006/relationships/hyperlink" Id="rId26" Target="https://gpr.com/blog/functional-safety-how-gpr-helps-meet-requirements/#:~:text=checks%20verify%20that%20braking%20and,trigger%20failover%20mechanisms%20if%20necessary" TargetMode="External" /><Relationship Type="http://schemas.openxmlformats.org/officeDocument/2006/relationships/hyperlink" Id="rId65" Target="https://pmc.ncbi.nlm.nih.gov/articles/PMC11014321/" TargetMode="External" /><Relationship Type="http://schemas.openxmlformats.org/officeDocument/2006/relationships/hyperlink" Id="rId35" Target="https://pmc.ncbi.nlm.nih.gov/articles/PMC11014321/#:~:text=1" TargetMode="External" /><Relationship Type="http://schemas.openxmlformats.org/officeDocument/2006/relationships/hyperlink" Id="rId34" Target="https://pmc.ncbi.nlm.nih.gov/articles/PMC11014321/#:~:text=For%20performing%20simulations%20for%20the,as%20depicted%20in%20Figure%201" TargetMode="External" /><Relationship Type="http://schemas.openxmlformats.org/officeDocument/2006/relationships/hyperlink" Id="rId61" Target="https://resources.altium.com/p/component-standards-automotive-grade-electronics" TargetMode="External" /><Relationship Type="http://schemas.openxmlformats.org/officeDocument/2006/relationships/hyperlink" Id="rId23" Target="https://resources.altium.com/p/component-standards-automotive-grade-electronics#:~:text=%23%20AEC" TargetMode="External" /><Relationship Type="http://schemas.openxmlformats.org/officeDocument/2006/relationships/hyperlink" Id="rId55" Target="https://resources.altium.com/p/component-standards-automotive-grade-electronics#:~:text=,Standard" TargetMode="External" /><Relationship Type="http://schemas.openxmlformats.org/officeDocument/2006/relationships/hyperlink" Id="rId70" Target="https://www.analog.com/en/signals/thought-leadership/high-performance-inertial-sensing-solutions.html" TargetMode="External" /><Relationship Type="http://schemas.openxmlformats.org/officeDocument/2006/relationships/hyperlink" Id="rId52" Target="https://www.analog.com/en/signals/thought-leadership/high-performance-inertial-sensing-solutions.html#:~:text=Table%203,Reliable%2C%20safe%20operation%2C%20all%20conditions" TargetMode="External" /><Relationship Type="http://schemas.openxmlformats.org/officeDocument/2006/relationships/hyperlink" Id="rId69" Target="https://www.damperzen.com/wp2/" TargetMode="External" /><Relationship Type="http://schemas.openxmlformats.org/officeDocument/2006/relationships/hyperlink" Id="rId51" Target="https://www.damperzen.com/wp2/#:~:text=Professional%20vibration%20isolation%20solutions%20for,gimbals%2C%20sensors%20and%20sensitive%20equipment" TargetMode="External" /><Relationship Type="http://schemas.openxmlformats.org/officeDocument/2006/relationships/hyperlink" Id="rId62" Target="https://www.istgroup.com/en/tech_20231121-aec-q100-rev/" TargetMode="External" /><Relationship Type="http://schemas.openxmlformats.org/officeDocument/2006/relationships/hyperlink" Id="rId30" Target="https://www.istgroup.com/en/tech_20231121-aec-q100-rev/#:~:text=%3E%20,tight%20safety%20and%20performance%20criteria" TargetMode="External" /><Relationship Type="http://schemas.openxmlformats.org/officeDocument/2006/relationships/hyperlink" Id="rId29" Target="https://www.istgroup.com/en/tech_20231121-aec-q100-rev/#:~:text=,Changes" TargetMode="External" /><Relationship Type="http://schemas.openxmlformats.org/officeDocument/2006/relationships/hyperlink" Id="rId28" Target="https://www.istgroup.com/en/tech_20231121-aec-q100-rev/#:~:text=AEC,vehicle%20stability%20and%20customer%20safety" TargetMode="External" /><Relationship Type="http://schemas.openxmlformats.org/officeDocument/2006/relationships/hyperlink" Id="rId68" Target="https://www.monolithicpower.com/en/learning/mpscholar/automotive-electronics/case-studies-in-auto-power-electronics/real-world-applications?srsltid=AfmBOoo6_BCwFq5wtKO3l-Uyf-OVKnCJUEyA7WaWpXlX2mknXU3XJnOe" TargetMode="External" /><Relationship Type="http://schemas.openxmlformats.org/officeDocument/2006/relationships/hyperlink" Id="rId46" Target="https://www.monolithicpower.com/en/learning/mpscholar/automotive-electronics/case-studies-in-auto-power-electronics/real-world-applications?srsltid=AfmBOoo6_BCwFq5wtKO3l-Uyf-OVKnCJUEyA7WaWpXlX2mknXU3XJnOe#:~:text=Dynamic%20Voltage%20and%20Frequency%20Scaling,frequency%20based%20on%20computational%20demands" TargetMode="External" /><Relationship Type="http://schemas.openxmlformats.org/officeDocument/2006/relationships/hyperlink" Id="rId49" Target="https://www.monolithicpower.com/en/learning/mpscholar/automotive-electronics/case-studies-in-auto-power-electronics/real-world-applications?srsltid=AfmBOoo6_BCwFq5wtKO3l-Uyf-OVKnCJUEyA7WaWpXlX2mknXU3XJnOe#:~:text=Noise%20Sensitivity%3A%20Due%20to%20their,clean%20and%20stable%20power%20supplies" TargetMode="External" /><Relationship Type="http://schemas.openxmlformats.org/officeDocument/2006/relationships/hyperlink" Id="rId47" Target="https://www.monolithicpower.com/en/learning/mpscholar/automotive-electronics/case-studies-in-auto-power-electronics/real-world-applications?srsltid=AfmBOoo6_BCwFq5wtKO3l-Uyf-OVKnCJUEyA7WaWpXlX2mknXU3XJnOe#:~:text=Renowned%20for%20its%20potent%20computing,the%20enhancement%20of%20processor%20design" TargetMode="External" /><Relationship Type="http://schemas.openxmlformats.org/officeDocument/2006/relationships/hyperlink" Id="rId66" Target="https://www.nvidia.com/en-us/solutions/autonomous-vehicles/in-vehicle-computing/" TargetMode="External" /><Relationship Type="http://schemas.openxmlformats.org/officeDocument/2006/relationships/hyperlink" Id="rId38" Target="https://www.nvidia.com/en-us/solutions/autonomous-vehicles/in-vehicle-computing/#:~:text=End" TargetMode="External" /><Relationship Type="http://schemas.openxmlformats.org/officeDocument/2006/relationships/hyperlink" Id="rId48" Target="https://www.nvidia.com/en-us/solutions/autonomous-vehicles/in-vehicle-computing/#:~:text=Image%3A%20Energy%20icon" TargetMode="External" /><Relationship Type="http://schemas.openxmlformats.org/officeDocument/2006/relationships/hyperlink" Id="rId39" Target="https://www.nvidia.com/en-us/solutions/autonomous-vehicles/in-vehicle-computing/#:~:text=The%20future%20of%20mobility%20is,to%20enable%20L4%20autonomous%20driving" TargetMode="External" /><Relationship Type="http://schemas.openxmlformats.org/officeDocument/2006/relationships/hyperlink" Id="rId37" Target="https://www.nvidia.com/en-us/solutions/autonomous-vehicles/in-vehicle-computing/#:~:text=autonomous%20driving%20software%20stack,to%20meet%20functional%20safety%20requirements" TargetMode="External" /><Relationship Type="http://schemas.openxmlformats.org/officeDocument/2006/relationships/hyperlink" Id="rId67" Target="https://www.nxp.com/docs/en/supporting-information/WBNR_FTF10_AUT_F0408_PDF.pdf" TargetMode="External" /><Relationship Type="http://schemas.openxmlformats.org/officeDocument/2006/relationships/hyperlink" Id="rId44" Target="https://www.nxp.com/docs/en/supporting-information/WBNR_FTF10_AUT_F0408_PDF.pdf#:~:text=Interface%29%20to%20wake,16MHz%20IRC%20for%20fast%20execution" TargetMode="External" /><Relationship Type="http://schemas.openxmlformats.org/officeDocument/2006/relationships/hyperlink" Id="rId42" Target="https://www.nxp.com/docs/en/supporting-information/WBNR_FTF10_AUT_F0408_PDF.pdf#:~:text=match%20at%20L330%20%E2%80%A2%20Always,segment%20%E2%96%BA%20Power%20Domain%20RD1" TargetMode="External" /><Relationship Type="http://schemas.openxmlformats.org/officeDocument/2006/relationships/hyperlink" Id="rId43" Target="https://www.nxp.com/docs/en/supporting-information/WBNR_FTF10_AUT_F0408_PDF.pdf#:~:text=match%20at%20L439%20%E2%80%A2%20Very,Up" TargetMode="External" /><Relationship Type="http://schemas.openxmlformats.org/officeDocument/2006/relationships/hyperlink" Id="rId63" Target="https://www.sciencedirect.com/science/article/pii/S0045782525003184" TargetMode="External" /><Relationship Type="http://schemas.openxmlformats.org/officeDocument/2006/relationships/hyperlink" Id="rId32" Target="https://www.sciencedirect.com/science/article/pii/S0045782525003184#:~:text=The%20Finite%20Element%20Method%20,deterministic%20NNs%20from%20a%20previous" TargetMode="External" /><Relationship Type="http://schemas.openxmlformats.org/officeDocument/2006/relationships/hyperlink" Id="rId59" Target="https://www.st.com/content/dam/AME/2019/developers-conference-2019/presentations/STDevCon19_7.5_Overview%20of%20ADAS-Active-Safety.pdf" TargetMode="External" /><Relationship Type="http://schemas.openxmlformats.org/officeDocument/2006/relationships/hyperlink" Id="rId21" Target="https://www.st.com/content/dam/AME/2019/developers-conference-2019/presentations/STDevCon19_7.5_Overview%20of%20ADAS-Active-Safety.pdf#:~:text=Precise%20Positioning%20to%20enable%20,Precision%20Enables%20More%20Safety%20Features" TargetMode="External" /><Relationship Type="http://schemas.openxmlformats.org/officeDocument/2006/relationships/hyperlink" Id="rId71" Target="https://www.testinglab.com/random-vibration-testing-iso-16750" TargetMode="External" /><Relationship Type="http://schemas.openxmlformats.org/officeDocument/2006/relationships/hyperlink" Id="rId54" Target="https://www.testinglab.com/random-vibration-testing-iso-16750#:~:text=The%20Random%20Vibration%20Testing%20,that%20can%20affect%20component%20perform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2026-02-10T19:12:50Z</dcterms:created>
  <dcterms:modified xsi:type="dcterms:W3CDTF">2026-02-10T19:12:50Z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