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1a4f40b0ad825043cb9310dd427aa4adcf1855a"/>
    <w:p>
      <w:pPr>
        <w:pStyle w:val="Heading1"/>
      </w:pPr>
      <w:r>
        <w:t xml:space="preserve">Preparing PICAPD Materials for the Ghost Autonomy Website</w:t>
      </w:r>
    </w:p>
    <w:bookmarkStart w:id="21" w:name="introduction"/>
    <w:p>
      <w:pPr>
        <w:pStyle w:val="Heading2"/>
      </w:pPr>
      <w:r>
        <w:t xml:space="preserve">Introduction</w:t>
      </w:r>
    </w:p>
    <w:p>
      <w:pPr>
        <w:pStyle w:val="FirstParagraph"/>
      </w:pPr>
      <w:r>
        <w:t xml:space="preserve">The</w:t>
      </w:r>
      <w:r>
        <w:t xml:space="preserve"> </w:t>
      </w:r>
      <w:r>
        <w:rPr>
          <w:b/>
          <w:bCs/>
        </w:rPr>
        <w:t xml:space="preserve">Ghost Autonomy</w:t>
      </w:r>
      <w:r>
        <w:t xml:space="preserve"> </w:t>
      </w:r>
      <w:r>
        <w:t xml:space="preserve">website will host a suite of technical documents and diagrams describing the PICAPD architecture and its governing methodology. These assets include high‑density Mermaid diagrams (flowcharts, state diagrams, scatter plots, bar/line/pie charts, sequence diagrams, gantt charts, etc.), tables of metrics, and explanatory text. To ensure the site remains fast, accessible, and bilingual (English and Persian) while rendering this material, it is important to identify potential edge cases and plan mitigation strategies. The following guidelines outline how to ingest the uploaded materials into the Ghost Autonomy site with minimal friction.</w:t>
      </w:r>
    </w:p>
    <w:bookmarkEnd w:id="21"/>
    <w:bookmarkStart w:id="26" w:name="X3a28948188cb7eeb292cd764cee06b61d1d61b6"/>
    <w:p>
      <w:pPr>
        <w:pStyle w:val="Heading2"/>
      </w:pPr>
      <w:r>
        <w:t xml:space="preserve">1 Summary of Materials and Potential Challenges</w:t>
      </w:r>
    </w:p>
    <w:bookmarkStart w:id="22" w:name="architecture-reconstruction-plan-doc-01"/>
    <w:p>
      <w:pPr>
        <w:pStyle w:val="Heading3"/>
      </w:pPr>
      <w:r>
        <w:t xml:space="preserve">1.1 Architecture Reconstruction Plan (Doc 01)</w:t>
      </w:r>
    </w:p>
    <w:p>
      <w:pPr>
        <w:pStyle w:val="FirstParagraph"/>
      </w:pPr>
      <w:r>
        <w:t xml:space="preserve">This document reconstructs the Trust Architecture narrative into operational building blocks. It contains:</w:t>
      </w:r>
    </w:p>
    <w:p>
      <w:pPr>
        <w:pStyle w:val="Compact"/>
        <w:numPr>
          <w:ilvl w:val="0"/>
          <w:numId w:val="1001"/>
        </w:numPr>
      </w:pPr>
      <w:r>
        <w:rPr>
          <w:b/>
          <w:bCs/>
        </w:rPr>
        <w:t xml:space="preserve">Layered flowcharts</w:t>
      </w:r>
      <w:r>
        <w:t xml:space="preserve">: transformation of financial narrative into operational primitives (4–5 nodes) and decomposition of source material into key discoveries, relationships and structural patterns.</w:t>
      </w:r>
    </w:p>
    <w:p>
      <w:pPr>
        <w:pStyle w:val="Compact"/>
        <w:numPr>
          <w:ilvl w:val="0"/>
          <w:numId w:val="1001"/>
        </w:numPr>
      </w:pPr>
      <w:r>
        <w:rPr>
          <w:b/>
          <w:bCs/>
        </w:rPr>
        <w:t xml:space="preserve">Complex synthesis diagrams</w:t>
      </w:r>
      <w:r>
        <w:t xml:space="preserve">: e.g., the S2 constraint system state machine and S3 constitutional governance flowchart. These diagrams include multiple states and transitions, notes, and style directives.</w:t>
      </w:r>
    </w:p>
    <w:p>
      <w:pPr>
        <w:pStyle w:val="Compact"/>
        <w:numPr>
          <w:ilvl w:val="0"/>
          <w:numId w:val="1001"/>
        </w:numPr>
      </w:pPr>
      <w:r>
        <w:rPr>
          <w:b/>
          <w:bCs/>
        </w:rPr>
        <w:t xml:space="preserve">ISA category hierarchy diagram</w:t>
      </w:r>
      <w:r>
        <w:t xml:space="preserve"> </w:t>
      </w:r>
      <w:r>
        <w:t xml:space="preserve">summarising five instruction categories and their instructions.</w:t>
      </w:r>
    </w:p>
    <w:p>
      <w:pPr>
        <w:pStyle w:val="Compact"/>
        <w:numPr>
          <w:ilvl w:val="0"/>
          <w:numId w:val="1001"/>
        </w:numPr>
      </w:pPr>
      <w:r>
        <w:rPr>
          <w:b/>
          <w:bCs/>
        </w:rPr>
        <w:t xml:space="preserve">Operational metrics table</w:t>
      </w:r>
      <w:r>
        <w:t xml:space="preserve"> </w:t>
      </w:r>
      <w:r>
        <w:t xml:space="preserve">mapping financial metrics to operational equivalents.</w:t>
      </w:r>
    </w:p>
    <w:p>
      <w:pPr>
        <w:pStyle w:val="Compact"/>
        <w:numPr>
          <w:ilvl w:val="0"/>
          <w:numId w:val="1001"/>
        </w:numPr>
      </w:pPr>
      <w:r>
        <w:rPr>
          <w:b/>
          <w:bCs/>
        </w:rPr>
        <w:t xml:space="preserve">Summary diagrams</w:t>
      </w:r>
      <w:r>
        <w:t xml:space="preserve"> </w:t>
      </w:r>
      <w:r>
        <w:t xml:space="preserve">of the three‑layer operational model and memory/capacity diagrams.</w:t>
      </w:r>
    </w:p>
    <w:p>
      <w:pPr>
        <w:pStyle w:val="FirstParagraph"/>
      </w:pPr>
      <w:r>
        <w:t xml:space="preserve">Most diagrams are modest in size (3–10 nodes), but the S2 constraint system has &gt;10 states and transitions. These may need splitting for readability and must include alt text.</w:t>
      </w:r>
    </w:p>
    <w:bookmarkEnd w:id="22"/>
    <w:bookmarkStart w:id="24" w:name="isa-official-specification-doc-02"/>
    <w:p>
      <w:pPr>
        <w:pStyle w:val="Heading3"/>
      </w:pPr>
      <w:r>
        <w:t xml:space="preserve">1.2 ISA Official Specification (Doc 02)</w:t>
      </w:r>
    </w:p>
    <w:p>
      <w:pPr>
        <w:pStyle w:val="FirstParagraph"/>
      </w:pPr>
      <w:r>
        <w:t xml:space="preserve">This specification defines the PICAPD instruction set and includes:</w:t>
      </w:r>
    </w:p>
    <w:p>
      <w:pPr>
        <w:pStyle w:val="Compact"/>
        <w:numPr>
          <w:ilvl w:val="0"/>
          <w:numId w:val="1002"/>
        </w:numPr>
      </w:pPr>
      <w:r>
        <w:rPr>
          <w:b/>
          <w:bCs/>
        </w:rPr>
        <w:t xml:space="preserve">Large flowcharts</w:t>
      </w:r>
      <w:r>
        <w:t xml:space="preserve"> </w:t>
      </w:r>
      <w:r>
        <w:t xml:space="preserve">describing three‑tier hierarchy and process design phases, with 100 worker units and 10 managers. The worker and manager tiers are represented as labelled boxes and elided with "..." to indicate repeated units.</w:t>
      </w:r>
    </w:p>
    <w:p>
      <w:pPr>
        <w:pStyle w:val="Compact"/>
        <w:numPr>
          <w:ilvl w:val="0"/>
          <w:numId w:val="1002"/>
        </w:numPr>
      </w:pPr>
      <w:r>
        <w:rPr>
          <w:b/>
          <w:bCs/>
        </w:rPr>
        <w:t xml:space="preserve">Scatter, bar and pie charts</w:t>
      </w:r>
      <w:r>
        <w:t xml:space="preserve"> </w:t>
      </w:r>
      <w:r>
        <w:t xml:space="preserve">representing optimization trade‑offs, efficiency ratios and power distribution.</w:t>
      </w:r>
    </w:p>
    <w:p>
      <w:pPr>
        <w:pStyle w:val="Compact"/>
        <w:numPr>
          <w:ilvl w:val="0"/>
          <w:numId w:val="1002"/>
        </w:numPr>
      </w:pPr>
      <w:r>
        <w:rPr>
          <w:b/>
          <w:bCs/>
        </w:rPr>
        <w:t xml:space="preserve">State diagrams</w:t>
      </w:r>
      <w:r>
        <w:t xml:space="preserve"> </w:t>
      </w:r>
      <w:r>
        <w:t xml:space="preserve">detailing alert management, constraint operations, fault isolation and adaptive control loops.</w:t>
      </w:r>
    </w:p>
    <w:p>
      <w:pPr>
        <w:pStyle w:val="Compact"/>
        <w:numPr>
          <w:ilvl w:val="0"/>
          <w:numId w:val="1002"/>
        </w:numPr>
      </w:pPr>
      <w:r>
        <w:rPr>
          <w:b/>
          <w:bCs/>
        </w:rPr>
        <w:t xml:space="preserve">Sequence diagrams</w:t>
      </w:r>
      <w:r>
        <w:t xml:space="preserve"> </w:t>
      </w:r>
      <w:r>
        <w:t xml:space="preserve">illustrating execution models and constitutional governance protocols.</w:t>
      </w:r>
    </w:p>
    <w:p>
      <w:pPr>
        <w:pStyle w:val="Compact"/>
        <w:numPr>
          <w:ilvl w:val="0"/>
          <w:numId w:val="1002"/>
        </w:numPr>
      </w:pPr>
      <w:r>
        <w:rPr>
          <w:b/>
          <w:bCs/>
        </w:rPr>
        <w:t xml:space="preserve">Tables</w:t>
      </w:r>
      <w:r>
        <w:t xml:space="preserve"> </w:t>
      </w:r>
      <w:r>
        <w:t xml:space="preserve">containing instruction reference, opcode allocation, performance metrics, power metrics and efficiency comparisons.</w:t>
      </w:r>
    </w:p>
    <w:p>
      <w:pPr>
        <w:pStyle w:val="FirstParagraph"/>
      </w:pPr>
      <w:r>
        <w:t xml:space="preserve">Some diagrams, especially the hierarchical processing overview and the synthesis phase, approach the complexity threshold where performance and readability degrade. Research shows that</w:t>
      </w:r>
      <w:r>
        <w:t xml:space="preserve"> </w:t>
      </w:r>
      <w:r>
        <w:rPr>
          <w:b/>
          <w:bCs/>
        </w:rPr>
        <w:t xml:space="preserve">high‑density graphs should be limited to ~50 nodes and graphs with more than ~100 connections degrade performance</w:t>
      </w:r>
      <w:hyperlink r:id="rId23">
        <w:r>
          <w:rPr>
            <w:rStyle w:val="Hyperlink"/>
          </w:rPr>
          <w:t xml:space="preserve">[1]</w:t>
        </w:r>
      </w:hyperlink>
      <w:r>
        <w:t xml:space="preserve">. The hierarchical worker‑manager diagram implies 100 worker nodes connected to 10 managers; rendering this interactively may exceed this threshold. Pre‑rendering and summarising repeated patterns are therefore advisable.</w:t>
      </w:r>
    </w:p>
    <w:bookmarkEnd w:id="24"/>
    <w:bookmarkStart w:id="25" w:name="operational-visualization-suite-doc-03"/>
    <w:p>
      <w:pPr>
        <w:pStyle w:val="Heading3"/>
      </w:pPr>
      <w:r>
        <w:t xml:space="preserve">1.3 Operational Visualization Suite (Doc 03)</w:t>
      </w:r>
    </w:p>
    <w:p>
      <w:pPr>
        <w:pStyle w:val="FirstParagraph"/>
      </w:pPr>
      <w:r>
        <w:t xml:space="preserve">This document provides a comprehensive set of monitoring, error‑handling and deployment diagrams, including:</w:t>
      </w:r>
    </w:p>
    <w:p>
      <w:pPr>
        <w:pStyle w:val="Compact"/>
        <w:numPr>
          <w:ilvl w:val="0"/>
          <w:numId w:val="1003"/>
        </w:numPr>
      </w:pPr>
      <w:r>
        <w:rPr>
          <w:b/>
          <w:bCs/>
        </w:rPr>
        <w:t xml:space="preserve">System‑level stack</w:t>
      </w:r>
      <w:r>
        <w:t xml:space="preserve"> </w:t>
      </w:r>
      <w:r>
        <w:t xml:space="preserve">diagrams linking applications, agent governance, computational substrate, hardware and physical layers.</w:t>
      </w:r>
    </w:p>
    <w:p>
      <w:pPr>
        <w:pStyle w:val="Compact"/>
        <w:numPr>
          <w:ilvl w:val="0"/>
          <w:numId w:val="1003"/>
        </w:numPr>
      </w:pPr>
      <w:r>
        <w:rPr>
          <w:b/>
          <w:bCs/>
        </w:rPr>
        <w:t xml:space="preserve">Decision pipeline flowchart</w:t>
      </w:r>
      <w:r>
        <w:t xml:space="preserve"> </w:t>
      </w:r>
      <w:r>
        <w:t xml:space="preserve">with workers, managers, queen unit, validation layers and persistence (complex but elided for repeated units).</w:t>
      </w:r>
    </w:p>
    <w:p>
      <w:pPr>
        <w:pStyle w:val="Compact"/>
        <w:numPr>
          <w:ilvl w:val="0"/>
          <w:numId w:val="1003"/>
        </w:numPr>
      </w:pPr>
      <w:r>
        <w:rPr>
          <w:b/>
          <w:bCs/>
        </w:rPr>
        <w:t xml:space="preserve">Detailed internal flows</w:t>
      </w:r>
      <w:r>
        <w:t xml:space="preserve"> </w:t>
      </w:r>
      <w:r>
        <w:t xml:space="preserve">for worker, manager and queen units.</w:t>
      </w:r>
    </w:p>
    <w:p>
      <w:pPr>
        <w:pStyle w:val="Compact"/>
        <w:numPr>
          <w:ilvl w:val="0"/>
          <w:numId w:val="1003"/>
        </w:numPr>
      </w:pPr>
      <w:r>
        <w:rPr>
          <w:b/>
          <w:bCs/>
        </w:rPr>
        <w:t xml:space="preserve">Constraint lifecycle state machine</w:t>
      </w:r>
      <w:r>
        <w:t xml:space="preserve"> </w:t>
      </w:r>
      <w:r>
        <w:t xml:space="preserve">(≈15 states and transitions) and constraint dependency graph.</w:t>
      </w:r>
    </w:p>
    <w:p>
      <w:pPr>
        <w:pStyle w:val="Compact"/>
        <w:numPr>
          <w:ilvl w:val="0"/>
          <w:numId w:val="1003"/>
        </w:numPr>
      </w:pPr>
      <w:r>
        <w:rPr>
          <w:b/>
          <w:bCs/>
        </w:rPr>
        <w:t xml:space="preserve">Three‑branch constitutional governance</w:t>
      </w:r>
      <w:r>
        <w:t xml:space="preserve"> </w:t>
      </w:r>
      <w:r>
        <w:t xml:space="preserve">and workflows for proposer, validator, arbiter and unknown registry management.</w:t>
      </w:r>
    </w:p>
    <w:p>
      <w:pPr>
        <w:pStyle w:val="Compact"/>
        <w:numPr>
          <w:ilvl w:val="0"/>
          <w:numId w:val="1003"/>
        </w:numPr>
      </w:pPr>
      <w:r>
        <w:rPr>
          <w:b/>
          <w:bCs/>
        </w:rPr>
        <w:t xml:space="preserve">Resource management</w:t>
      </w:r>
      <w:r>
        <w:t xml:space="preserve"> </w:t>
      </w:r>
      <w:r>
        <w:t xml:space="preserve">diagrams (core activation strategy, memory hierarchy access patterns, power budget distribution) including pie and gantt charts.</w:t>
      </w:r>
    </w:p>
    <w:p>
      <w:pPr>
        <w:pStyle w:val="Compact"/>
        <w:numPr>
          <w:ilvl w:val="0"/>
          <w:numId w:val="1003"/>
        </w:numPr>
      </w:pPr>
      <w:r>
        <w:rPr>
          <w:b/>
          <w:bCs/>
        </w:rPr>
        <w:t xml:space="preserve">Error handling and recovery</w:t>
      </w:r>
      <w:r>
        <w:t xml:space="preserve"> </w:t>
      </w:r>
      <w:r>
        <w:t xml:space="preserve">flows with multiple categories (transient, persistent, Byzantine, safety‑critical) and graceful degradation hierarchies.</w:t>
      </w:r>
    </w:p>
    <w:p>
      <w:pPr>
        <w:pStyle w:val="Compact"/>
        <w:numPr>
          <w:ilvl w:val="0"/>
          <w:numId w:val="1003"/>
        </w:numPr>
      </w:pPr>
      <w:r>
        <w:rPr>
          <w:b/>
          <w:bCs/>
        </w:rPr>
        <w:t xml:space="preserve">Performance monitoring and deployment topology</w:t>
      </w:r>
      <w:r>
        <w:t xml:space="preserve"> </w:t>
      </w:r>
      <w:r>
        <w:t xml:space="preserve">diagrams, including real‑time dashboard layouts, heatmaps and multi‑die system maps.</w:t>
      </w:r>
    </w:p>
    <w:p>
      <w:pPr>
        <w:pStyle w:val="FirstParagraph"/>
      </w:pPr>
      <w:r>
        <w:t xml:space="preserve">These diagrams span many diagram types and sizes. Some (e.g., topology maps, constraint lifecycle, arbiter workflow) approach a dozen nodes. Many include explanatory notes and callouts that must be preserved in the final rendering. The diversity of diagram styles requires that the build process support</w:t>
      </w:r>
      <w:r>
        <w:t xml:space="preserve"> </w:t>
      </w:r>
      <w:r>
        <w:rPr>
          <w:b/>
          <w:bCs/>
        </w:rPr>
        <w:t xml:space="preserve">multiple Mermaid diagram types</w:t>
      </w:r>
      <w:r>
        <w:t xml:space="preserve"> </w:t>
      </w:r>
      <w:r>
        <w:t xml:space="preserve">(flowchart, stateDiagram-v2, sequenceDiagram, gantt, pie, bar, line, scatter) and consistent styling.</w:t>
      </w:r>
    </w:p>
    <w:bookmarkEnd w:id="25"/>
    <w:bookmarkEnd w:id="26"/>
    <w:bookmarkStart w:id="34" w:name="prerendering-and-complexity-management"/>
    <w:p>
      <w:pPr>
        <w:pStyle w:val="Heading2"/>
      </w:pPr>
      <w:r>
        <w:t xml:space="preserve">2 Pre‑Rendering and Complexity Management</w:t>
      </w:r>
    </w:p>
    <w:bookmarkStart w:id="30" w:name="prerender-diagrams-during-the-build"/>
    <w:p>
      <w:pPr>
        <w:pStyle w:val="Heading3"/>
      </w:pPr>
      <w:r>
        <w:t xml:space="preserve">2.1 Pre‑render diagrams during the build</w:t>
      </w:r>
    </w:p>
    <w:p>
      <w:pPr>
        <w:pStyle w:val="FirstParagraph"/>
      </w:pPr>
      <w:r>
        <w:t xml:space="preserve">The Ghost Autonomy site is a static SPA without runtime APIs. Embedding the Mermaid runtime into the client bundle would significantly increase its size and complicate RTL support. Instead,</w:t>
      </w:r>
      <w:r>
        <w:t xml:space="preserve"> </w:t>
      </w:r>
      <w:r>
        <w:rPr>
          <w:b/>
          <w:bCs/>
        </w:rPr>
        <w:t xml:space="preserve">pre‑render all Mermaid diagrams into SVG/PNG at build time</w:t>
      </w:r>
      <w:r>
        <w:t xml:space="preserve"> </w:t>
      </w:r>
      <w:r>
        <w:t xml:space="preserve">using</w:t>
      </w:r>
      <w:r>
        <w:t xml:space="preserve"> </w:t>
      </w:r>
      <w:r>
        <w:rPr>
          <w:rStyle w:val="VerbatimChar"/>
        </w:rPr>
        <w:t xml:space="preserve">@mermaid-js/mermaid-cli</w:t>
      </w:r>
      <w:r>
        <w:t xml:space="preserve"> </w:t>
      </w:r>
      <w:r>
        <w:t xml:space="preserve">or the</w:t>
      </w:r>
      <w:r>
        <w:t xml:space="preserve"> </w:t>
      </w:r>
      <w:r>
        <w:rPr>
          <w:rStyle w:val="VerbatimChar"/>
        </w:rPr>
        <w:t xml:space="preserve">playwright-mermaid</w:t>
      </w:r>
      <w:r>
        <w:t xml:space="preserve"> </w:t>
      </w:r>
      <w:r>
        <w:t xml:space="preserve">library. Generate both high‑resolution SVGs for desktop and optimised PNGs for mobile. Store these images under</w:t>
      </w:r>
      <w:r>
        <w:t xml:space="preserve"> </w:t>
      </w:r>
      <w:r>
        <w:rPr>
          <w:rStyle w:val="VerbatimChar"/>
        </w:rPr>
        <w:t xml:space="preserve">public/assets/diagrams/</w:t>
      </w:r>
      <w:r>
        <w:t xml:space="preserve"> </w:t>
      </w:r>
      <w:r>
        <w:t xml:space="preserve">and reference them in page components.</w:t>
      </w:r>
    </w:p>
    <w:p>
      <w:pPr>
        <w:pStyle w:val="BodyText"/>
      </w:pPr>
      <w:r>
        <w:t xml:space="preserve">Advantages of pre‑rendering:</w:t>
      </w:r>
    </w:p>
    <w:p>
      <w:pPr>
        <w:pStyle w:val="Compact"/>
        <w:numPr>
          <w:ilvl w:val="0"/>
          <w:numId w:val="1004"/>
        </w:numPr>
      </w:pPr>
      <w:r>
        <w:rPr>
          <w:b/>
          <w:bCs/>
        </w:rPr>
        <w:t xml:space="preserve">Performance</w:t>
      </w:r>
      <w:r>
        <w:t xml:space="preserve">: Offloads layout calculation from the client. Rendering large graphs can become O(n²) in complexity for &gt;100 connections</w:t>
      </w:r>
      <w:hyperlink r:id="rId27">
        <w:r>
          <w:rPr>
            <w:rStyle w:val="Hyperlink"/>
          </w:rPr>
          <w:t xml:space="preserve">[2]</w:t>
        </w:r>
      </w:hyperlink>
      <w:r>
        <w:t xml:space="preserve">; pre‑rendering avoids such slowdowns.</w:t>
      </w:r>
    </w:p>
    <w:p>
      <w:pPr>
        <w:pStyle w:val="Compact"/>
        <w:numPr>
          <w:ilvl w:val="0"/>
          <w:numId w:val="1004"/>
        </w:numPr>
      </w:pPr>
      <w:r>
        <w:rPr>
          <w:b/>
          <w:bCs/>
        </w:rPr>
        <w:t xml:space="preserve">Accessibility</w:t>
      </w:r>
      <w:r>
        <w:t xml:space="preserve">: Allows insertion of</w:t>
      </w:r>
      <w:r>
        <w:t xml:space="preserve"> </w:t>
      </w:r>
      <w:r>
        <w:rPr>
          <w:rStyle w:val="VerbatimChar"/>
        </w:rPr>
        <w:t xml:space="preserve">&lt;title&gt;</w:t>
      </w:r>
      <w:r>
        <w:t xml:space="preserve"> </w:t>
      </w:r>
      <w:r>
        <w:t xml:space="preserve">and</w:t>
      </w:r>
      <w:r>
        <w:t xml:space="preserve"> </w:t>
      </w:r>
      <w:r>
        <w:rPr>
          <w:rStyle w:val="VerbatimChar"/>
        </w:rPr>
        <w:t xml:space="preserve">&lt;desc&gt;</w:t>
      </w:r>
      <w:r>
        <w:t xml:space="preserve"> </w:t>
      </w:r>
      <w:r>
        <w:t xml:space="preserve">elements in the SVG for screen‑reader support. WCAG requires meaningful text alternatives for SVGs</w:t>
      </w:r>
      <w:hyperlink r:id="rId28">
        <w:r>
          <w:rPr>
            <w:rStyle w:val="Hyperlink"/>
          </w:rPr>
          <w:t xml:space="preserve">[3]</w:t>
        </w:r>
      </w:hyperlink>
      <w:r>
        <w:t xml:space="preserve">. Mermaid’s CLI supports</w:t>
      </w:r>
      <w:r>
        <w:t xml:space="preserve"> </w:t>
      </w:r>
      <w:r>
        <w:rPr>
          <w:rStyle w:val="VerbatimChar"/>
        </w:rPr>
        <w:t xml:space="preserve">--accessibility</w:t>
      </w:r>
      <w:r>
        <w:t xml:space="preserve"> </w:t>
      </w:r>
      <w:r>
        <w:t xml:space="preserve">to automatically insert an</w:t>
      </w:r>
      <w:r>
        <w:t xml:space="preserve"> </w:t>
      </w:r>
      <w:r>
        <w:rPr>
          <w:rStyle w:val="VerbatimChar"/>
        </w:rPr>
        <w:t xml:space="preserve">aria-roledescription</w:t>
      </w:r>
      <w:r>
        <w:t xml:space="preserve"> </w:t>
      </w:r>
      <w:r>
        <w:t xml:space="preserve">and accessible titles/descriptions</w:t>
      </w:r>
      <w:hyperlink r:id="rId29">
        <w:r>
          <w:rPr>
            <w:rStyle w:val="Hyperlink"/>
          </w:rPr>
          <w:t xml:space="preserve">[4]</w:t>
        </w:r>
      </w:hyperlink>
      <w:r>
        <w:t xml:space="preserve">.</w:t>
      </w:r>
    </w:p>
    <w:p>
      <w:pPr>
        <w:pStyle w:val="Compact"/>
        <w:numPr>
          <w:ilvl w:val="0"/>
          <w:numId w:val="1004"/>
        </w:numPr>
      </w:pPr>
      <w:r>
        <w:rPr>
          <w:b/>
          <w:bCs/>
        </w:rPr>
        <w:t xml:space="preserve">RTL compatibility</w:t>
      </w:r>
      <w:r>
        <w:t xml:space="preserve">: Pre‑rendering ensures diagrams are not mirrored by the browser; rather, a separate Persian variant can be generated if directionality affects diagram content.</w:t>
      </w:r>
    </w:p>
    <w:bookmarkEnd w:id="30"/>
    <w:bookmarkStart w:id="31" w:name="X9ec0959a0b1ab5a9bad54133026b6ef77e4d4f8"/>
    <w:p>
      <w:pPr>
        <w:pStyle w:val="Heading3"/>
      </w:pPr>
      <w:r>
        <w:t xml:space="preserve">2.2 Split complex diagrams into manageable views</w:t>
      </w:r>
    </w:p>
    <w:p>
      <w:pPr>
        <w:pStyle w:val="FirstParagraph"/>
      </w:pPr>
      <w:r>
        <w:t xml:space="preserve">Where diagrams exceed ~50 nodes or involve long chains (e.g., the 100‑worker diagram),</w:t>
      </w:r>
      <w:r>
        <w:t xml:space="preserve"> </w:t>
      </w:r>
      <w:r>
        <w:rPr>
          <w:b/>
          <w:bCs/>
        </w:rPr>
        <w:t xml:space="preserve">split the diagram into multiple smaller diagrams</w:t>
      </w:r>
      <w:r>
        <w:t xml:space="preserve"> </w:t>
      </w:r>
      <w:r>
        <w:t xml:space="preserve">with narrative context. For example:</w:t>
      </w:r>
    </w:p>
    <w:p>
      <w:pPr>
        <w:pStyle w:val="Compact"/>
        <w:numPr>
          <w:ilvl w:val="0"/>
          <w:numId w:val="1005"/>
        </w:numPr>
      </w:pPr>
      <w:r>
        <w:t xml:space="preserve">Break the “Worker Tier Processing” diagram into a generic worker subgraph (showing only Worker 1–3) with a caption explaining that Workers 4–100 follow the same pattern. This reduces node count while preserving semantics.</w:t>
      </w:r>
    </w:p>
    <w:p>
      <w:pPr>
        <w:pStyle w:val="Compact"/>
        <w:numPr>
          <w:ilvl w:val="0"/>
          <w:numId w:val="1005"/>
        </w:numPr>
      </w:pPr>
      <w:r>
        <w:t xml:space="preserve">For state machines with many transitions (e.g., constraint lifecycle), group related states into logical sub‑diagrams (Definition → Monitoring, Enforcement → Recovery) and provide navigation links or anchored sections.</w:t>
      </w:r>
    </w:p>
    <w:p>
      <w:pPr>
        <w:pStyle w:val="Compact"/>
        <w:numPr>
          <w:ilvl w:val="0"/>
          <w:numId w:val="1005"/>
        </w:numPr>
      </w:pPr>
      <w:r>
        <w:t xml:space="preserve">In sequences, summarise repeating interactions (“100 workers perform local constraint checks”) as a note and illustrate a few representative exchanges.</w:t>
      </w:r>
    </w:p>
    <w:p>
      <w:pPr>
        <w:pStyle w:val="FirstParagraph"/>
      </w:pPr>
      <w:r>
        <w:t xml:space="preserve">Splitting ensures diagrams remain within cognitive limits. Cognitive research indicates that readability drops sharply when diagrams have more than</w:t>
      </w:r>
      <w:r>
        <w:t xml:space="preserve"> </w:t>
      </w:r>
      <w:r>
        <w:rPr>
          <w:b/>
          <w:bCs/>
        </w:rPr>
        <w:t xml:space="preserve">about eight parallel branches or large breadth</w:t>
      </w:r>
      <w:hyperlink r:id="rId23">
        <w:r>
          <w:rPr>
            <w:rStyle w:val="Hyperlink"/>
          </w:rPr>
          <w:t xml:space="preserve">[5]</w:t>
        </w:r>
      </w:hyperlink>
      <w:r>
        <w:t xml:space="preserve">. Combining splitting with progressive disclosure will maintain clarity.</w:t>
      </w:r>
    </w:p>
    <w:bookmarkEnd w:id="31"/>
    <w:bookmarkStart w:id="33" w:name="use-virtualization-for-large-galleries"/>
    <w:p>
      <w:pPr>
        <w:pStyle w:val="Heading3"/>
      </w:pPr>
      <w:r>
        <w:t xml:space="preserve">2.3 Use virtualization for large galleries</w:t>
      </w:r>
    </w:p>
    <w:p>
      <w:pPr>
        <w:pStyle w:val="FirstParagraph"/>
      </w:pPr>
      <w:r>
        <w:t xml:space="preserve">If a page needs to display dozens of diagrams (e.g., the visualization suite), incorporate</w:t>
      </w:r>
      <w:r>
        <w:t xml:space="preserve"> </w:t>
      </w:r>
      <w:r>
        <w:rPr>
          <w:b/>
          <w:bCs/>
        </w:rPr>
        <w:t xml:space="preserve">virtualisation</w:t>
      </w:r>
      <w:r>
        <w:t xml:space="preserve"> </w:t>
      </w:r>
      <w:r>
        <w:t xml:space="preserve">in the gallery component. Libraries like</w:t>
      </w:r>
      <w:r>
        <w:t xml:space="preserve"> </w:t>
      </w:r>
      <w:r>
        <w:rPr>
          <w:rStyle w:val="VerbatimChar"/>
        </w:rPr>
        <w:t xml:space="preserve">react-window</w:t>
      </w:r>
      <w:r>
        <w:t xml:space="preserve"> </w:t>
      </w:r>
      <w:r>
        <w:t xml:space="preserve">render only the items visible in the viewport, improving scroll performance</w:t>
      </w:r>
      <w:hyperlink r:id="rId32">
        <w:r>
          <w:rPr>
            <w:rStyle w:val="Hyperlink"/>
          </w:rPr>
          <w:t xml:space="preserve">[6]</w:t>
        </w:r>
      </w:hyperlink>
      <w:r>
        <w:t xml:space="preserve">. Combine with lazy‑loading of images to ensure that large diagrams do not block initial paint. Provide placeholders while high‑resolution diagrams load.</w:t>
      </w:r>
    </w:p>
    <w:bookmarkEnd w:id="33"/>
    <w:bookmarkEnd w:id="34"/>
    <w:bookmarkStart w:id="41" w:name="accessibility-and-internationalization"/>
    <w:p>
      <w:pPr>
        <w:pStyle w:val="Heading2"/>
      </w:pPr>
      <w:r>
        <w:t xml:space="preserve">3 Accessibility and Internationalization</w:t>
      </w:r>
    </w:p>
    <w:bookmarkStart w:id="35" w:name="accessible-svg-metadata"/>
    <w:p>
      <w:pPr>
        <w:pStyle w:val="Heading3"/>
      </w:pPr>
      <w:r>
        <w:t xml:space="preserve">3.1 Accessible SVG metadata</w:t>
      </w:r>
    </w:p>
    <w:p>
      <w:pPr>
        <w:pStyle w:val="FirstParagraph"/>
      </w:pPr>
      <w:r>
        <w:t xml:space="preserve">For each pre‑rendered SVG, include:</w:t>
      </w:r>
    </w:p>
    <w:p>
      <w:pPr>
        <w:pStyle w:val="Compact"/>
        <w:numPr>
          <w:ilvl w:val="0"/>
          <w:numId w:val="1006"/>
        </w:numPr>
      </w:pPr>
      <w:r>
        <w:t xml:space="preserve">A</w:t>
      </w:r>
      <w:r>
        <w:t xml:space="preserve"> </w:t>
      </w:r>
      <w:r>
        <w:rPr>
          <w:rStyle w:val="VerbatimChar"/>
        </w:rPr>
        <w:t xml:space="preserve">&lt;title&gt;</w:t>
      </w:r>
      <w:r>
        <w:t xml:space="preserve"> </w:t>
      </w:r>
      <w:r>
        <w:t xml:space="preserve">element summarising the diagram purpose (e.g., “PICAPD Worker Tier processing flow”).</w:t>
      </w:r>
    </w:p>
    <w:p>
      <w:pPr>
        <w:pStyle w:val="Compact"/>
        <w:numPr>
          <w:ilvl w:val="0"/>
          <w:numId w:val="1006"/>
        </w:numPr>
      </w:pPr>
      <w:r>
        <w:t xml:space="preserve">A</w:t>
      </w:r>
      <w:r>
        <w:t xml:space="preserve"> </w:t>
      </w:r>
      <w:r>
        <w:rPr>
          <w:rStyle w:val="VerbatimChar"/>
        </w:rPr>
        <w:t xml:space="preserve">&lt;desc&gt;</w:t>
      </w:r>
      <w:r>
        <w:t xml:space="preserve"> </w:t>
      </w:r>
      <w:r>
        <w:t xml:space="preserve">element providing a concise description of the relationships or actions depicted.</w:t>
      </w:r>
    </w:p>
    <w:p>
      <w:pPr>
        <w:pStyle w:val="FirstParagraph"/>
      </w:pPr>
      <w:r>
        <w:t xml:space="preserve">These elements allow assistive technologies to announce the diagram’s contents</w:t>
      </w:r>
      <w:hyperlink r:id="rId28">
        <w:r>
          <w:rPr>
            <w:rStyle w:val="Hyperlink"/>
          </w:rPr>
          <w:t xml:space="preserve">[3]</w:t>
        </w:r>
      </w:hyperlink>
      <w:r>
        <w:t xml:space="preserve">. Mermaid’s accessibility directives (</w:t>
      </w:r>
      <w:r>
        <w:rPr>
          <w:rStyle w:val="VerbatimChar"/>
        </w:rPr>
        <w:t xml:space="preserve">accTitle</w:t>
      </w:r>
      <w:r>
        <w:t xml:space="preserve"> </w:t>
      </w:r>
      <w:r>
        <w:t xml:space="preserve">and</w:t>
      </w:r>
      <w:r>
        <w:t xml:space="preserve"> </w:t>
      </w:r>
      <w:r>
        <w:rPr>
          <w:rStyle w:val="VerbatimChar"/>
        </w:rPr>
        <w:t xml:space="preserve">accDescr</w:t>
      </w:r>
      <w:r>
        <w:t xml:space="preserve">) can embed these descriptions directly in the source</w:t>
      </w:r>
      <w:hyperlink r:id="rId29">
        <w:r>
          <w:rPr>
            <w:rStyle w:val="Hyperlink"/>
          </w:rPr>
          <w:t xml:space="preserve">[4]</w:t>
        </w:r>
      </w:hyperlink>
      <w:r>
        <w:t xml:space="preserve">. For bilingual support, provide both English and Persian descriptions; at build time, generate a version of each SVG per language or embed both descriptions with appropriate</w:t>
      </w:r>
      <w:r>
        <w:t xml:space="preserve"> </w:t>
      </w:r>
      <w:r>
        <w:rPr>
          <w:rStyle w:val="VerbatimChar"/>
        </w:rPr>
        <w:t xml:space="preserve">lang</w:t>
      </w:r>
      <w:r>
        <w:t xml:space="preserve"> </w:t>
      </w:r>
      <w:r>
        <w:t xml:space="preserve">attributes.</w:t>
      </w:r>
    </w:p>
    <w:bookmarkEnd w:id="35"/>
    <w:bookmarkStart w:id="37" w:name="translation-and-text-expansion"/>
    <w:p>
      <w:pPr>
        <w:pStyle w:val="Heading3"/>
      </w:pPr>
      <w:r>
        <w:t xml:space="preserve">3.2 Translation and text expansion</w:t>
      </w:r>
    </w:p>
    <w:p>
      <w:pPr>
        <w:pStyle w:val="FirstParagraph"/>
      </w:pPr>
      <w:r>
        <w:t xml:space="preserve">All visible text within diagrams (labels, notes, axis titles) must be translated into Persian. Maintain a parallel set of</w:t>
      </w:r>
      <w:r>
        <w:t xml:space="preserve"> </w:t>
      </w:r>
      <w:r>
        <w:rPr>
          <w:rStyle w:val="VerbatimChar"/>
        </w:rPr>
        <w:t xml:space="preserve">.mmd</w:t>
      </w:r>
      <w:r>
        <w:t xml:space="preserve"> </w:t>
      </w:r>
      <w:r>
        <w:t xml:space="preserve">sources for each language and store their translations in</w:t>
      </w:r>
      <w:r>
        <w:t xml:space="preserve"> </w:t>
      </w:r>
      <w:r>
        <w:rPr>
          <w:rStyle w:val="VerbatimChar"/>
        </w:rPr>
        <w:t xml:space="preserve">copy.js</w:t>
      </w:r>
      <w:r>
        <w:t xml:space="preserve"> </w:t>
      </w:r>
      <w:r>
        <w:t xml:space="preserve">under appropriate keys. Avoid fixed‑width containers; Persian strings may be longer than their English counterparts, so labels should wrap naturally. The multilingual accessibility guide cautions against truncation and emphasises responsive layouts</w:t>
      </w:r>
      <w:hyperlink r:id="rId36">
        <w:r>
          <w:rPr>
            <w:rStyle w:val="Hyperlink"/>
          </w:rPr>
          <w:t xml:space="preserve">[7]</w:t>
        </w:r>
      </w:hyperlink>
      <w:r>
        <w:t xml:space="preserve">.</w:t>
      </w:r>
    </w:p>
    <w:bookmarkEnd w:id="37"/>
    <w:bookmarkStart w:id="39" w:name="handling-rtl-directionality"/>
    <w:p>
      <w:pPr>
        <w:pStyle w:val="Heading3"/>
      </w:pPr>
      <w:r>
        <w:t xml:space="preserve">3.3 Handling RTL directionality</w:t>
      </w:r>
    </w:p>
    <w:p>
      <w:pPr>
        <w:pStyle w:val="FirstParagraph"/>
      </w:pPr>
      <w:r>
        <w:t xml:space="preserve">For diagrams whose meaning depends on flow direction (e.g., left‑to‑right sequences or timelines), ensure that the Persian variant is adjusted appropriately. Use CSS logical properties for surrounding text (</w:t>
      </w:r>
      <w:r>
        <w:rPr>
          <w:rStyle w:val="VerbatimChar"/>
        </w:rPr>
        <w:t xml:space="preserve">margin-inline-start</w:t>
      </w:r>
      <w:r>
        <w:t xml:space="preserve">,</w:t>
      </w:r>
      <w:r>
        <w:t xml:space="preserve"> </w:t>
      </w:r>
      <w:r>
        <w:rPr>
          <w:rStyle w:val="VerbatimChar"/>
        </w:rPr>
        <w:t xml:space="preserve">text-align: start</w:t>
      </w:r>
      <w:r>
        <w:t xml:space="preserve">) so that diagrams align correctly when</w:t>
      </w:r>
      <w:r>
        <w:t xml:space="preserve"> </w:t>
      </w:r>
      <w:r>
        <w:rPr>
          <w:rStyle w:val="VerbatimChar"/>
        </w:rPr>
        <w:t xml:space="preserve">&lt;html dir="rtl"&gt;</w:t>
      </w:r>
      <w:r>
        <w:t xml:space="preserve"> </w:t>
      </w:r>
      <w:r>
        <w:t xml:space="preserve">is active</w:t>
      </w:r>
      <w:hyperlink r:id="rId38">
        <w:r>
          <w:rPr>
            <w:rStyle w:val="Hyperlink"/>
          </w:rPr>
          <w:t xml:space="preserve">[8]</w:t>
        </w:r>
      </w:hyperlink>
      <w:r>
        <w:t xml:space="preserve">. When mirroring could confuse the meaning (e.g., arrow direction representing time progression), render a separate Persian‑oriented SVG rather than relying on CSS to flip the graphic.</w:t>
      </w:r>
    </w:p>
    <w:bookmarkEnd w:id="39"/>
    <w:bookmarkStart w:id="40" w:name="consistency-in-design-and-colours"/>
    <w:p>
      <w:pPr>
        <w:pStyle w:val="Heading3"/>
      </w:pPr>
      <w:r>
        <w:t xml:space="preserve">3.4 Consistency in design and colours</w:t>
      </w:r>
    </w:p>
    <w:p>
      <w:pPr>
        <w:pStyle w:val="FirstParagraph"/>
      </w:pPr>
      <w:r>
        <w:t xml:space="preserve">The website uses a defined colour palette (primary, secondary, accent) and spacing scale. When pre‑rendering diagrams, configure Mermaid’s theme to match these tokens. For example, set</w:t>
      </w:r>
      <w:r>
        <w:t xml:space="preserve"> </w:t>
      </w:r>
      <w:r>
        <w:rPr>
          <w:rStyle w:val="VerbatimChar"/>
        </w:rPr>
        <w:t xml:space="preserve">--color-primary</w:t>
      </w:r>
      <w:r>
        <w:t xml:space="preserve"> </w:t>
      </w:r>
      <w:r>
        <w:t xml:space="preserve">to</w:t>
      </w:r>
      <w:r>
        <w:t xml:space="preserve"> </w:t>
      </w:r>
      <w:r>
        <w:rPr>
          <w:rStyle w:val="VerbatimChar"/>
        </w:rPr>
        <w:t xml:space="preserve">#FF6B35</w:t>
      </w:r>
      <w:r>
        <w:t xml:space="preserve"> </w:t>
      </w:r>
      <w:r>
        <w:t xml:space="preserve">for highlighted nodes and</w:t>
      </w:r>
      <w:r>
        <w:t xml:space="preserve"> </w:t>
      </w:r>
      <w:r>
        <w:rPr>
          <w:rStyle w:val="VerbatimChar"/>
        </w:rPr>
        <w:t xml:space="preserve">--color-secondary</w:t>
      </w:r>
      <w:r>
        <w:t xml:space="preserve"> </w:t>
      </w:r>
      <w:r>
        <w:t xml:space="preserve">to</w:t>
      </w:r>
      <w:r>
        <w:t xml:space="preserve"> </w:t>
      </w:r>
      <w:r>
        <w:rPr>
          <w:rStyle w:val="VerbatimChar"/>
        </w:rPr>
        <w:t xml:space="preserve">#004E89</w:t>
      </w:r>
      <w:r>
        <w:t xml:space="preserve"> </w:t>
      </w:r>
      <w:r>
        <w:t xml:space="preserve">for secondary elements. Ensure contrast ratios meet WCAG standards; maintain high‑contrast mode options for users who require them.</w:t>
      </w:r>
    </w:p>
    <w:bookmarkEnd w:id="40"/>
    <w:bookmarkEnd w:id="41"/>
    <w:bookmarkStart w:id="45" w:name="X0120f928b1d6a46f25730a6994108049365489b"/>
    <w:p>
      <w:pPr>
        <w:pStyle w:val="Heading2"/>
      </w:pPr>
      <w:r>
        <w:t xml:space="preserve">4 Schema Integration and Content Management</w:t>
      </w:r>
    </w:p>
    <w:bookmarkStart w:id="42" w:name="X9e8106fd3a0dfaaa57db09f24e726176a859a1d"/>
    <w:p>
      <w:pPr>
        <w:pStyle w:val="Heading3"/>
      </w:pPr>
      <w:r>
        <w:t xml:space="preserve">4.1 Mapping diagrams to the unified asset model</w:t>
      </w:r>
    </w:p>
    <w:p>
      <w:pPr>
        <w:pStyle w:val="FirstParagraph"/>
      </w:pPr>
      <w:r>
        <w:t xml:space="preserve">Use the unified asset schema (Section 3.1 of the website plan) to model each diagram:</w:t>
      </w:r>
    </w:p>
    <w:p>
      <w:pPr>
        <w:pStyle w:val="Compact"/>
        <w:numPr>
          <w:ilvl w:val="0"/>
          <w:numId w:val="1007"/>
        </w:numPr>
      </w:pPr>
      <w:r>
        <w:rPr>
          <w:b/>
          <w:bCs/>
        </w:rPr>
        <w:t xml:space="preserve">Asset</w:t>
      </w:r>
      <w:r>
        <w:t xml:space="preserve">: assign a stable</w:t>
      </w:r>
      <w:r>
        <w:t xml:space="preserve"> </w:t>
      </w:r>
      <w:r>
        <w:rPr>
          <w:rStyle w:val="VerbatimChar"/>
        </w:rPr>
        <w:t xml:space="preserve">assetId</w:t>
      </w:r>
      <w:r>
        <w:t xml:space="preserve">, descriptive</w:t>
      </w:r>
      <w:r>
        <w:t xml:space="preserve"> </w:t>
      </w:r>
      <w:r>
        <w:rPr>
          <w:rStyle w:val="VerbatimChar"/>
        </w:rPr>
        <w:t xml:space="preserve">title</w:t>
      </w:r>
      <w:r>
        <w:t xml:space="preserve"> </w:t>
      </w:r>
      <w:r>
        <w:t xml:space="preserve">and</w:t>
      </w:r>
      <w:r>
        <w:t xml:space="preserve"> </w:t>
      </w:r>
      <w:r>
        <w:rPr>
          <w:rStyle w:val="VerbatimChar"/>
        </w:rPr>
        <w:t xml:space="preserve">summary</w:t>
      </w:r>
      <w:r>
        <w:t xml:space="preserve"> </w:t>
      </w:r>
      <w:r>
        <w:t xml:space="preserve">(both translated),</w:t>
      </w:r>
      <w:r>
        <w:t xml:space="preserve"> </w:t>
      </w:r>
      <w:r>
        <w:rPr>
          <w:rStyle w:val="VerbatimChar"/>
        </w:rPr>
        <w:t xml:space="preserve">type="image"</w:t>
      </w:r>
      <w:r>
        <w:t xml:space="preserve">, tags such as</w:t>
      </w:r>
      <w:r>
        <w:t xml:space="preserve"> </w:t>
      </w:r>
      <w:r>
        <w:rPr>
          <w:rStyle w:val="VerbatimChar"/>
        </w:rPr>
        <w:t xml:space="preserve">isa</w:t>
      </w:r>
      <w:r>
        <w:t xml:space="preserve">,</w:t>
      </w:r>
      <w:r>
        <w:t xml:space="preserve"> </w:t>
      </w:r>
      <w:r>
        <w:rPr>
          <w:rStyle w:val="VerbatimChar"/>
        </w:rPr>
        <w:t xml:space="preserve">flowchart</w:t>
      </w:r>
      <w:r>
        <w:t xml:space="preserve">,</w:t>
      </w:r>
      <w:r>
        <w:t xml:space="preserve"> </w:t>
      </w:r>
      <w:r>
        <w:rPr>
          <w:rStyle w:val="VerbatimChar"/>
        </w:rPr>
        <w:t xml:space="preserve">state</w:t>
      </w:r>
      <w:r>
        <w:t xml:space="preserve">,</w:t>
      </w:r>
      <w:r>
        <w:t xml:space="preserve"> </w:t>
      </w:r>
      <w:r>
        <w:rPr>
          <w:rStyle w:val="VerbatimChar"/>
        </w:rPr>
        <w:t xml:space="preserve">performance</w:t>
      </w:r>
      <w:r>
        <w:t xml:space="preserve"> </w:t>
      </w:r>
      <w:r>
        <w:t xml:space="preserve">etc., and</w:t>
      </w:r>
      <w:r>
        <w:t xml:space="preserve"> </w:t>
      </w:r>
      <w:r>
        <w:rPr>
          <w:rStyle w:val="VerbatimChar"/>
        </w:rPr>
        <w:t xml:space="preserve">collectionId</w:t>
      </w:r>
      <w:r>
        <w:t xml:space="preserve"> </w:t>
      </w:r>
      <w:r>
        <w:t xml:space="preserve">corresponding to the document. Set</w:t>
      </w:r>
      <w:r>
        <w:t xml:space="preserve"> </w:t>
      </w:r>
      <w:r>
        <w:rPr>
          <w:rStyle w:val="VerbatimChar"/>
        </w:rPr>
        <w:t xml:space="preserve">visibility</w:t>
      </w:r>
      <w:r>
        <w:t xml:space="preserve"> </w:t>
      </w:r>
      <w:r>
        <w:t xml:space="preserve">appropriately (e.g.,</w:t>
      </w:r>
      <w:r>
        <w:t xml:space="preserve"> </w:t>
      </w:r>
      <w:r>
        <w:rPr>
          <w:rStyle w:val="VerbatimChar"/>
        </w:rPr>
        <w:t xml:space="preserve">internal</w:t>
      </w:r>
      <w:r>
        <w:t xml:space="preserve"> </w:t>
      </w:r>
      <w:r>
        <w:t xml:space="preserve">until publication). Provide a</w:t>
      </w:r>
      <w:r>
        <w:t xml:space="preserve"> </w:t>
      </w:r>
      <w:r>
        <w:rPr>
          <w:rStyle w:val="VerbatimChar"/>
        </w:rPr>
        <w:t xml:space="preserve">language</w:t>
      </w:r>
      <w:r>
        <w:t xml:space="preserve"> </w:t>
      </w:r>
      <w:r>
        <w:t xml:space="preserve">field and licensing information.</w:t>
      </w:r>
    </w:p>
    <w:p>
      <w:pPr>
        <w:pStyle w:val="Compact"/>
        <w:numPr>
          <w:ilvl w:val="0"/>
          <w:numId w:val="1007"/>
        </w:numPr>
      </w:pPr>
      <w:r>
        <w:rPr>
          <w:b/>
          <w:bCs/>
        </w:rPr>
        <w:t xml:space="preserve">Artifact</w:t>
      </w:r>
      <w:r>
        <w:t xml:space="preserve">: for each language variant and version of a diagram, create an artifact with</w:t>
      </w:r>
      <w:r>
        <w:t xml:space="preserve"> </w:t>
      </w:r>
      <w:r>
        <w:rPr>
          <w:rStyle w:val="VerbatimChar"/>
        </w:rPr>
        <w:t xml:space="preserve">versionLabel</w:t>
      </w:r>
      <w:r>
        <w:t xml:space="preserve"> </w:t>
      </w:r>
      <w:r>
        <w:t xml:space="preserve">(e.g.,</w:t>
      </w:r>
      <w:r>
        <w:t xml:space="preserve"> </w:t>
      </w:r>
      <w:r>
        <w:rPr>
          <w:rStyle w:val="VerbatimChar"/>
        </w:rPr>
        <w:t xml:space="preserve">v1.0-en</w:t>
      </w:r>
      <w:r>
        <w:t xml:space="preserve">,</w:t>
      </w:r>
      <w:r>
        <w:t xml:space="preserve"> </w:t>
      </w:r>
      <w:r>
        <w:rPr>
          <w:rStyle w:val="VerbatimChar"/>
        </w:rPr>
        <w:t xml:space="preserve">v1.0-fa</w:t>
      </w:r>
      <w:r>
        <w:t xml:space="preserve">),</w:t>
      </w:r>
      <w:r>
        <w:t xml:space="preserve"> </w:t>
      </w:r>
      <w:r>
        <w:rPr>
          <w:rStyle w:val="VerbatimChar"/>
        </w:rPr>
        <w:t xml:space="preserve">contentRef</w:t>
      </w:r>
      <w:r>
        <w:t xml:space="preserve"> </w:t>
      </w:r>
      <w:r>
        <w:t xml:space="preserve">pointing to the SVG/PNG file,</w:t>
      </w:r>
      <w:r>
        <w:t xml:space="preserve"> </w:t>
      </w:r>
      <w:r>
        <w:rPr>
          <w:rStyle w:val="VerbatimChar"/>
        </w:rPr>
        <w:t xml:space="preserve">checksum</w:t>
      </w:r>
      <w:r>
        <w:t xml:space="preserve"> </w:t>
      </w:r>
      <w:r>
        <w:t xml:space="preserve">for integrity, and a</w:t>
      </w:r>
      <w:r>
        <w:t xml:space="preserve"> </w:t>
      </w:r>
      <w:r>
        <w:rPr>
          <w:rStyle w:val="VerbatimChar"/>
        </w:rPr>
        <w:t xml:space="preserve">renderProfileId</w:t>
      </w:r>
      <w:r>
        <w:t xml:space="preserve"> </w:t>
      </w:r>
      <w:r>
        <w:t xml:space="preserve">referencing the Mermaid CLI version used. Store any derived thumbnails or compressed images in</w:t>
      </w:r>
      <w:r>
        <w:t xml:space="preserve"> </w:t>
      </w:r>
      <w:r>
        <w:rPr>
          <w:rStyle w:val="VerbatimChar"/>
        </w:rPr>
        <w:t xml:space="preserve">derivedRenders</w:t>
      </w:r>
      <w:r>
        <w:t xml:space="preserve">.</w:t>
      </w:r>
    </w:p>
    <w:p>
      <w:pPr>
        <w:pStyle w:val="Compact"/>
        <w:numPr>
          <w:ilvl w:val="0"/>
          <w:numId w:val="1007"/>
        </w:numPr>
      </w:pPr>
      <w:r>
        <w:rPr>
          <w:b/>
          <w:bCs/>
        </w:rPr>
        <w:t xml:space="preserve">Dependency</w:t>
      </w:r>
      <w:r>
        <w:t xml:space="preserve">: record the Mermaid runtime version used to render each diagram. If diagrams leverage additional libraries (e.g.,</w:t>
      </w:r>
      <w:r>
        <w:t xml:space="preserve"> </w:t>
      </w:r>
      <w:r>
        <w:rPr>
          <w:rStyle w:val="VerbatimChar"/>
        </w:rPr>
        <w:t xml:space="preserve">@mermaid-js/gantt</w:t>
      </w:r>
      <w:r>
        <w:t xml:space="preserve">,</w:t>
      </w:r>
      <w:r>
        <w:t xml:space="preserve"> </w:t>
      </w:r>
      <w:r>
        <w:rPr>
          <w:rStyle w:val="VerbatimChar"/>
        </w:rPr>
        <w:t xml:space="preserve">katex</w:t>
      </w:r>
      <w:r>
        <w:t xml:space="preserve"> </w:t>
      </w:r>
      <w:r>
        <w:t xml:space="preserve">for math), include these dependencies with pinned versions. Provide</w:t>
      </w:r>
      <w:r>
        <w:t xml:space="preserve"> </w:t>
      </w:r>
      <w:r>
        <w:rPr>
          <w:rStyle w:val="VerbatimChar"/>
        </w:rPr>
        <w:t xml:space="preserve">reason</w:t>
      </w:r>
      <w:r>
        <w:t xml:space="preserve"> </w:t>
      </w:r>
      <w:r>
        <w:t xml:space="preserve">and</w:t>
      </w:r>
      <w:r>
        <w:t xml:space="preserve"> </w:t>
      </w:r>
      <w:r>
        <w:rPr>
          <w:rStyle w:val="VerbatimChar"/>
        </w:rPr>
        <w:t xml:space="preserve">riskFlags</w:t>
      </w:r>
      <w:r>
        <w:t xml:space="preserve"> </w:t>
      </w:r>
      <w:r>
        <w:t xml:space="preserve">(e.g., remote fetch, eval-like). Although the site pre-renders diagrams, capturing dependencies helps reproduce rendering in future.</w:t>
      </w:r>
    </w:p>
    <w:p>
      <w:pPr>
        <w:pStyle w:val="Compact"/>
        <w:numPr>
          <w:ilvl w:val="0"/>
          <w:numId w:val="1007"/>
        </w:numPr>
      </w:pPr>
      <w:r>
        <w:rPr>
          <w:b/>
          <w:bCs/>
        </w:rPr>
        <w:t xml:space="preserve">Annotation</w:t>
      </w:r>
      <w:r>
        <w:t xml:space="preserve">: allow authors or reviewers to add explanatory notes or highlight important transitions in diagrams. The system should support private/team/public annotations, linking them to coordinates in the SVG.</w:t>
      </w:r>
    </w:p>
    <w:bookmarkEnd w:id="42"/>
    <w:bookmarkStart w:id="43" w:name="content-in-copy.js"/>
    <w:p>
      <w:pPr>
        <w:pStyle w:val="Heading3"/>
      </w:pPr>
      <w:r>
        <w:t xml:space="preserve">4.2 Content in</w:t>
      </w:r>
      <w:r>
        <w:t xml:space="preserve"> </w:t>
      </w:r>
      <w:r>
        <w:rPr>
          <w:rStyle w:val="VerbatimChar"/>
        </w:rPr>
        <w:t xml:space="preserve">copy.js</w:t>
      </w:r>
    </w:p>
    <w:p>
      <w:pPr>
        <w:pStyle w:val="FirstParagraph"/>
      </w:pPr>
      <w:r>
        <w:t xml:space="preserve">Place all translated text (titles, descriptions, axis labels, legend entries) in</w:t>
      </w:r>
      <w:r>
        <w:t xml:space="preserve"> </w:t>
      </w:r>
      <w:r>
        <w:rPr>
          <w:rStyle w:val="VerbatimChar"/>
        </w:rPr>
        <w:t xml:space="preserve">src/data/copy.js</w:t>
      </w:r>
      <w:r>
        <w:t xml:space="preserve"> </w:t>
      </w:r>
      <w:r>
        <w:t xml:space="preserve">under structured keys. Use descriptive names following existing conventions:</w:t>
      </w:r>
    </w:p>
    <w:p>
      <w:pPr>
        <w:pStyle w:val="SourceCode"/>
      </w:pPr>
      <w:r>
        <w:rPr>
          <w:rStyle w:val="VerbatimChar"/>
        </w:rPr>
        <w:t xml:space="preserve">copy.en.picapd_visuals.systemOverview = {</w:t>
      </w:r>
      <w:r>
        <w:br/>
      </w:r>
      <w:r>
        <w:rPr>
          <w:rStyle w:val="VerbatimChar"/>
        </w:rPr>
        <w:t xml:space="preserve">  title: "System-Level Architecture", // h2</w:t>
      </w:r>
      <w:r>
        <w:br/>
      </w:r>
      <w:r>
        <w:rPr>
          <w:rStyle w:val="VerbatimChar"/>
        </w:rPr>
        <w:t xml:space="preserve">  alt: "Stack diagram showing application, agent governance, computational, hardware and physical layers", // alt text for SVG</w:t>
      </w:r>
      <w:r>
        <w:br/>
      </w:r>
      <w:r>
        <w:rPr>
          <w:rStyle w:val="VerbatimChar"/>
        </w:rPr>
        <w:t xml:space="preserve">  description: "This diagram illustrates…", // longer description if needed</w:t>
      </w:r>
      <w:r>
        <w:br/>
      </w:r>
      <w:r>
        <w:rPr>
          <w:rStyle w:val="VerbatimChar"/>
        </w:rPr>
        <w:t xml:space="preserve">  …</w:t>
      </w:r>
      <w:r>
        <w:br/>
      </w:r>
      <w:r>
        <w:rPr>
          <w:rStyle w:val="VerbatimChar"/>
        </w:rPr>
        <w:t xml:space="preserve">};</w:t>
      </w:r>
      <w:r>
        <w:br/>
      </w:r>
      <w:r>
        <w:rPr>
          <w:rStyle w:val="VerbatimChar"/>
        </w:rPr>
        <w:t xml:space="preserve">copy.fa.picapd_visuals.systemOverview = {</w:t>
      </w:r>
      <w:r>
        <w:br/>
      </w:r>
      <w:r>
        <w:rPr>
          <w:rStyle w:val="VerbatimChar"/>
        </w:rPr>
        <w:t xml:space="preserve">  title: "معماری سطح سیستم",</w:t>
      </w:r>
      <w:r>
        <w:br/>
      </w:r>
      <w:r>
        <w:rPr>
          <w:rStyle w:val="VerbatimChar"/>
        </w:rPr>
        <w:t xml:space="preserve">  alt: "نمودار پشته که لایه‌های برنامه، حاکمیت عامل، محاسباتی، سخت‌افزاری و فیزیکی را نشان می‌دهد",</w:t>
      </w:r>
      <w:r>
        <w:br/>
      </w:r>
      <w:r>
        <w:rPr>
          <w:rStyle w:val="VerbatimChar"/>
        </w:rPr>
        <w:t xml:space="preserve">  description: "این نمودار نشان می‌دهد…",</w:t>
      </w:r>
      <w:r>
        <w:br/>
      </w:r>
      <w:r>
        <w:rPr>
          <w:rStyle w:val="VerbatimChar"/>
        </w:rPr>
        <w:t xml:space="preserve">  …</w:t>
      </w:r>
      <w:r>
        <w:br/>
      </w:r>
      <w:r>
        <w:rPr>
          <w:rStyle w:val="VerbatimChar"/>
        </w:rPr>
        <w:t xml:space="preserve">};</w:t>
      </w:r>
    </w:p>
    <w:p>
      <w:pPr>
        <w:pStyle w:val="FirstParagraph"/>
      </w:pPr>
      <w:r>
        <w:t xml:space="preserve">Refer to these keys from page components via</w:t>
      </w:r>
      <w:r>
        <w:t xml:space="preserve"> </w:t>
      </w:r>
      <w:r>
        <w:rPr>
          <w:rStyle w:val="VerbatimChar"/>
        </w:rPr>
        <w:t xml:space="preserve">t = copy[lang].picapd_visuals.systemOverview</w:t>
      </w:r>
      <w:r>
        <w:t xml:space="preserve"> </w:t>
      </w:r>
      <w:r>
        <w:t xml:space="preserve">and pass the values to</w:t>
      </w:r>
      <w:r>
        <w:t xml:space="preserve"> </w:t>
      </w:r>
      <w:r>
        <w:rPr>
          <w:rStyle w:val="VerbatimChar"/>
        </w:rPr>
        <w:t xml:space="preserve">Hero</w:t>
      </w:r>
      <w:r>
        <w:t xml:space="preserve">,</w:t>
      </w:r>
      <w:r>
        <w:t xml:space="preserve"> </w:t>
      </w:r>
      <w:r>
        <w:rPr>
          <w:rStyle w:val="VerbatimChar"/>
        </w:rPr>
        <w:t xml:space="preserve">SectionBlock</w:t>
      </w:r>
      <w:r>
        <w:t xml:space="preserve"> </w:t>
      </w:r>
      <w:r>
        <w:t xml:space="preserve">or a custom</w:t>
      </w:r>
      <w:r>
        <w:t xml:space="preserve"> </w:t>
      </w:r>
      <w:r>
        <w:rPr>
          <w:rStyle w:val="VerbatimChar"/>
        </w:rPr>
        <w:t xml:space="preserve">DiagramViewer</w:t>
      </w:r>
      <w:r>
        <w:t xml:space="preserve"> </w:t>
      </w:r>
      <w:r>
        <w:t xml:space="preserve">component that renders the correct SVG for the current language.</w:t>
      </w:r>
    </w:p>
    <w:bookmarkEnd w:id="43"/>
    <w:bookmarkStart w:id="44" w:name="version-control-and-reproducibility"/>
    <w:p>
      <w:pPr>
        <w:pStyle w:val="Heading3"/>
      </w:pPr>
      <w:r>
        <w:t xml:space="preserve">4.3 Version control and reproducibility</w:t>
      </w:r>
    </w:p>
    <w:p>
      <w:pPr>
        <w:pStyle w:val="FirstParagraph"/>
      </w:pPr>
      <w:r>
        <w:t xml:space="preserve">Keep all</w:t>
      </w:r>
      <w:r>
        <w:t xml:space="preserve"> </w:t>
      </w:r>
      <w:r>
        <w:rPr>
          <w:rStyle w:val="VerbatimChar"/>
        </w:rPr>
        <w:t xml:space="preserve">.mmd</w:t>
      </w:r>
      <w:r>
        <w:t xml:space="preserve"> </w:t>
      </w:r>
      <w:r>
        <w:t xml:space="preserve">sources under version control (e.g.,</w:t>
      </w:r>
      <w:r>
        <w:t xml:space="preserve"> </w:t>
      </w:r>
      <w:r>
        <w:rPr>
          <w:rStyle w:val="VerbatimChar"/>
        </w:rPr>
        <w:t xml:space="preserve">src/assets/mermaid/</w:t>
      </w:r>
      <w:r>
        <w:t xml:space="preserve">). Name files using a slug and version (</w:t>
      </w:r>
      <w:r>
        <w:rPr>
          <w:rStyle w:val="VerbatimChar"/>
        </w:rPr>
        <w:t xml:space="preserve">hierarchical_processing_v1_en.mmd</w:t>
      </w:r>
      <w:r>
        <w:t xml:space="preserve">). Document the Mermaid runtime version and CLI options in a</w:t>
      </w:r>
      <w:r>
        <w:t xml:space="preserve"> </w:t>
      </w:r>
      <w:r>
        <w:rPr>
          <w:rStyle w:val="VerbatimChar"/>
        </w:rPr>
        <w:t xml:space="preserve">manifest.yml</w:t>
      </w:r>
      <w:r>
        <w:t xml:space="preserve"> </w:t>
      </w:r>
      <w:r>
        <w:t xml:space="preserve">file alongside each diagram. This enables reproducibility and ensures that future updates can be built consistently. Provide a script (</w:t>
      </w:r>
      <w:r>
        <w:rPr>
          <w:rStyle w:val="VerbatimChar"/>
        </w:rPr>
        <w:t xml:space="preserve">npm run render-diagrams</w:t>
      </w:r>
      <w:r>
        <w:t xml:space="preserve">) that iterates over the</w:t>
      </w:r>
      <w:r>
        <w:t xml:space="preserve"> </w:t>
      </w:r>
      <w:r>
        <w:rPr>
          <w:rStyle w:val="VerbatimChar"/>
        </w:rPr>
        <w:t xml:space="preserve">.mmd</w:t>
      </w:r>
      <w:r>
        <w:t xml:space="preserve"> </w:t>
      </w:r>
      <w:r>
        <w:t xml:space="preserve">files and generates SVG/PNG outputs with accessibility metadata.</w:t>
      </w:r>
    </w:p>
    <w:bookmarkEnd w:id="44"/>
    <w:bookmarkEnd w:id="45"/>
    <w:bookmarkStart w:id="46" w:name="realtime-data-and-interactive-components"/>
    <w:p>
      <w:pPr>
        <w:pStyle w:val="Heading2"/>
      </w:pPr>
      <w:r>
        <w:t xml:space="preserve">5 Real‑Time Data and Interactive Components</w:t>
      </w:r>
    </w:p>
    <w:p>
      <w:pPr>
        <w:pStyle w:val="FirstParagraph"/>
      </w:pPr>
      <w:r>
        <w:t xml:space="preserve">Some diagrams in the visualization suite (e.g., performance trend lines, gantt heatmaps) are conceptually dynamic. For the static website, consider two modes:</w:t>
      </w:r>
    </w:p>
    <w:p>
      <w:pPr>
        <w:pStyle w:val="Compact"/>
        <w:numPr>
          <w:ilvl w:val="0"/>
          <w:numId w:val="1008"/>
        </w:numPr>
      </w:pPr>
      <w:r>
        <w:rPr>
          <w:b/>
          <w:bCs/>
        </w:rPr>
        <w:t xml:space="preserve">Static baseline</w:t>
      </w:r>
      <w:r>
        <w:t xml:space="preserve">: Pre‑render the diagrams with placeholder data (e.g., typical throughput or latency distributions). Use alt text to describe that the values are illustrative.</w:t>
      </w:r>
    </w:p>
    <w:p>
      <w:pPr>
        <w:pStyle w:val="Compact"/>
        <w:numPr>
          <w:ilvl w:val="0"/>
          <w:numId w:val="1008"/>
        </w:numPr>
      </w:pPr>
      <w:r>
        <w:rPr>
          <w:b/>
          <w:bCs/>
        </w:rPr>
        <w:t xml:space="preserve">Interactive embedding</w:t>
      </w:r>
      <w:r>
        <w:t xml:space="preserve">: For pages that will be updated with live telemetry in future, define a reusable</w:t>
      </w:r>
      <w:r>
        <w:t xml:space="preserve"> </w:t>
      </w:r>
      <w:r>
        <w:rPr>
          <w:rStyle w:val="VerbatimChar"/>
        </w:rPr>
        <w:t xml:space="preserve">Chart</w:t>
      </w:r>
      <w:r>
        <w:t xml:space="preserve"> </w:t>
      </w:r>
      <w:r>
        <w:t xml:space="preserve">component that receives data via props and uses a lightweight charting library (e.g., Chart.js). Ensure the component supports RTL layouts and is accessible (e.g., ARIA roles, descriptive labels). Provide fallback static images when JavaScript is disabled.</w:t>
      </w:r>
    </w:p>
    <w:p>
      <w:pPr>
        <w:pStyle w:val="FirstParagraph"/>
      </w:pPr>
      <w:r>
        <w:t xml:space="preserve">Because the site currently has no API layer, dynamic updates would require exporting telemetry as static JSON files during build or injecting metrics via environment variables at deployment time. Plan for this by designing the</w:t>
      </w:r>
      <w:r>
        <w:t xml:space="preserve"> </w:t>
      </w:r>
      <w:r>
        <w:rPr>
          <w:rStyle w:val="VerbatimChar"/>
        </w:rPr>
        <w:t xml:space="preserve">Chart</w:t>
      </w:r>
      <w:r>
        <w:t xml:space="preserve"> </w:t>
      </w:r>
      <w:r>
        <w:t xml:space="preserve">component to load data from</w:t>
      </w:r>
      <w:r>
        <w:t xml:space="preserve"> </w:t>
      </w:r>
      <w:r>
        <w:rPr>
          <w:rStyle w:val="VerbatimChar"/>
        </w:rPr>
        <w:t xml:space="preserve">public/data/metrics.json</w:t>
      </w:r>
      <w:r>
        <w:t xml:space="preserve"> </w:t>
      </w:r>
      <w:r>
        <w:t xml:space="preserve">and to display appropriate messages when data is unavailable.</w:t>
      </w:r>
    </w:p>
    <w:bookmarkEnd w:id="46"/>
    <w:bookmarkStart w:id="47" w:name="implementation-steps"/>
    <w:p>
      <w:pPr>
        <w:pStyle w:val="Heading2"/>
      </w:pPr>
      <w:r>
        <w:t xml:space="preserve">6 Implementation Steps</w:t>
      </w:r>
    </w:p>
    <w:p>
      <w:pPr>
        <w:pStyle w:val="FirstParagraph"/>
      </w:pPr>
      <w:r>
        <w:t xml:space="preserve">The following sequence summarises the concrete actions required to integrate the PICAPD materials into the website:</w:t>
      </w:r>
    </w:p>
    <w:p>
      <w:pPr>
        <w:pStyle w:val="Compact"/>
        <w:numPr>
          <w:ilvl w:val="0"/>
          <w:numId w:val="1009"/>
        </w:numPr>
      </w:pPr>
      <w:r>
        <w:rPr>
          <w:b/>
          <w:bCs/>
        </w:rPr>
        <w:t xml:space="preserve">Audit diagrams</w:t>
      </w:r>
      <w:r>
        <w:t xml:space="preserve">: Review all</w:t>
      </w:r>
      <w:r>
        <w:t xml:space="preserve"> </w:t>
      </w:r>
      <w:r>
        <w:rPr>
          <w:rStyle w:val="VerbatimChar"/>
        </w:rPr>
        <w:t xml:space="preserve">.md</w:t>
      </w:r>
      <w:r>
        <w:t xml:space="preserve"> </w:t>
      </w:r>
      <w:r>
        <w:t xml:space="preserve">documents and extract every Mermaid code block. Identify diagrams exceeding the complexity threshold or requiring language-specific variants. Decide which diagrams need splitting or summarisation.</w:t>
      </w:r>
    </w:p>
    <w:p>
      <w:pPr>
        <w:pStyle w:val="Compact"/>
        <w:numPr>
          <w:ilvl w:val="0"/>
          <w:numId w:val="1009"/>
        </w:numPr>
      </w:pPr>
      <w:r>
        <w:rPr>
          <w:b/>
          <w:bCs/>
        </w:rPr>
        <w:t xml:space="preserve">Translate</w:t>
      </w:r>
      <w:r>
        <w:t xml:space="preserve">: For each diagram, translate all labels, node text and captions into Persian. Create separate</w:t>
      </w:r>
      <w:r>
        <w:t xml:space="preserve"> </w:t>
      </w:r>
      <w:r>
        <w:rPr>
          <w:rStyle w:val="VerbatimChar"/>
        </w:rPr>
        <w:t xml:space="preserve">.mmd</w:t>
      </w:r>
      <w:r>
        <w:t xml:space="preserve"> </w:t>
      </w:r>
      <w:r>
        <w:t xml:space="preserve">files for each language if layout must change (e.g., directionality). Store translated strings in</w:t>
      </w:r>
      <w:r>
        <w:t xml:space="preserve"> </w:t>
      </w:r>
      <w:r>
        <w:rPr>
          <w:rStyle w:val="VerbatimChar"/>
        </w:rPr>
        <w:t xml:space="preserve">copy.js</w:t>
      </w:r>
      <w:r>
        <w:t xml:space="preserve">.</w:t>
      </w:r>
    </w:p>
    <w:p>
      <w:pPr>
        <w:pStyle w:val="Compact"/>
        <w:numPr>
          <w:ilvl w:val="0"/>
          <w:numId w:val="1009"/>
        </w:numPr>
      </w:pPr>
      <w:r>
        <w:rPr>
          <w:b/>
          <w:bCs/>
        </w:rPr>
        <w:t xml:space="preserve">Render diagrams</w:t>
      </w:r>
      <w:r>
        <w:t xml:space="preserve">: Use</w:t>
      </w:r>
      <w:r>
        <w:t xml:space="preserve"> </w:t>
      </w:r>
      <w:r>
        <w:rPr>
          <w:rStyle w:val="VerbatimChar"/>
        </w:rPr>
        <w:t xml:space="preserve">@mermaid-js/mermaid-cli</w:t>
      </w:r>
      <w:r>
        <w:t xml:space="preserve"> </w:t>
      </w:r>
      <w:r>
        <w:t xml:space="preserve">at a pinned version to pre‑render each</w:t>
      </w:r>
      <w:r>
        <w:t xml:space="preserve"> </w:t>
      </w:r>
      <w:r>
        <w:rPr>
          <w:rStyle w:val="VerbatimChar"/>
        </w:rPr>
        <w:t xml:space="preserve">.mmd</w:t>
      </w:r>
      <w:r>
        <w:t xml:space="preserve"> </w:t>
      </w:r>
      <w:r>
        <w:t xml:space="preserve">into both SVG and PNG formats. Pass</w:t>
      </w:r>
      <w:r>
        <w:t xml:space="preserve"> </w:t>
      </w:r>
      <w:r>
        <w:rPr>
          <w:rStyle w:val="VerbatimChar"/>
        </w:rPr>
        <w:t xml:space="preserve">--backgroundColor transparent</w:t>
      </w:r>
      <w:r>
        <w:t xml:space="preserve"> </w:t>
      </w:r>
      <w:r>
        <w:t xml:space="preserve">and</w:t>
      </w:r>
      <w:r>
        <w:t xml:space="preserve"> </w:t>
      </w:r>
      <w:r>
        <w:rPr>
          <w:rStyle w:val="VerbatimChar"/>
        </w:rPr>
        <w:t xml:space="preserve">--accessibility</w:t>
      </w:r>
      <w:r>
        <w:t xml:space="preserve"> </w:t>
      </w:r>
      <w:r>
        <w:t xml:space="preserve">flags to embed alt text and accessible titles. Apply a custom theme matching the site’s design tokens.</w:t>
      </w:r>
    </w:p>
    <w:p>
      <w:pPr>
        <w:pStyle w:val="Compact"/>
        <w:numPr>
          <w:ilvl w:val="0"/>
          <w:numId w:val="1009"/>
        </w:numPr>
      </w:pPr>
      <w:r>
        <w:rPr>
          <w:b/>
          <w:bCs/>
        </w:rPr>
        <w:t xml:space="preserve">Insert into assets</w:t>
      </w:r>
      <w:r>
        <w:t xml:space="preserve">: Save rendered images under</w:t>
      </w:r>
      <w:r>
        <w:t xml:space="preserve"> </w:t>
      </w:r>
      <w:r>
        <w:rPr>
          <w:rStyle w:val="VerbatimChar"/>
        </w:rPr>
        <w:t xml:space="preserve">public/assets/diagrams/</w:t>
      </w:r>
      <w:r>
        <w:t xml:space="preserve">. Update</w:t>
      </w:r>
      <w:r>
        <w:t xml:space="preserve"> </w:t>
      </w:r>
      <w:r>
        <w:rPr>
          <w:rStyle w:val="VerbatimChar"/>
        </w:rPr>
        <w:t xml:space="preserve">copy.js</w:t>
      </w:r>
      <w:r>
        <w:t xml:space="preserve"> </w:t>
      </w:r>
      <w:r>
        <w:t xml:space="preserve">entries with</w:t>
      </w:r>
      <w:r>
        <w:t xml:space="preserve"> </w:t>
      </w:r>
      <w:r>
        <w:rPr>
          <w:rStyle w:val="VerbatimChar"/>
        </w:rPr>
        <w:t xml:space="preserve">src</w:t>
      </w:r>
      <w:r>
        <w:t xml:space="preserve"> </w:t>
      </w:r>
      <w:r>
        <w:t xml:space="preserve">fields pointing to these files (e.g.,</w:t>
      </w:r>
      <w:r>
        <w:t xml:space="preserve"> </w:t>
      </w:r>
      <w:r>
        <w:rPr>
          <w:rStyle w:val="VerbatimChar"/>
        </w:rPr>
        <w:t xml:space="preserve">/assets/diagrams/hierarchical_processing_v1_en.svg</w:t>
      </w:r>
      <w:r>
        <w:t xml:space="preserve">).</w:t>
      </w:r>
    </w:p>
    <w:p>
      <w:pPr>
        <w:pStyle w:val="Compact"/>
        <w:numPr>
          <w:ilvl w:val="0"/>
          <w:numId w:val="1009"/>
        </w:numPr>
      </w:pPr>
      <w:r>
        <w:rPr>
          <w:b/>
          <w:bCs/>
        </w:rPr>
        <w:t xml:space="preserve">Update components</w:t>
      </w:r>
      <w:r>
        <w:t xml:space="preserve">: Create or extend a</w:t>
      </w:r>
      <w:r>
        <w:t xml:space="preserve"> </w:t>
      </w:r>
      <w:r>
        <w:rPr>
          <w:rStyle w:val="VerbatimChar"/>
        </w:rPr>
        <w:t xml:space="preserve">DiagramViewer</w:t>
      </w:r>
      <w:r>
        <w:t xml:space="preserve"> </w:t>
      </w:r>
      <w:r>
        <w:t xml:space="preserve">component that reads the appropriate asset from</w:t>
      </w:r>
      <w:r>
        <w:t xml:space="preserve"> </w:t>
      </w:r>
      <w:r>
        <w:rPr>
          <w:rStyle w:val="VerbatimChar"/>
        </w:rPr>
        <w:t xml:space="preserve">copy.js</w:t>
      </w:r>
      <w:r>
        <w:t xml:space="preserve">, displays the SVG with</w:t>
      </w:r>
      <w:r>
        <w:t xml:space="preserve"> </w:t>
      </w:r>
      <w:r>
        <w:rPr>
          <w:rStyle w:val="VerbatimChar"/>
        </w:rPr>
        <w:t xml:space="preserve">&lt;img&gt;</w:t>
      </w:r>
      <w:r>
        <w:t xml:space="preserve">, sets</w:t>
      </w:r>
      <w:r>
        <w:t xml:space="preserve"> </w:t>
      </w:r>
      <w:r>
        <w:rPr>
          <w:rStyle w:val="VerbatimChar"/>
        </w:rPr>
        <w:t xml:space="preserve">alt</w:t>
      </w:r>
      <w:r>
        <w:t xml:space="preserve"> </w:t>
      </w:r>
      <w:r>
        <w:t xml:space="preserve">from</w:t>
      </w:r>
      <w:r>
        <w:t xml:space="preserve"> </w:t>
      </w:r>
      <w:r>
        <w:rPr>
          <w:rStyle w:val="VerbatimChar"/>
        </w:rPr>
        <w:t xml:space="preserve">copy.js.alt</w:t>
      </w:r>
      <w:r>
        <w:t xml:space="preserve">, and supports click‑to‑zoom functionality. Use</w:t>
      </w:r>
      <w:r>
        <w:t xml:space="preserve"> </w:t>
      </w:r>
      <w:r>
        <w:rPr>
          <w:rStyle w:val="VerbatimChar"/>
        </w:rPr>
        <w:t xml:space="preserve">IntersectionObserver</w:t>
      </w:r>
      <w:r>
        <w:t xml:space="preserve"> </w:t>
      </w:r>
      <w:r>
        <w:t xml:space="preserve">to lazy‑load diagrams.</w:t>
      </w:r>
    </w:p>
    <w:p>
      <w:pPr>
        <w:pStyle w:val="Compact"/>
        <w:numPr>
          <w:ilvl w:val="0"/>
          <w:numId w:val="1009"/>
        </w:numPr>
      </w:pPr>
      <w:r>
        <w:rPr>
          <w:b/>
          <w:bCs/>
        </w:rPr>
        <w:t xml:space="preserve">Define asset metadata</w:t>
      </w:r>
      <w:r>
        <w:t xml:space="preserve">: For each diagram, populate the asset and artifact schema in the site’s data store. Record dependencies (Mermaid version, plugins), version labels and translation metadata. This can be automated with a script that parses the</w:t>
      </w:r>
      <w:r>
        <w:t xml:space="preserve"> </w:t>
      </w:r>
      <w:r>
        <w:rPr>
          <w:rStyle w:val="VerbatimChar"/>
        </w:rPr>
        <w:t xml:space="preserve">manifest.yml</w:t>
      </w:r>
      <w:r>
        <w:t xml:space="preserve"> </w:t>
      </w:r>
      <w:r>
        <w:t xml:space="preserve">files.</w:t>
      </w:r>
    </w:p>
    <w:p>
      <w:pPr>
        <w:pStyle w:val="Compact"/>
        <w:numPr>
          <w:ilvl w:val="0"/>
          <w:numId w:val="1009"/>
        </w:numPr>
      </w:pPr>
      <w:r>
        <w:rPr>
          <w:b/>
          <w:bCs/>
        </w:rPr>
        <w:t xml:space="preserve">Implement virtualization</w:t>
      </w:r>
      <w:r>
        <w:t xml:space="preserve">: If a page (e.g., the visualization gallery) lists many diagrams, wrap the list in a virtualised grid component and ensure keyboard navigation cycles through items.</w:t>
      </w:r>
    </w:p>
    <w:p>
      <w:pPr>
        <w:pStyle w:val="Compact"/>
        <w:numPr>
          <w:ilvl w:val="0"/>
          <w:numId w:val="1009"/>
        </w:numPr>
      </w:pPr>
      <w:r>
        <w:rPr>
          <w:b/>
          <w:bCs/>
        </w:rPr>
        <w:t xml:space="preserve">Accessibility testing</w:t>
      </w:r>
      <w:r>
        <w:t xml:space="preserve">: Use</w:t>
      </w:r>
      <w:r>
        <w:t xml:space="preserve"> </w:t>
      </w:r>
      <w:r>
        <w:rPr>
          <w:rStyle w:val="VerbatimChar"/>
        </w:rPr>
        <w:t xml:space="preserve">axe-core</w:t>
      </w:r>
      <w:r>
        <w:t xml:space="preserve"> </w:t>
      </w:r>
      <w:r>
        <w:t xml:space="preserve">integrated into Jest to verify that each page containing diagrams passes WCAG checks: presence of</w:t>
      </w:r>
      <w:r>
        <w:t xml:space="preserve"> </w:t>
      </w:r>
      <w:r>
        <w:rPr>
          <w:rStyle w:val="VerbatimChar"/>
        </w:rPr>
        <w:t xml:space="preserve">lang</w:t>
      </w:r>
      <w:r>
        <w:t xml:space="preserve"> </w:t>
      </w:r>
      <w:r>
        <w:t xml:space="preserve">and</w:t>
      </w:r>
      <w:r>
        <w:t xml:space="preserve"> </w:t>
      </w:r>
      <w:r>
        <w:rPr>
          <w:rStyle w:val="VerbatimChar"/>
        </w:rPr>
        <w:t xml:space="preserve">dir</w:t>
      </w:r>
      <w:r>
        <w:t xml:space="preserve"> </w:t>
      </w:r>
      <w:r>
        <w:t xml:space="preserve">attributes, alt text on images, adequate colour contrast, and logical tab order.</w:t>
      </w:r>
    </w:p>
    <w:p>
      <w:pPr>
        <w:pStyle w:val="Compact"/>
        <w:numPr>
          <w:ilvl w:val="0"/>
          <w:numId w:val="1009"/>
        </w:numPr>
      </w:pPr>
      <w:r>
        <w:rPr>
          <w:b/>
          <w:bCs/>
        </w:rPr>
        <w:t xml:space="preserve">RTL and responsive testing</w:t>
      </w:r>
      <w:r>
        <w:t xml:space="preserve">: Use screenshot tests to verify that diagrams align correctly and text wraps properly in both English and Persian at various breakpoints. Ensure that Arabic‑script text is rendered with the Vazirmatn font and that diagrams do not overflow.</w:t>
      </w:r>
    </w:p>
    <w:p>
      <w:pPr>
        <w:pStyle w:val="Compact"/>
        <w:numPr>
          <w:ilvl w:val="0"/>
          <w:numId w:val="1009"/>
        </w:numPr>
      </w:pPr>
      <w:r>
        <w:rPr>
          <w:b/>
          <w:bCs/>
        </w:rPr>
        <w:t xml:space="preserve">Documentation</w:t>
      </w:r>
      <w:r>
        <w:t xml:space="preserve">: Document the rendering pipeline and guidelines in the project README. Include instructions for adding new diagrams: translation, rendering, metadata definition and UI integration.</w:t>
      </w:r>
    </w:p>
    <w:bookmarkEnd w:id="47"/>
    <w:bookmarkStart w:id="48" w:name="conclusion"/>
    <w:p>
      <w:pPr>
        <w:pStyle w:val="Heading2"/>
      </w:pPr>
      <w:r>
        <w:t xml:space="preserve">Conclusion</w:t>
      </w:r>
    </w:p>
    <w:p>
      <w:pPr>
        <w:pStyle w:val="FirstParagraph"/>
      </w:pPr>
      <w:r>
        <w:t xml:space="preserve">By pre‑rendering Mermaid diagrams, splitting complex flows, embedding accessible metadata and integrating translations into the site’s unified schema, the Ghost Autonomy website can present the PICAPD materials without sacrificing performance or accessibility. Observing cognitive load limits</w:t>
      </w:r>
      <w:hyperlink r:id="rId23">
        <w:r>
          <w:rPr>
            <w:rStyle w:val="Hyperlink"/>
          </w:rPr>
          <w:t xml:space="preserve">[1]</w:t>
        </w:r>
      </w:hyperlink>
      <w:r>
        <w:t xml:space="preserve">, using virtualization for large galleries</w:t>
      </w:r>
      <w:hyperlink r:id="rId32">
        <w:r>
          <w:rPr>
            <w:rStyle w:val="Hyperlink"/>
          </w:rPr>
          <w:t xml:space="preserve">[6]</w:t>
        </w:r>
      </w:hyperlink>
      <w:r>
        <w:t xml:space="preserve">, and adhering to multilingual accessibility guidelines</w:t>
      </w:r>
      <w:hyperlink r:id="rId38">
        <w:r>
          <w:rPr>
            <w:rStyle w:val="Hyperlink"/>
          </w:rPr>
          <w:t xml:space="preserve">[9]</w:t>
        </w:r>
      </w:hyperlink>
      <w:hyperlink r:id="rId28">
        <w:r>
          <w:rPr>
            <w:rStyle w:val="Hyperlink"/>
          </w:rPr>
          <w:t xml:space="preserve">[3]</w:t>
        </w:r>
      </w:hyperlink>
      <w:r>
        <w:t xml:space="preserve"> </w:t>
      </w:r>
      <w:r>
        <w:t xml:space="preserve">will ensure that users in both English and Persian enjoy a</w:t>
      </w:r>
      <w:r>
        <w:t xml:space="preserve"> </w:t>
      </w:r>
      <w:r>
        <w:rPr>
          <w:b/>
          <w:bCs/>
        </w:rPr>
        <w:t xml:space="preserve">zero‑frustration experience</w:t>
      </w:r>
      <w:r>
        <w:t xml:space="preserve">.</w:t>
      </w:r>
    </w:p>
    <w:bookmarkEnd w:id="48"/>
    <w:bookmarkEnd w:id="49"/>
    <w:bookmarkEnd w:id="50"/>
    <w:p>
      <w:r>
        <w:pict>
          <v:rect style="width:0;height:1.5pt" o:hralign="center" o:hrstd="t" o:hr="t"/>
        </w:pict>
      </w:r>
    </w:p>
    <w:bookmarkStart w:id="56" w:name="citations"/>
    <w:p>
      <w:pPr>
        <w:pStyle w:val="FirstParagraph"/>
      </w:pPr>
      <w:hyperlink r:id="rId23">
        <w:r>
          <w:rPr>
            <w:rStyle w:val="Hyperlink"/>
          </w:rPr>
          <w:t xml:space="preserve">[1]</w:t>
        </w:r>
      </w:hyperlink>
      <w:r>
        <w:t xml:space="preserve"> </w:t>
      </w:r>
      <w:hyperlink r:id="rId27">
        <w:r>
          <w:rPr>
            <w:rStyle w:val="Hyperlink"/>
          </w:rPr>
          <w:t xml:space="preserve">[2]</w:t>
        </w:r>
      </w:hyperlink>
      <w:r>
        <w:t xml:space="preserve"> </w:t>
      </w:r>
      <w:hyperlink r:id="rId23">
        <w:r>
          <w:rPr>
            <w:rStyle w:val="Hyperlink"/>
          </w:rPr>
          <w:t xml:space="preserve">[5]</w:t>
        </w:r>
      </w:hyperlink>
      <w:r>
        <w:t xml:space="preserve"> </w:t>
      </w:r>
      <w:r>
        <w:t xml:space="preserve">Mermaid-Sonar: Detecting Hidden Complexity in Diagram Documentation · Entropic Drift</w:t>
      </w:r>
    </w:p>
    <w:p>
      <w:pPr>
        <w:pStyle w:val="BodyText"/>
      </w:pPr>
      <w:hyperlink r:id="rId51">
        <w:r>
          <w:rPr>
            <w:rStyle w:val="Hyperlink"/>
          </w:rPr>
          <w:t xml:space="preserve">https://entropicdrift.com/blog/mermaid-sonar-complexity-analyzer/</w:t>
        </w:r>
      </w:hyperlink>
    </w:p>
    <w:p>
      <w:pPr>
        <w:pStyle w:val="BodyText"/>
      </w:pPr>
      <w:hyperlink r:id="rId28">
        <w:r>
          <w:rPr>
            <w:rStyle w:val="Hyperlink"/>
          </w:rPr>
          <w:t xml:space="preserve">[3]</w:t>
        </w:r>
      </w:hyperlink>
      <w:r>
        <w:t xml:space="preserve"> </w:t>
      </w:r>
      <w:r>
        <w:t xml:space="preserve">SVG images and graphics require accessible text | Axe Rules | Deque University | Deque Systems</w:t>
      </w:r>
    </w:p>
    <w:p>
      <w:pPr>
        <w:pStyle w:val="BodyText"/>
      </w:pPr>
      <w:hyperlink r:id="rId52">
        <w:r>
          <w:rPr>
            <w:rStyle w:val="Hyperlink"/>
          </w:rPr>
          <w:t xml:space="preserve">https://dequeuniversity.com/rules/axe/4.2/svg-img-alt</w:t>
        </w:r>
      </w:hyperlink>
    </w:p>
    <w:p>
      <w:pPr>
        <w:pStyle w:val="BodyText"/>
      </w:pPr>
      <w:hyperlink r:id="rId29">
        <w:r>
          <w:rPr>
            <w:rStyle w:val="Hyperlink"/>
          </w:rPr>
          <w:t xml:space="preserve">[4]</w:t>
        </w:r>
      </w:hyperlink>
      <w:r>
        <w:t xml:space="preserve"> </w:t>
      </w:r>
      <w:r>
        <w:t xml:space="preserve">Accessibility Options | Mermaid</w:t>
      </w:r>
    </w:p>
    <w:p>
      <w:pPr>
        <w:pStyle w:val="BodyText"/>
      </w:pPr>
      <w:hyperlink r:id="rId53">
        <w:r>
          <w:rPr>
            <w:rStyle w:val="Hyperlink"/>
          </w:rPr>
          <w:t xml:space="preserve">https://mermaid.ai/open-source/config/accessibility.html</w:t>
        </w:r>
      </w:hyperlink>
    </w:p>
    <w:p>
      <w:pPr>
        <w:pStyle w:val="BodyText"/>
      </w:pPr>
      <w:hyperlink r:id="rId32">
        <w:r>
          <w:rPr>
            <w:rStyle w:val="Hyperlink"/>
          </w:rPr>
          <w:t xml:space="preserve">[6]</w:t>
        </w:r>
      </w:hyperlink>
      <w:r>
        <w:t xml:space="preserve"> </w:t>
      </w:r>
      <w:r>
        <w:t xml:space="preserve">Data Grid - Virtualization - MUI X</w:t>
      </w:r>
    </w:p>
    <w:p>
      <w:pPr>
        <w:pStyle w:val="BodyText"/>
      </w:pPr>
      <w:hyperlink r:id="rId54">
        <w:r>
          <w:rPr>
            <w:rStyle w:val="Hyperlink"/>
          </w:rPr>
          <w:t xml:space="preserve">https://mui.com/x/react-data-grid/virtualization/</w:t>
        </w:r>
      </w:hyperlink>
    </w:p>
    <w:p>
      <w:pPr>
        <w:pStyle w:val="BodyText"/>
      </w:pPr>
      <w:hyperlink r:id="rId36">
        <w:r>
          <w:rPr>
            <w:rStyle w:val="Hyperlink"/>
          </w:rPr>
          <w:t xml:space="preserve">[7]</w:t>
        </w:r>
      </w:hyperlink>
      <w:r>
        <w:t xml:space="preserve"> </w:t>
      </w:r>
      <w:hyperlink r:id="rId38">
        <w:r>
          <w:rPr>
            <w:rStyle w:val="Hyperlink"/>
          </w:rPr>
          <w:t xml:space="preserve">[8]</w:t>
        </w:r>
      </w:hyperlink>
      <w:r>
        <w:t xml:space="preserve"> </w:t>
      </w:r>
      <w:hyperlink r:id="rId38">
        <w:r>
          <w:rPr>
            <w:rStyle w:val="Hyperlink"/>
          </w:rPr>
          <w:t xml:space="preserve">[9]</w:t>
        </w:r>
      </w:hyperlink>
      <w:r>
        <w:t xml:space="preserve"> </w:t>
      </w:r>
      <w:r>
        <w:t xml:space="preserve">Lost in Translation: Tips for Multilingual Web Accessibility | Ben Myers</w:t>
      </w:r>
    </w:p>
    <w:p>
      <w:pPr>
        <w:pStyle w:val="BodyText"/>
      </w:pPr>
      <w:hyperlink r:id="rId55">
        <w:r>
          <w:rPr>
            <w:rStyle w:val="Hyperlink"/>
          </w:rPr>
          <w:t xml:space="preserve">https://benmyers.dev/blog/multilingual-web-accessibility/</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benmyers.dev/blog/multilingual-web-accessibility/" TargetMode="External" /><Relationship Type="http://schemas.openxmlformats.org/officeDocument/2006/relationships/hyperlink" Id="rId36" Target="https://benmyers.dev/blog/multilingual-web-accessibility/#:~:text=Handle%20Text%20Expansion%20with%20Adaptive,Layouts" TargetMode="External" /><Relationship Type="http://schemas.openxmlformats.org/officeDocument/2006/relationships/hyperlink" Id="rId38" Target="https://benmyers.dev/blog/multilingual-web-accessibility/#:~:text=Support%20Alternate%20Writing%20Directions" TargetMode="External" /><Relationship Type="http://schemas.openxmlformats.org/officeDocument/2006/relationships/hyperlink" Id="rId52" Target="https://dequeuniversity.com/rules/axe/4.2/svg-img-alt" TargetMode="External" /><Relationship Type="http://schemas.openxmlformats.org/officeDocument/2006/relationships/hyperlink" Id="rId28" Target="https://dequeuniversity.com/rules/axe/4.2/svg-img-alt#:~:text=How%20to%20Fix%20the%20Problem" TargetMode="External" /><Relationship Type="http://schemas.openxmlformats.org/officeDocument/2006/relationships/hyperlink" Id="rId51" Target="https://entropicdrift.com/blog/mermaid-sonar-complexity-analyzer/" TargetMode="External" /><Relationship Type="http://schemas.openxmlformats.org/officeDocument/2006/relationships/hyperlink" Id="rId27" Target="https://entropicdrift.com/blog/mermaid-sonar-complexity-analyzer/#:~:text=Performance%20Constraints" TargetMode="External" /><Relationship Type="http://schemas.openxmlformats.org/officeDocument/2006/relationships/hyperlink" Id="rId23" Target="https://entropicdrift.com/blog/mermaid-sonar-complexity-analyzer/#:~:text=The%20breakthrough%20came%20from%20finding,process%20graph%20visualizations%20and%20found" TargetMode="External" /><Relationship Type="http://schemas.openxmlformats.org/officeDocument/2006/relationships/hyperlink" Id="rId53" Target="https://mermaid.ai/open-source/config/accessibility.html" TargetMode="External" /><Relationship Type="http://schemas.openxmlformats.org/officeDocument/2006/relationships/hyperlink" Id="rId29" Target="https://mermaid.ai/open-source/config/accessibility.html#:~:text=Now%20with%20Mermaid%20library%20in,the%20feedback%20from%20the%20community" TargetMode="External" /><Relationship Type="http://schemas.openxmlformats.org/officeDocument/2006/relationships/hyperlink" Id="rId54" Target="https://mui.com/x/react-data-grid/virtualization/" TargetMode="External" /><Relationship Type="http://schemas.openxmlformats.org/officeDocument/2006/relationships/hyperlink" Id="rId32" Target="https://mui.com/x/react-data-grid/virtualization/#:~:text=Data%20Grid%20" TargetMode="External" /></Relationships>
</file>

<file path=word/_rels/footnotes.xml.rels><?xml version="1.0" encoding="UTF-8"?><Relationships xmlns="http://schemas.openxmlformats.org/package/2006/relationships"><Relationship Type="http://schemas.openxmlformats.org/officeDocument/2006/relationships/hyperlink" Id="rId55" Target="https://benmyers.dev/blog/multilingual-web-accessibility/" TargetMode="External" /><Relationship Type="http://schemas.openxmlformats.org/officeDocument/2006/relationships/hyperlink" Id="rId36" Target="https://benmyers.dev/blog/multilingual-web-accessibility/#:~:text=Handle%20Text%20Expansion%20with%20Adaptive,Layouts" TargetMode="External" /><Relationship Type="http://schemas.openxmlformats.org/officeDocument/2006/relationships/hyperlink" Id="rId38" Target="https://benmyers.dev/blog/multilingual-web-accessibility/#:~:text=Support%20Alternate%20Writing%20Directions" TargetMode="External" /><Relationship Type="http://schemas.openxmlformats.org/officeDocument/2006/relationships/hyperlink" Id="rId52" Target="https://dequeuniversity.com/rules/axe/4.2/svg-img-alt" TargetMode="External" /><Relationship Type="http://schemas.openxmlformats.org/officeDocument/2006/relationships/hyperlink" Id="rId28" Target="https://dequeuniversity.com/rules/axe/4.2/svg-img-alt#:~:text=How%20to%20Fix%20the%20Problem" TargetMode="External" /><Relationship Type="http://schemas.openxmlformats.org/officeDocument/2006/relationships/hyperlink" Id="rId51" Target="https://entropicdrift.com/blog/mermaid-sonar-complexity-analyzer/" TargetMode="External" /><Relationship Type="http://schemas.openxmlformats.org/officeDocument/2006/relationships/hyperlink" Id="rId27" Target="https://entropicdrift.com/blog/mermaid-sonar-complexity-analyzer/#:~:text=Performance%20Constraints" TargetMode="External" /><Relationship Type="http://schemas.openxmlformats.org/officeDocument/2006/relationships/hyperlink" Id="rId23" Target="https://entropicdrift.com/blog/mermaid-sonar-complexity-analyzer/#:~:text=The%20breakthrough%20came%20from%20finding,process%20graph%20visualizations%20and%20found" TargetMode="External" /><Relationship Type="http://schemas.openxmlformats.org/officeDocument/2006/relationships/hyperlink" Id="rId53" Target="https://mermaid.ai/open-source/config/accessibility.html" TargetMode="External" /><Relationship Type="http://schemas.openxmlformats.org/officeDocument/2006/relationships/hyperlink" Id="rId29" Target="https://mermaid.ai/open-source/config/accessibility.html#:~:text=Now%20with%20Mermaid%20library%20in,the%20feedback%20from%20the%20community" TargetMode="External" /><Relationship Type="http://schemas.openxmlformats.org/officeDocument/2006/relationships/hyperlink" Id="rId54" Target="https://mui.com/x/react-data-grid/virtualization/" TargetMode="External" /><Relationship Type="http://schemas.openxmlformats.org/officeDocument/2006/relationships/hyperlink" Id="rId32" Target="https://mui.com/x/react-data-grid/virtualization/#:~:text=Data%20Grid%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2026-02-16T14:32:57Z</dcterms:created>
  <dcterms:modified xsi:type="dcterms:W3CDTF">2026-02-16T14:32:57Z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