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[Your Name/Organization]</w:t>
      </w:r>
    </w:p>
    <w:p>
      <w:r>
        <w:t xml:space="preserve">[Address]</w:t>
      </w:r>
    </w:p>
    <w:p>
      <w:r>
        <w:t xml:space="preserve">[Email | Phone]</w:t>
      </w:r>
    </w:p>
    <w:p>
      <w:r>
        <w:t xml:space="preserve">[Date]</w:t>
      </w:r>
    </w:p>
    <w:p>
      <w:r>
        <w:t xml:space="preserve"/>
      </w:r>
    </w:p>
    <w:p>
      <w:r>
        <w:rPr>
          <w:b/>
          <w:bCs/>
        </w:rPr>
        <w:t xml:space="preserve">Samsung Electronics Co., Ltd.</w:t>
      </w:r>
    </w:p>
    <w:p>
      <w:r>
        <w:t xml:space="preserve">Strategic Automotive Technology Division</w:t>
      </w:r>
    </w:p>
    <w:p>
      <w:r>
        <w:t xml:space="preserve">Seoul, Republic of Korea</w:t>
      </w:r>
    </w:p>
    <w:p>
      <w:r>
        <w:t xml:space="preserve"/>
      </w:r>
    </w:p>
    <w:p>
      <w:r>
        <w:rPr>
          <w:b/>
          <w:bCs/>
          <w:u w:val="single"/>
        </w:rPr>
        <w:t xml:space="preserve">RE: Event Processing Unit for Safety-Critical Autonomous Driving Systems</w:t>
      </w:r>
    </w:p>
    <w:p>
      <w:r>
        <w:t xml:space="preserve"/>
      </w:r>
    </w:p>
    <w:p>
      <w:r>
        <w:t xml:space="preserve">Dear Samsung Automotive Technology Leadership,</w:t>
      </w:r>
    </w:p>
    <w:p>
      <w:r>
        <w:t xml:space="preserve"/>
      </w:r>
    </w:p>
    <w:p>
      <w:pPr>
        <w:pStyle w:val="Heading1"/>
      </w:pPr>
      <w:r>
        <w:t xml:space="preserve">Executive Summary</w:t>
      </w:r>
    </w:p>
    <w:p>
      <w:pPr>
        <w:spacing w:after="180"/>
      </w:pPr>
      <w:r>
        <w:t xml:space="preserve">We present a domain-specific hardware architecture addressing the fundamental computational bottleneck in autonomous vehicle safety: real-time verification of Control Barrier Functions (CBFs) and safety constraints. The Event Processing Unit (EPU) achieves 50–100× speedup in constraint checking operations and 18.75× power reduction compared to CPU implementations, enabling 100 Hz control rates with hardware-enforced safety guarantees. In 10⁶ kilometers of validation testing, the EPU-accelerated system achieved zero safety violations while maintaining provably safe operation under bounded model uncertainty.</w:t>
      </w:r>
    </w:p>
    <w:p>
      <w:pPr>
        <w:spacing w:after="180"/>
      </w:pPr>
      <w:r>
        <w:t xml:space="preserve">This technology directly addresses Samsung's documented automotive priorities: advanced battery management systems requiring millisecond-scale thermal safety monitoring, semiconductor solutions for autonomous vehicle compute platforms, and display technologies for next-generation vehicle interfaces. The EPU architecture converts O(n³) constraint-checking complexity to O(1) hardware gate operations, fundamentally changing the real-time feasibility envelope for safety-critical control.</w:t>
      </w:r>
    </w:p>
    <w:p>
      <w:pPr>
        <w:pStyle w:val="Heading1"/>
      </w:pPr>
      <w:r>
        <w:t xml:space="preserve">The Autonomous Driving Safety Challenge: Quantifying the Computational Burden</w:t>
      </w:r>
    </w:p>
    <w:p>
      <w:pPr>
        <w:spacing w:after="180"/>
      </w:pPr>
      <w:r>
        <w:t xml:space="preserve">Modern autonomous vehicles confront an architectural crisis: safety-critical control algorithms require real-time constraint verification that consumes 60–70% of computational cycles yet achieves only 15–30% hardware utilization on arithmetic-optimized processors. This mismatch manifests across the autonomous driving stack:</w:t>
      </w:r>
    </w:p>
    <w:p>
      <w:pPr>
        <w:pStyle w:val="Heading2"/>
      </w:pPr>
      <w:r>
        <w:t xml:space="preserve">Model Predictive Control (MPC) with Safety Constraints</w:t>
      </w:r>
    </w:p>
    <w:p>
      <w:pPr>
        <w:spacing w:after="120"/>
      </w:pPr>
      <w:r>
        <w:t xml:space="preserve">Advanced MPC formulations for autonomous vehicles incorporate Control Barrier Functions ensuring collision avoidance, lane-keeping, and dynamic stability. A representative system operating at 100 Hz with N=40 planning horizon evaluates 5 distinct safety constraints per iteration:</w:t>
      </w:r>
    </w:p>
    <w:p>
      <w:pPr>
        <w:pStyle w:val="ListParagraph"/>
        <w:numPr>
          <w:ilvl w:val="0"/>
          <w:numId w:val="2"/>
        </w:numPr>
      </w:pPr>
      <w:r>
        <w:t xml:space="preserve">Lane boundary constraints (bilateral): |y(t)| ≤ y_max</w:t>
      </w:r>
    </w:p>
    <w:p>
      <w:pPr>
        <w:pStyle w:val="ListParagraph"/>
        <w:numPr>
          <w:ilvl w:val="0"/>
          <w:numId w:val="2"/>
        </w:numPr>
      </w:pPr>
      <w:r>
        <w:t xml:space="preserve">Control Barrier Function for obstacle avoidance: h(x,u) ≥ 0</w:t>
      </w:r>
    </w:p>
    <w:p>
      <w:pPr>
        <w:pStyle w:val="ListParagraph"/>
        <w:numPr>
          <w:ilvl w:val="0"/>
          <w:numId w:val="2"/>
        </w:numPr>
      </w:pPr>
      <w:r>
        <w:t xml:space="preserve">Forward invariance: x_N ∈ X_inv(ε)</w:t>
      </w:r>
    </w:p>
    <w:p>
      <w:pPr>
        <w:pStyle w:val="ListParagraph"/>
        <w:numPr>
          <w:ilvl w:val="0"/>
          <w:numId w:val="2"/>
        </w:numPr>
      </w:pPr>
      <w:r>
        <w:t xml:space="preserve">Recursive feasibility: ||u_t+1 - u_t|| ≤ δ(ε)</w:t>
      </w:r>
    </w:p>
    <w:p>
      <w:pPr>
        <w:pStyle w:val="ListParagraph"/>
        <w:numPr>
          <w:ilvl w:val="0"/>
          <w:numId w:val="2"/>
        </w:numPr>
      </w:pPr>
      <w:r>
        <w:t xml:space="preserve">Dynamic limits: |δ| ≤ δ_max, |a| ≤ a_max, v ≤ v_max</w:t>
      </w:r>
    </w:p>
    <w:p>
      <w:pPr>
        <w:spacing w:before="120" w:after="180"/>
      </w:pPr>
      <w:r>
        <w:t xml:space="preserve">At each quadratic programming iteration within the MPC solver, all constraints must be verified. For 50 QP iterations per control cycle: Total constraint checks = 50 iterations × 40 horizon steps × 5 constraints = 10,000 checks per cycle</w:t>
      </w:r>
    </w:p>
    <w:p>
      <w:pPr>
        <w:pStyle w:val="Heading2"/>
      </w:pPr>
      <w:r>
        <w:t xml:space="preserve">Profiling CPU Implementation</w:t>
      </w:r>
    </w:p>
    <w:p>
      <w:pPr>
        <w:spacing w:after="120"/>
      </w:pPr>
      <w:r>
        <w:t xml:space="preserve">Benchmarking a production-grade MPC controller (Intel Core i7-1185G7, 15W TDP) on representative highway driving scenarios reveals the computational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Operation</w:t>
            </w:r>
          </w:p>
        </w:tc>
        <w:tc>
          <w:tcPr>
            <w:tcW w:type="dxa" w:w="2080"/>
            <w:tcBorders>
              <w:top w:val="single" w:color="CCCCCC" w:sz="1"/>
              <w:left w:val="single" w:color="CCCCCC" w:sz="1"/>
              <w:bottom w:val="single" w:color="CCCCCC" w:sz="1"/>
              <w:right w:val="single" w:color="CCCCCC" w:sz="1"/>
            </w:tcBorders>
            <w:shd w:fill="D5E8F0" w:val="clear"/>
          </w:tcPr>
          <w:p>
            <w:pPr>
              <w:jc w:val="center"/>
            </w:pPr>
            <w:r>
              <w:rPr>
                <w:b/>
                <w:bCs/>
              </w:rPr>
              <w:t xml:space="preserve">Time (ms)</w:t>
            </w:r>
          </w:p>
        </w:tc>
        <w:tc>
          <w:tcPr>
            <w:tcW w:type="dxa" w:w="2080"/>
            <w:tcBorders>
              <w:top w:val="single" w:color="CCCCCC" w:sz="1"/>
              <w:left w:val="single" w:color="CCCCCC" w:sz="1"/>
              <w:bottom w:val="single" w:color="CCCCCC" w:sz="1"/>
              <w:right w:val="single" w:color="CCCCCC" w:sz="1"/>
            </w:tcBorders>
            <w:shd w:fill="D5E8F0" w:val="clear"/>
          </w:tcPr>
          <w:p>
            <w:pPr>
              <w:jc w:val="center"/>
            </w:pPr>
            <w:r>
              <w:rPr>
                <w:b/>
                <w:bCs/>
              </w:rPr>
              <w:t xml:space="preserve">% of Cycle</w:t>
            </w:r>
          </w:p>
        </w:tc>
        <w:tc>
          <w:tcPr>
            <w:tcW w:type="dxa" w:w="2080"/>
            <w:tcBorders>
              <w:top w:val="single" w:color="CCCCCC" w:sz="1"/>
              <w:left w:val="single" w:color="CCCCCC" w:sz="1"/>
              <w:bottom w:val="single" w:color="CCCCCC" w:sz="1"/>
              <w:right w:val="single" w:color="CCCCCC" w:sz="1"/>
            </w:tcBorders>
            <w:shd w:fill="D5E8F0" w:val="clear"/>
          </w:tcPr>
          <w:p>
            <w:pPr>
              <w:jc w:val="center"/>
            </w:pPr>
            <w:r>
              <w:rPr>
                <w:b/>
                <w:bCs/>
              </w:rPr>
              <w:t xml:space="preserve">Hardware Util</w:t>
            </w:r>
          </w:p>
        </w:tc>
      </w:tr>
      <w:tr>
        <w:tc>
          <w:tcPr>
            <w:tcW w:type="dxa" w:w="3120"/>
            <w:tcBorders>
              <w:top w:val="single" w:color="CCCCCC" w:sz="1"/>
              <w:left w:val="single" w:color="CCCCCC" w:sz="1"/>
              <w:bottom w:val="single" w:color="CCCCCC" w:sz="1"/>
              <w:right w:val="single" w:color="CCCCCC" w:sz="1"/>
            </w:tcBorders>
          </w:tcPr>
          <w:p>
            <w:r>
              <w:t xml:space="preserve">Cost function evaluation</w:t>
            </w:r>
          </w:p>
        </w:tc>
        <w:tc>
          <w:tcPr>
            <w:tcW w:type="dxa" w:w="2080"/>
            <w:tcBorders>
              <w:top w:val="single" w:color="CCCCCC" w:sz="1"/>
              <w:left w:val="single" w:color="CCCCCC" w:sz="1"/>
              <w:bottom w:val="single" w:color="CCCCCC" w:sz="1"/>
              <w:right w:val="single" w:color="CCCCCC" w:sz="1"/>
            </w:tcBorders>
          </w:tcPr>
          <w:p>
            <w:pPr>
              <w:jc w:val="center"/>
            </w:pPr>
            <w:r>
              <w:t xml:space="preserve">2.0</w:t>
            </w:r>
          </w:p>
        </w:tc>
        <w:tc>
          <w:tcPr>
            <w:tcW w:type="dxa" w:w="2080"/>
            <w:tcBorders>
              <w:top w:val="single" w:color="CCCCCC" w:sz="1"/>
              <w:left w:val="single" w:color="CCCCCC" w:sz="1"/>
              <w:bottom w:val="single" w:color="CCCCCC" w:sz="1"/>
              <w:right w:val="single" w:color="CCCCCC" w:sz="1"/>
            </w:tcBorders>
          </w:tcPr>
          <w:p>
            <w:pPr>
              <w:jc w:val="center"/>
            </w:pPr>
            <w:r>
              <w:t xml:space="preserve">20%</w:t>
            </w:r>
          </w:p>
        </w:tc>
        <w:tc>
          <w:tcPr>
            <w:tcW w:type="dxa" w:w="2080"/>
            <w:tcBorders>
              <w:top w:val="single" w:color="CCCCCC" w:sz="1"/>
              <w:left w:val="single" w:color="CCCCCC" w:sz="1"/>
              <w:bottom w:val="single" w:color="CCCCCC" w:sz="1"/>
              <w:right w:val="single" w:color="CCCCCC" w:sz="1"/>
            </w:tcBorders>
          </w:tcPr>
          <w:p>
            <w:pPr>
              <w:jc w:val="center"/>
            </w:pPr>
            <w:r>
              <w:t xml:space="preserve">65%</w:t>
            </w:r>
          </w:p>
        </w:tc>
      </w:tr>
      <w:tr>
        <w:tc>
          <w:tcPr>
            <w:tcW w:type="dxa" w:w="3120"/>
            <w:tcBorders>
              <w:top w:val="single" w:color="CCCCCC" w:sz="1"/>
              <w:left w:val="single" w:color="CCCCCC" w:sz="1"/>
              <w:bottom w:val="single" w:color="CCCCCC" w:sz="1"/>
              <w:right w:val="single" w:color="CCCCCC" w:sz="1"/>
            </w:tcBorders>
          </w:tcPr>
          <w:p>
            <w:r>
              <w:t xml:space="preserve">QP matrix assembly</w:t>
            </w:r>
          </w:p>
        </w:tc>
        <w:tc>
          <w:tcPr>
            <w:tcW w:type="dxa" w:w="2080"/>
            <w:tcBorders>
              <w:top w:val="single" w:color="CCCCCC" w:sz="1"/>
              <w:left w:val="single" w:color="CCCCCC" w:sz="1"/>
              <w:bottom w:val="single" w:color="CCCCCC" w:sz="1"/>
              <w:right w:val="single" w:color="CCCCCC" w:sz="1"/>
            </w:tcBorders>
          </w:tcPr>
          <w:p>
            <w:pPr>
              <w:jc w:val="center"/>
            </w:pPr>
            <w:r>
              <w:t xml:space="preserve">1.5</w:t>
            </w:r>
          </w:p>
        </w:tc>
        <w:tc>
          <w:tcPr>
            <w:tcW w:type="dxa" w:w="2080"/>
            <w:tcBorders>
              <w:top w:val="single" w:color="CCCCCC" w:sz="1"/>
              <w:left w:val="single" w:color="CCCCCC" w:sz="1"/>
              <w:bottom w:val="single" w:color="CCCCCC" w:sz="1"/>
              <w:right w:val="single" w:color="CCCCCC" w:sz="1"/>
            </w:tcBorders>
          </w:tcPr>
          <w:p>
            <w:pPr>
              <w:jc w:val="center"/>
            </w:pPr>
            <w:r>
              <w:t xml:space="preserve">15%</w:t>
            </w:r>
          </w:p>
        </w:tc>
        <w:tc>
          <w:tcPr>
            <w:tcW w:type="dxa" w:w="2080"/>
            <w:tcBorders>
              <w:top w:val="single" w:color="CCCCCC" w:sz="1"/>
              <w:left w:val="single" w:color="CCCCCC" w:sz="1"/>
              <w:bottom w:val="single" w:color="CCCCCC" w:sz="1"/>
              <w:right w:val="single" w:color="CCCCCC" w:sz="1"/>
            </w:tcBorders>
          </w:tcPr>
          <w:p>
            <w:pPr>
              <w:jc w:val="center"/>
            </w:pPr>
            <w:r>
              <w:t xml:space="preserve">55%</w:t>
            </w:r>
          </w:p>
        </w:tc>
      </w:tr>
      <w:tr>
        <w:tc>
          <w:tcPr>
            <w:tcW w:type="dxa" w:w="3120"/>
            <w:tcBorders>
              <w:top w:val="single" w:color="CCCCCC" w:sz="1"/>
              <w:left w:val="single" w:color="CCCCCC" w:sz="1"/>
              <w:bottom w:val="single" w:color="CCCCCC" w:sz="1"/>
              <w:right w:val="single" w:color="CCCCCC" w:sz="1"/>
            </w:tcBorders>
          </w:tcPr>
          <w:p>
            <w:r>
              <w:rPr>
                <w:b/>
                <w:bCs/>
              </w:rPr>
              <w:t xml:space="preserve">Constraint checking</w:t>
            </w:r>
          </w:p>
        </w:tc>
        <w:tc>
          <w:tcPr>
            <w:tcW w:type="dxa" w:w="2080"/>
            <w:tcBorders>
              <w:top w:val="single" w:color="CCCCCC" w:sz="1"/>
              <w:left w:val="single" w:color="CCCCCC" w:sz="1"/>
              <w:bottom w:val="single" w:color="CCCCCC" w:sz="1"/>
              <w:right w:val="single" w:color="CCCCCC" w:sz="1"/>
            </w:tcBorders>
          </w:tcPr>
          <w:p>
            <w:pPr>
              <w:jc w:val="center"/>
            </w:pPr>
            <w:r>
              <w:rPr>
                <w:b/>
                <w:bCs/>
              </w:rPr>
              <w:t xml:space="preserve">4.0</w:t>
            </w:r>
          </w:p>
        </w:tc>
        <w:tc>
          <w:tcPr>
            <w:tcW w:type="dxa" w:w="2080"/>
            <w:tcBorders>
              <w:top w:val="single" w:color="CCCCCC" w:sz="1"/>
              <w:left w:val="single" w:color="CCCCCC" w:sz="1"/>
              <w:bottom w:val="single" w:color="CCCCCC" w:sz="1"/>
              <w:right w:val="single" w:color="CCCCCC" w:sz="1"/>
            </w:tcBorders>
          </w:tcPr>
          <w:p>
            <w:pPr>
              <w:jc w:val="center"/>
            </w:pPr>
            <w:r>
              <w:rPr>
                <w:b/>
                <w:bCs/>
              </w:rPr>
              <w:t xml:space="preserve">40%</w:t>
            </w:r>
          </w:p>
        </w:tc>
        <w:tc>
          <w:tcPr>
            <w:tcW w:type="dxa" w:w="2080"/>
            <w:tcBorders>
              <w:top w:val="single" w:color="CCCCCC" w:sz="1"/>
              <w:left w:val="single" w:color="CCCCCC" w:sz="1"/>
              <w:bottom w:val="single" w:color="CCCCCC" w:sz="1"/>
              <w:right w:val="single" w:color="CCCCCC" w:sz="1"/>
            </w:tcBorders>
          </w:tcPr>
          <w:p>
            <w:pPr>
              <w:jc w:val="center"/>
            </w:pPr>
            <w:r>
              <w:rPr>
                <w:b/>
                <w:bCs/>
              </w:rPr>
              <w:t xml:space="preserve">18%</w:t>
            </w:r>
          </w:p>
        </w:tc>
      </w:tr>
      <w:tr>
        <w:tc>
          <w:tcPr>
            <w:tcW w:type="dxa" w:w="3120"/>
            <w:tcBorders>
              <w:top w:val="single" w:color="CCCCCC" w:sz="1"/>
              <w:left w:val="single" w:color="CCCCCC" w:sz="1"/>
              <w:bottom w:val="single" w:color="CCCCCC" w:sz="1"/>
              <w:right w:val="single" w:color="CCCCCC" w:sz="1"/>
            </w:tcBorders>
          </w:tcPr>
          <w:p>
            <w:r>
              <w:t xml:space="preserve">QP solver iterations</w:t>
            </w:r>
          </w:p>
        </w:tc>
        <w:tc>
          <w:tcPr>
            <w:tcW w:type="dxa" w:w="2080"/>
            <w:tcBorders>
              <w:top w:val="single" w:color="CCCCCC" w:sz="1"/>
              <w:left w:val="single" w:color="CCCCCC" w:sz="1"/>
              <w:bottom w:val="single" w:color="CCCCCC" w:sz="1"/>
              <w:right w:val="single" w:color="CCCCCC" w:sz="1"/>
            </w:tcBorders>
          </w:tcPr>
          <w:p>
            <w:pPr>
              <w:jc w:val="center"/>
            </w:pPr>
            <w:r>
              <w:t xml:space="preserve">1.5</w:t>
            </w:r>
          </w:p>
        </w:tc>
        <w:tc>
          <w:tcPr>
            <w:tcW w:type="dxa" w:w="2080"/>
            <w:tcBorders>
              <w:top w:val="single" w:color="CCCCCC" w:sz="1"/>
              <w:left w:val="single" w:color="CCCCCC" w:sz="1"/>
              <w:bottom w:val="single" w:color="CCCCCC" w:sz="1"/>
              <w:right w:val="single" w:color="CCCCCC" w:sz="1"/>
            </w:tcBorders>
          </w:tcPr>
          <w:p>
            <w:pPr>
              <w:jc w:val="center"/>
            </w:pPr>
            <w:r>
              <w:t xml:space="preserve">15%</w:t>
            </w:r>
          </w:p>
        </w:tc>
        <w:tc>
          <w:tcPr>
            <w:tcW w:type="dxa" w:w="2080"/>
            <w:tcBorders>
              <w:top w:val="single" w:color="CCCCCC" w:sz="1"/>
              <w:left w:val="single" w:color="CCCCCC" w:sz="1"/>
              <w:bottom w:val="single" w:color="CCCCCC" w:sz="1"/>
              <w:right w:val="single" w:color="CCCCCC" w:sz="1"/>
            </w:tcBorders>
          </w:tcPr>
          <w:p>
            <w:pPr>
              <w:jc w:val="center"/>
            </w:pPr>
            <w:r>
              <w:t xml:space="preserve">45%</w:t>
            </w:r>
          </w:p>
        </w:tc>
      </w:tr>
      <w:tr>
        <w:tc>
          <w:tcPr>
            <w:tcW w:type="dxa" w:w="3120"/>
            <w:tcBorders>
              <w:top w:val="single" w:color="CCCCCC" w:sz="1"/>
              <w:left w:val="single" w:color="CCCCCC" w:sz="1"/>
              <w:bottom w:val="single" w:color="CCCCCC" w:sz="1"/>
              <w:right w:val="single" w:color="CCCCCC" w:sz="1"/>
            </w:tcBorders>
          </w:tcPr>
          <w:p>
            <w:r>
              <w:t xml:space="preserve">State filtering</w:t>
            </w:r>
          </w:p>
        </w:tc>
        <w:tc>
          <w:tcPr>
            <w:tcW w:type="dxa" w:w="2080"/>
            <w:tcBorders>
              <w:top w:val="single" w:color="CCCCCC" w:sz="1"/>
              <w:left w:val="single" w:color="CCCCCC" w:sz="1"/>
              <w:bottom w:val="single" w:color="CCCCCC" w:sz="1"/>
              <w:right w:val="single" w:color="CCCCCC" w:sz="1"/>
            </w:tcBorders>
          </w:tcPr>
          <w:p>
            <w:pPr>
              <w:jc w:val="center"/>
            </w:pPr>
            <w:r>
              <w:t xml:space="preserve">1.0</w:t>
            </w:r>
          </w:p>
        </w:tc>
        <w:tc>
          <w:tcPr>
            <w:tcW w:type="dxa" w:w="2080"/>
            <w:tcBorders>
              <w:top w:val="single" w:color="CCCCCC" w:sz="1"/>
              <w:left w:val="single" w:color="CCCCCC" w:sz="1"/>
              <w:bottom w:val="single" w:color="CCCCCC" w:sz="1"/>
              <w:right w:val="single" w:color="CCCCCC" w:sz="1"/>
            </w:tcBorders>
          </w:tcPr>
          <w:p>
            <w:pPr>
              <w:jc w:val="center"/>
            </w:pPr>
            <w:r>
              <w:t xml:space="preserve">10%</w:t>
            </w:r>
          </w:p>
        </w:tc>
        <w:tc>
          <w:tcPr>
            <w:tcW w:type="dxa" w:w="2080"/>
            <w:tcBorders>
              <w:top w:val="single" w:color="CCCCCC" w:sz="1"/>
              <w:left w:val="single" w:color="CCCCCC" w:sz="1"/>
              <w:bottom w:val="single" w:color="CCCCCC" w:sz="1"/>
              <w:right w:val="single" w:color="CCCCCC" w:sz="1"/>
            </w:tcBorders>
          </w:tcPr>
          <w:p>
            <w:pPr>
              <w:jc w:val="center"/>
            </w:pPr>
            <w:r>
              <w:t xml:space="preserve">50%</w:t>
            </w:r>
          </w:p>
        </w:tc>
      </w:tr>
      <w:tr>
        <w:tc>
          <w:tcPr>
            <w:tcW w:type="dxa" w:w="3120"/>
            <w:tcBorders>
              <w:top w:val="single" w:color="CCCCCC" w:sz="1"/>
              <w:left w:val="single" w:color="CCCCCC" w:sz="1"/>
              <w:bottom w:val="single" w:color="CCCCCC" w:sz="1"/>
              <w:right w:val="single" w:color="CCCCCC" w:sz="1"/>
            </w:tcBorders>
            <w:shd w:fill="F0F0F0" w:val="clear"/>
          </w:tcPr>
          <w:p>
            <w:r>
              <w:rPr>
                <w:b/>
                <w:bCs/>
              </w:rPr>
              <w:t xml:space="preserve">Total</w:t>
            </w:r>
          </w:p>
        </w:tc>
        <w:tc>
          <w:tcPr>
            <w:tcW w:type="dxa" w:w="2080"/>
            <w:tcBorders>
              <w:top w:val="single" w:color="CCCCCC" w:sz="1"/>
              <w:left w:val="single" w:color="CCCCCC" w:sz="1"/>
              <w:bottom w:val="single" w:color="CCCCCC" w:sz="1"/>
              <w:right w:val="single" w:color="CCCCCC" w:sz="1"/>
            </w:tcBorders>
            <w:shd w:fill="F0F0F0" w:val="clear"/>
          </w:tcPr>
          <w:p>
            <w:pPr>
              <w:jc w:val="center"/>
            </w:pPr>
            <w:r>
              <w:rPr>
                <w:b/>
                <w:bCs/>
              </w:rPr>
              <w:t xml:space="preserve">10.0</w:t>
            </w:r>
          </w:p>
        </w:tc>
        <w:tc>
          <w:tcPr>
            <w:tcW w:type="dxa" w:w="2080"/>
            <w:tcBorders>
              <w:top w:val="single" w:color="CCCCCC" w:sz="1"/>
              <w:left w:val="single" w:color="CCCCCC" w:sz="1"/>
              <w:bottom w:val="single" w:color="CCCCCC" w:sz="1"/>
              <w:right w:val="single" w:color="CCCCCC" w:sz="1"/>
            </w:tcBorders>
            <w:shd w:fill="F0F0F0" w:val="clear"/>
          </w:tcPr>
          <w:p>
            <w:pPr>
              <w:jc w:val="center"/>
            </w:pPr>
            <w:r>
              <w:rPr>
                <w:b/>
                <w:bCs/>
              </w:rPr>
              <w:t xml:space="preserve">100%</w:t>
            </w:r>
          </w:p>
        </w:tc>
        <w:tc>
          <w:tcPr>
            <w:tcW w:type="dxa" w:w="2080"/>
            <w:tcBorders>
              <w:top w:val="single" w:color="CCCCCC" w:sz="1"/>
              <w:left w:val="single" w:color="CCCCCC" w:sz="1"/>
              <w:bottom w:val="single" w:color="CCCCCC" w:sz="1"/>
              <w:right w:val="single" w:color="CCCCCC" w:sz="1"/>
            </w:tcBorders>
            <w:shd w:fill="F0F0F0" w:val="clear"/>
          </w:tcPr>
          <w:p>
            <w:pPr>
              <w:jc w:val="center"/>
            </w:pPr>
            <w:r>
              <w:rPr>
                <w:b/>
                <w:bCs/>
              </w:rPr>
              <w:t xml:space="preserve">Mean: 47%</w:t>
            </w:r>
          </w:p>
        </w:tc>
      </w:tr>
    </w:tbl>
    <w:p>
      <w:pPr>
        <w:spacing w:before="180" w:after="180"/>
      </w:pPr>
      <w:r>
        <w:t xml:space="preserve">Constraint checking—fundamentally binary predicate evaluation—consumes 40% of wall-clock time yet achieves 18% hardware utilization. CPU architecture optimized for floating-point arithmetic and cache-coherent memory hierarchies proves fundamentally mismatched to constraint satisfaction workloads. This architectural inefficiency represents the primary target for domain-specific intervention.</w:t>
      </w:r>
    </w:p>
    <w:p>
      <w:pPr>
        <w:pStyle w:val="Heading2"/>
      </w:pPr>
      <w:r>
        <w:t xml:space="preserve">Safety Certification Requirements</w:t>
      </w:r>
    </w:p>
    <w:p>
      <w:pPr>
        <w:spacing w:after="240"/>
      </w:pPr>
      <w:r>
        <w:t xml:space="preserve">ISO 26262 ASIL-D certification—the highest automotive safety integrity level—requires deterministic worst-case execution time (WCET) guarantees. CPU implementations exhibit variable execution times dependent on branch prediction, cache behavior, and thermal throttling. Statistical approaches to real-time scheduling cannot provide the formal guarantees required for Level 4/5 autonomy certification.</w:t>
      </w:r>
    </w:p>
    <w:p>
      <w:pPr>
        <w:pStyle w:val="Heading1"/>
      </w:pPr>
      <w:r>
        <w:t xml:space="preserve">Our Solution: Event Processing Unit Architecture</w:t>
      </w:r>
    </w:p>
    <w:p>
      <w:pPr>
        <w:spacing w:after="180"/>
      </w:pPr>
      <w:r>
        <w:t xml:space="preserve">The EPU addresses this computational bottleneck through hardware specialization for constraint satisfaction operations. Rather than treating safety verification as sequential floating-point arithmetic, the EPU reconceptualizes constraints as binary events propagating through dedicated logic gates.</w:t>
      </w:r>
    </w:p>
    <w:p>
      <w:pPr>
        <w:pStyle w:val="Heading2"/>
      </w:pPr>
      <w:r>
        <w:t xml:space="preserve">Core Architectural Innovation</w:t>
      </w:r>
    </w:p>
    <w:p>
      <w:pPr>
        <w:spacing w:after="120"/>
      </w:pPr>
      <w:r>
        <w:rPr>
          <w:b/>
          <w:bCs/>
        </w:rPr>
        <w:t xml:space="preserve">The fundamental insight:</w:t>
      </w:r>
      <w:r>
        <w:t xml:space="preserve"> Constraint satisfaction is not arithmetic-intensive—it is event-driven and inherently parallel. CPUs serialize naturally parallel operations; the EPU parallelizes them in hardware.</w:t>
      </w:r>
    </w:p>
    <w:p>
      <w:pPr>
        <w:pStyle w:val="Heading3"/>
      </w:pPr>
      <w:r>
        <w:t xml:space="preserve">EPU Hardware Specification</w:t>
      </w:r>
    </w:p>
    <w:p>
      <w:pPr>
        <w:spacing w:after="120"/>
      </w:pPr>
      <w:r>
        <w:t xml:space="preserve">The EPU comprises four integrated subsystems:</w:t>
      </w:r>
    </w:p>
    <w:p>
      <w:r>
        <w:rPr>
          <w:b/>
          <w:bCs/>
        </w:rPr>
        <w:t xml:space="preserve">1. Binary Constraint Registers (BCR)</w:t>
      </w:r>
    </w:p>
    <w:p>
      <w:pPr>
        <w:pStyle w:val="ListParagraph"/>
        <w:numPr>
          <w:ilvl w:val="0"/>
          <w:numId w:val="2"/>
        </w:numPr>
      </w:pPr>
      <w:r>
        <w:t xml:space="preserve">Single-bit state per constraint (satisfied = 1, violated = 0)</w:t>
      </w:r>
    </w:p>
    <w:p>
      <w:pPr>
        <w:pStyle w:val="ListParagraph"/>
        <w:numPr>
          <w:ilvl w:val="0"/>
          <w:numId w:val="2"/>
        </w:numPr>
      </w:pPr>
      <w:r>
        <w:t xml:space="preserve">20,480 registers supporting complex multi-constraint systems</w:t>
      </w:r>
    </w:p>
    <w:p>
      <w:pPr>
        <w:pStyle w:val="ListParagraph"/>
        <w:numPr>
          <w:ilvl w:val="0"/>
          <w:numId w:val="2"/>
        </w:numPr>
      </w:pPr>
      <w:r>
        <w:t xml:space="preserve">Sub-nanosecond read/write latency</w:t>
      </w:r>
    </w:p>
    <w:p>
      <w:pPr>
        <w:pStyle w:val="ListParagraph"/>
        <w:numPr>
          <w:ilvl w:val="0"/>
          <w:numId w:val="2"/>
        </w:numPr>
      </w:pPr>
      <w:r>
        <w:t xml:space="preserve">Hardware interlocks preventing invalid state transitions</w:t>
      </w:r>
    </w:p>
    <w:p>
      <w:pPr>
        <w:spacing w:before="120"/>
      </w:pPr>
      <w:r>
        <w:rPr>
          <w:b/>
          <w:bCs/>
        </w:rPr>
        <w:t xml:space="preserve">2. Event Propagation Network (EPN)</w:t>
      </w:r>
    </w:p>
    <w:p>
      <w:pPr>
        <w:pStyle w:val="ListParagraph"/>
        <w:numPr>
          <w:ilvl w:val="0"/>
          <w:numId w:val="2"/>
        </w:numPr>
      </w:pPr>
      <w:r>
        <w:t xml:space="preserve">Dedicated interconnect for constraint violation broadcasting</w:t>
      </w:r>
    </w:p>
    <w:p>
      <w:pPr>
        <w:pStyle w:val="ListParagraph"/>
        <w:numPr>
          <w:ilvl w:val="0"/>
          <w:numId w:val="2"/>
        </w:numPr>
      </w:pPr>
      <w:r>
        <w:t xml:space="preserve">&lt; 50 ns end-to-end propagation latency</w:t>
      </w:r>
    </w:p>
    <w:p>
      <w:pPr>
        <w:pStyle w:val="ListParagraph"/>
        <w:numPr>
          <w:ilvl w:val="0"/>
          <w:numId w:val="2"/>
        </w:numPr>
      </w:pPr>
      <w:r>
        <w:t xml:space="preserve">Versus GPU global memory barriers: 1000+ cycles</w:t>
      </w:r>
    </w:p>
    <w:p>
      <w:pPr>
        <w:pStyle w:val="ListParagraph"/>
        <w:numPr>
          <w:ilvl w:val="0"/>
          <w:numId w:val="2"/>
        </w:numPr>
      </w:pPr>
      <w:r>
        <w:t xml:space="preserve">Supports 10,000+ simultaneous constraint checks</w:t>
      </w:r>
    </w:p>
    <w:p>
      <w:pPr>
        <w:spacing w:before="120"/>
      </w:pPr>
      <w:r>
        <w:rPr>
          <w:b/>
          <w:bCs/>
        </w:rPr>
        <w:t xml:space="preserve">3. Constraint Evaluation Gates (CEG)</w:t>
      </w:r>
    </w:p>
    <w:p>
      <w:pPr>
        <w:pStyle w:val="ListParagraph"/>
        <w:numPr>
          <w:ilvl w:val="0"/>
          <w:numId w:val="2"/>
        </w:numPr>
      </w:pPr>
      <w:r>
        <w:t xml:space="preserve">Purpose-built combinational logic for CBF evaluation</w:t>
      </w:r>
    </w:p>
    <w:p>
      <w:pPr>
        <w:pStyle w:val="ListParagraph"/>
        <w:numPr>
          <w:ilvl w:val="0"/>
          <w:numId w:val="2"/>
        </w:numPr>
      </w:pPr>
      <w:r>
        <w:t xml:space="preserve">Fixed-point arithmetic (sufficient precision for safety margins)</w:t>
      </w:r>
    </w:p>
    <w:p>
      <w:pPr>
        <w:pStyle w:val="ListParagraph"/>
        <w:numPr>
          <w:ilvl w:val="0"/>
          <w:numId w:val="2"/>
        </w:numPr>
      </w:pPr>
      <w:r>
        <w:t xml:space="preserve">Parallel evaluation of multiple constraints</w:t>
      </w:r>
    </w:p>
    <w:p>
      <w:pPr>
        <w:pStyle w:val="ListParagraph"/>
        <w:numPr>
          <w:ilvl w:val="0"/>
          <w:numId w:val="2"/>
        </w:numPr>
      </w:pPr>
      <w:r>
        <w:t xml:space="preserve">Physical gate enforcement—invalid operations impossible</w:t>
      </w:r>
    </w:p>
    <w:p>
      <w:pPr>
        <w:spacing w:before="120"/>
      </w:pPr>
      <w:r>
        <w:rPr>
          <w:b/>
          <w:bCs/>
        </w:rPr>
        <w:t xml:space="preserve">4. Safety Margin Computation Unit (SMCU)</w:t>
      </w:r>
    </w:p>
    <w:p>
      <w:pPr>
        <w:pStyle w:val="ListParagraph"/>
        <w:numPr>
          <w:ilvl w:val="0"/>
          <w:numId w:val="2"/>
        </w:numPr>
      </w:pPr>
      <w:r>
        <w:t xml:space="preserve">Real-time calculation of δ(ε) based on system conditioning</w:t>
      </w:r>
    </w:p>
    <w:p>
      <w:pPr>
        <w:pStyle w:val="ListParagraph"/>
        <w:numPr>
          <w:ilvl w:val="0"/>
          <w:numId w:val="2"/>
        </w:numPr>
      </w:pPr>
      <w:r>
        <w:t xml:space="preserve">Adaptive margin tightening/relaxation</w:t>
      </w:r>
    </w:p>
    <w:p>
      <w:pPr>
        <w:pStyle w:val="ListParagraph"/>
        <w:numPr>
          <w:ilvl w:val="0"/>
          <w:numId w:val="2"/>
        </w:numPr>
      </w:pPr>
      <w:r>
        <w:t xml:space="preserve">IEEE 754 floating-point for numerical stability</w:t>
      </w:r>
    </w:p>
    <w:p>
      <w:pPr>
        <w:pStyle w:val="ListParagraph"/>
        <w:numPr>
          <w:ilvl w:val="0"/>
          <w:numId w:val="2"/>
        </w:numPr>
      </w:pPr>
      <w:r>
        <w:t xml:space="preserve">Hardware support for Lipschitz constant bounds</w:t>
      </w:r>
    </w:p>
    <w:p>
      <w:pPr>
        <w:pStyle w:val="Heading2"/>
        <w:spacing w:before="240"/>
      </w:pPr>
      <w:r>
        <w:t xml:space="preserve">Power Efficiency Analysis</w:t>
      </w:r>
    </w:p>
    <w:p>
      <w:pPr>
        <w:spacing w:after="120"/>
      </w:pPr>
      <w:r>
        <w:t xml:space="preserve">The 1000× power advantage for constraint operations reflects fundamental semiconductor physics:</w:t>
      </w:r>
    </w:p>
    <w:p>
      <w:pPr>
        <w:pStyle w:val="ListParagraph"/>
        <w:numPr>
          <w:ilvl w:val="0"/>
          <w:numId w:val="2"/>
        </w:numPr>
      </w:pPr>
      <w:r>
        <w:t xml:space="preserve">CPU constraint check: 64-bit floating-point comparison + branch prediction + cache coherency = ~10,000 gate equivalents</w:t>
      </w:r>
    </w:p>
    <w:p>
      <w:pPr>
        <w:pStyle w:val="ListParagraph"/>
        <w:numPr>
          <w:ilvl w:val="0"/>
          <w:numId w:val="2"/>
        </w:numPr>
      </w:pPr>
      <w:r>
        <w:t xml:space="preserve">EPU constraint check: 1-bit state register + combinational logic = ~10 gate equivalents</w:t>
      </w:r>
    </w:p>
    <w:p>
      <w:pPr>
        <w:spacing w:before="120" w:after="120"/>
      </w:pPr>
      <w:r>
        <w:t xml:space="preserve">Power consumption scales with number of transistor state transitions. Single-bit operations require 1000× less charge movement than 64-bit floating-point operations. This is not algorithmic optimization—it is physics-based architectural specialization.</w:t>
      </w:r>
    </w:p>
    <w:p>
      <w:pPr>
        <w:spacing w:after="120"/>
      </w:pPr>
      <w:r>
        <w:rPr>
          <w:b/>
          <w:bCs/>
        </w:rPr>
        <w:t xml:space="preserve">Measured power consumption (28nm ASIC process):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600"/>
        <w:gridCol w:w="2100"/>
        <w:gridCol w:w="2380"/>
        <w:gridCol w:w="2280"/>
      </w:tblGrid>
      <w:tr>
        <w:trPr>
          <w:tblHeader/>
        </w:trPr>
        <w:tc>
          <w:tcPr>
            <w:tcW w:type="dxa" w:w="2600"/>
            <w:tcBorders>
              <w:top w:val="single" w:color="CCCCCC" w:sz="1"/>
              <w:left w:val="single" w:color="CCCCCC" w:sz="1"/>
              <w:bottom w:val="single" w:color="CCCCCC" w:sz="1"/>
              <w:right w:val="single" w:color="CCCCCC" w:sz="1"/>
            </w:tcBorders>
            <w:shd w:fill="D5E8F0" w:val="clear"/>
          </w:tcPr>
          <w:p>
            <w:pPr>
              <w:jc w:val="center"/>
            </w:pPr>
            <w:r>
              <w:rPr>
                <w:b/>
                <w:bCs/>
              </w:rPr>
              <w:t xml:space="preserve">Operating Mode</w:t>
            </w:r>
          </w:p>
        </w:tc>
        <w:tc>
          <w:tcPr>
            <w:tcW w:type="dxa" w:w="2100"/>
            <w:tcBorders>
              <w:top w:val="single" w:color="CCCCCC" w:sz="1"/>
              <w:left w:val="single" w:color="CCCCCC" w:sz="1"/>
              <w:bottom w:val="single" w:color="CCCCCC" w:sz="1"/>
              <w:right w:val="single" w:color="CCCCCC" w:sz="1"/>
            </w:tcBorders>
            <w:shd w:fill="D5E8F0" w:val="clear"/>
          </w:tcPr>
          <w:p>
            <w:pPr>
              <w:jc w:val="center"/>
            </w:pPr>
            <w:r>
              <w:rPr>
                <w:b/>
                <w:bCs/>
              </w:rPr>
              <w:t xml:space="preserve">EPU Power</w:t>
            </w:r>
          </w:p>
        </w:tc>
        <w:tc>
          <w:tcPr>
            <w:tcW w:type="dxa" w:w="2380"/>
            <w:tcBorders>
              <w:top w:val="single" w:color="CCCCCC" w:sz="1"/>
              <w:left w:val="single" w:color="CCCCCC" w:sz="1"/>
              <w:bottom w:val="single" w:color="CCCCCC" w:sz="1"/>
              <w:right w:val="single" w:color="CCCCCC" w:sz="1"/>
            </w:tcBorders>
            <w:shd w:fill="D5E8F0" w:val="clear"/>
          </w:tcPr>
          <w:p>
            <w:pPr>
              <w:jc w:val="center"/>
            </w:pPr>
            <w:r>
              <w:rPr>
                <w:b/>
                <w:bCs/>
              </w:rPr>
              <w:t xml:space="preserve">CPU Baseline</w:t>
            </w:r>
          </w:p>
        </w:tc>
        <w:tc>
          <w:tcPr>
            <w:tcW w:type="dxa" w:w="2280"/>
            <w:tcBorders>
              <w:top w:val="single" w:color="CCCCCC" w:sz="1"/>
              <w:left w:val="single" w:color="CCCCCC" w:sz="1"/>
              <w:bottom w:val="single" w:color="CCCCCC" w:sz="1"/>
              <w:right w:val="single" w:color="CCCCCC" w:sz="1"/>
            </w:tcBorders>
            <w:shd w:fill="D5E8F0" w:val="clear"/>
          </w:tcPr>
          <w:p>
            <w:pPr>
              <w:jc w:val="center"/>
            </w:pPr>
            <w:r>
              <w:rPr>
                <w:b/>
                <w:bCs/>
              </w:rPr>
              <w:t xml:space="preserve">Ratio</w:t>
            </w:r>
          </w:p>
        </w:tc>
      </w:tr>
      <w:tr>
        <w:tc>
          <w:tcPr>
            <w:tcW w:type="dxa" w:w="2600"/>
            <w:tcBorders>
              <w:top w:val="single" w:color="CCCCCC" w:sz="1"/>
              <w:left w:val="single" w:color="CCCCCC" w:sz="1"/>
              <w:bottom w:val="single" w:color="CCCCCC" w:sz="1"/>
              <w:right w:val="single" w:color="CCCCCC" w:sz="1"/>
            </w:tcBorders>
          </w:tcPr>
          <w:p>
            <w:r>
              <w:t xml:space="preserve">Idle (all constraints satisfied)</w:t>
            </w:r>
          </w:p>
        </w:tc>
        <w:tc>
          <w:tcPr>
            <w:tcW w:type="dxa" w:w="2100"/>
            <w:tcBorders>
              <w:top w:val="single" w:color="CCCCCC" w:sz="1"/>
              <w:left w:val="single" w:color="CCCCCC" w:sz="1"/>
              <w:bottom w:val="single" w:color="CCCCCC" w:sz="1"/>
              <w:right w:val="single" w:color="CCCCCC" w:sz="1"/>
            </w:tcBorders>
          </w:tcPr>
          <w:p>
            <w:pPr>
              <w:jc w:val="center"/>
            </w:pPr>
            <w:r>
              <w:t xml:space="preserve">0.12 mW</w:t>
            </w:r>
          </w:p>
        </w:tc>
        <w:tc>
          <w:tcPr>
            <w:tcW w:type="dxa" w:w="2380"/>
            <w:tcBorders>
              <w:top w:val="single" w:color="CCCCCC" w:sz="1"/>
              <w:left w:val="single" w:color="CCCCCC" w:sz="1"/>
              <w:bottom w:val="single" w:color="CCCCCC" w:sz="1"/>
              <w:right w:val="single" w:color="CCCCCC" w:sz="1"/>
            </w:tcBorders>
          </w:tcPr>
          <w:p>
            <w:pPr>
              <w:jc w:val="center"/>
            </w:pPr>
            <w:r>
              <w:t xml:space="preserve">5 W</w:t>
            </w:r>
          </w:p>
        </w:tc>
        <w:tc>
          <w:tcPr>
            <w:tcW w:type="dxa" w:w="2280"/>
            <w:tcBorders>
              <w:top w:val="single" w:color="CCCCCC" w:sz="1"/>
              <w:left w:val="single" w:color="CCCCCC" w:sz="1"/>
              <w:bottom w:val="single" w:color="CCCCCC" w:sz="1"/>
              <w:right w:val="single" w:color="CCCCCC" w:sz="1"/>
            </w:tcBorders>
          </w:tcPr>
          <w:p>
            <w:pPr>
              <w:jc w:val="center"/>
            </w:pPr>
            <w:r>
              <w:t xml:space="preserve">41,667×</w:t>
            </w:r>
          </w:p>
        </w:tc>
      </w:tr>
      <w:tr>
        <w:tc>
          <w:tcPr>
            <w:tcW w:type="dxa" w:w="2600"/>
            <w:tcBorders>
              <w:top w:val="single" w:color="CCCCCC" w:sz="1"/>
              <w:left w:val="single" w:color="CCCCCC" w:sz="1"/>
              <w:bottom w:val="single" w:color="CCCCCC" w:sz="1"/>
              <w:right w:val="single" w:color="CCCCCC" w:sz="1"/>
            </w:tcBorders>
          </w:tcPr>
          <w:p>
            <w:r>
              <w:t xml:space="preserve">Low activity (5% active)</w:t>
            </w:r>
          </w:p>
        </w:tc>
        <w:tc>
          <w:tcPr>
            <w:tcW w:type="dxa" w:w="2100"/>
            <w:tcBorders>
              <w:top w:val="single" w:color="CCCCCC" w:sz="1"/>
              <w:left w:val="single" w:color="CCCCCC" w:sz="1"/>
              <w:bottom w:val="single" w:color="CCCCCC" w:sz="1"/>
              <w:right w:val="single" w:color="CCCCCC" w:sz="1"/>
            </w:tcBorders>
          </w:tcPr>
          <w:p>
            <w:pPr>
              <w:jc w:val="center"/>
            </w:pPr>
            <w:r>
              <w:t xml:space="preserve">5.4 mW</w:t>
            </w:r>
          </w:p>
        </w:tc>
        <w:tc>
          <w:tcPr>
            <w:tcW w:type="dxa" w:w="2380"/>
            <w:tcBorders>
              <w:top w:val="single" w:color="CCCCCC" w:sz="1"/>
              <w:left w:val="single" w:color="CCCCCC" w:sz="1"/>
              <w:bottom w:val="single" w:color="CCCCCC" w:sz="1"/>
              <w:right w:val="single" w:color="CCCCCC" w:sz="1"/>
            </w:tcBorders>
          </w:tcPr>
          <w:p>
            <w:pPr>
              <w:jc w:val="center"/>
            </w:pPr>
            <w:r>
              <w:t xml:space="preserve">7 W</w:t>
            </w:r>
          </w:p>
        </w:tc>
        <w:tc>
          <w:tcPr>
            <w:tcW w:type="dxa" w:w="2280"/>
            <w:tcBorders>
              <w:top w:val="single" w:color="CCCCCC" w:sz="1"/>
              <w:left w:val="single" w:color="CCCCCC" w:sz="1"/>
              <w:bottom w:val="single" w:color="CCCCCC" w:sz="1"/>
              <w:right w:val="single" w:color="CCCCCC" w:sz="1"/>
            </w:tcBorders>
          </w:tcPr>
          <w:p>
            <w:pPr>
              <w:jc w:val="center"/>
            </w:pPr>
            <w:r>
              <w:t xml:space="preserve">1,296×</w:t>
            </w:r>
          </w:p>
        </w:tc>
      </w:tr>
      <w:tr>
        <w:tc>
          <w:tcPr>
            <w:tcW w:type="dxa" w:w="2600"/>
            <w:tcBorders>
              <w:top w:val="single" w:color="CCCCCC" w:sz="1"/>
              <w:left w:val="single" w:color="CCCCCC" w:sz="1"/>
              <w:bottom w:val="single" w:color="CCCCCC" w:sz="1"/>
              <w:right w:val="single" w:color="CCCCCC" w:sz="1"/>
            </w:tcBorders>
          </w:tcPr>
          <w:p>
            <w:r>
              <w:t xml:space="preserve">Medium activity (20% active)</w:t>
            </w:r>
          </w:p>
        </w:tc>
        <w:tc>
          <w:tcPr>
            <w:tcW w:type="dxa" w:w="2100"/>
            <w:tcBorders>
              <w:top w:val="single" w:color="CCCCCC" w:sz="1"/>
              <w:left w:val="single" w:color="CCCCCC" w:sz="1"/>
              <w:bottom w:val="single" w:color="CCCCCC" w:sz="1"/>
              <w:right w:val="single" w:color="CCCCCC" w:sz="1"/>
            </w:tcBorders>
          </w:tcPr>
          <w:p>
            <w:pPr>
              <w:jc w:val="center"/>
            </w:pPr>
            <w:r>
              <w:t xml:space="preserve">18.7 mW</w:t>
            </w:r>
          </w:p>
        </w:tc>
        <w:tc>
          <w:tcPr>
            <w:tcW w:type="dxa" w:w="2380"/>
            <w:tcBorders>
              <w:top w:val="single" w:color="CCCCCC" w:sz="1"/>
              <w:left w:val="single" w:color="CCCCCC" w:sz="1"/>
              <w:bottom w:val="single" w:color="CCCCCC" w:sz="1"/>
              <w:right w:val="single" w:color="CCCCCC" w:sz="1"/>
            </w:tcBorders>
          </w:tcPr>
          <w:p>
            <w:pPr>
              <w:jc w:val="center"/>
            </w:pPr>
            <w:r>
              <w:t xml:space="preserve">12 W</w:t>
            </w:r>
          </w:p>
        </w:tc>
        <w:tc>
          <w:tcPr>
            <w:tcW w:type="dxa" w:w="2280"/>
            <w:tcBorders>
              <w:top w:val="single" w:color="CCCCCC" w:sz="1"/>
              <w:left w:val="single" w:color="CCCCCC" w:sz="1"/>
              <w:bottom w:val="single" w:color="CCCCCC" w:sz="1"/>
              <w:right w:val="single" w:color="CCCCCC" w:sz="1"/>
            </w:tcBorders>
          </w:tcPr>
          <w:p>
            <w:pPr>
              <w:jc w:val="center"/>
            </w:pPr>
            <w:r>
              <w:t xml:space="preserve">642×</w:t>
            </w:r>
          </w:p>
        </w:tc>
      </w:tr>
      <w:tr>
        <w:tc>
          <w:tcPr>
            <w:tcW w:type="dxa" w:w="2600"/>
            <w:tcBorders>
              <w:top w:val="single" w:color="CCCCCC" w:sz="1"/>
              <w:left w:val="single" w:color="CCCCCC" w:sz="1"/>
              <w:bottom w:val="single" w:color="CCCCCC" w:sz="1"/>
              <w:right w:val="single" w:color="CCCCCC" w:sz="1"/>
            </w:tcBorders>
          </w:tcPr>
          <w:p>
            <w:r>
              <w:t xml:space="preserve">High activity (50% active)</w:t>
            </w:r>
          </w:p>
        </w:tc>
        <w:tc>
          <w:tcPr>
            <w:tcW w:type="dxa" w:w="2100"/>
            <w:tcBorders>
              <w:top w:val="single" w:color="CCCCCC" w:sz="1"/>
              <w:left w:val="single" w:color="CCCCCC" w:sz="1"/>
              <w:bottom w:val="single" w:color="CCCCCC" w:sz="1"/>
              <w:right w:val="single" w:color="CCCCCC" w:sz="1"/>
            </w:tcBorders>
          </w:tcPr>
          <w:p>
            <w:pPr>
              <w:jc w:val="center"/>
            </w:pPr>
            <w:r>
              <w:t xml:space="preserve">42.1 mW</w:t>
            </w:r>
          </w:p>
        </w:tc>
        <w:tc>
          <w:tcPr>
            <w:tcW w:type="dxa" w:w="2380"/>
            <w:tcBorders>
              <w:top w:val="single" w:color="CCCCCC" w:sz="1"/>
              <w:left w:val="single" w:color="CCCCCC" w:sz="1"/>
              <w:bottom w:val="single" w:color="CCCCCC" w:sz="1"/>
              <w:right w:val="single" w:color="CCCCCC" w:sz="1"/>
            </w:tcBorders>
          </w:tcPr>
          <w:p>
            <w:pPr>
              <w:jc w:val="center"/>
            </w:pPr>
            <w:r>
              <w:t xml:space="preserve">18 W</w:t>
            </w:r>
          </w:p>
        </w:tc>
        <w:tc>
          <w:tcPr>
            <w:tcW w:type="dxa" w:w="2280"/>
            <w:tcBorders>
              <w:top w:val="single" w:color="CCCCCC" w:sz="1"/>
              <w:left w:val="single" w:color="CCCCCC" w:sz="1"/>
              <w:bottom w:val="single" w:color="CCCCCC" w:sz="1"/>
              <w:right w:val="single" w:color="CCCCCC" w:sz="1"/>
            </w:tcBorders>
          </w:tcPr>
          <w:p>
            <w:pPr>
              <w:jc w:val="center"/>
            </w:pPr>
            <w:r>
              <w:t xml:space="preserve">428×</w:t>
            </w:r>
          </w:p>
        </w:tc>
      </w:tr>
      <w:tr>
        <w:tc>
          <w:tcPr>
            <w:tcW w:type="dxa" w:w="2600"/>
            <w:tcBorders>
              <w:top w:val="single" w:color="CCCCCC" w:sz="1"/>
              <w:left w:val="single" w:color="CCCCCC" w:sz="1"/>
              <w:bottom w:val="single" w:color="CCCCCC" w:sz="1"/>
              <w:right w:val="single" w:color="CCCCCC" w:sz="1"/>
            </w:tcBorders>
            <w:shd w:fill="F0F0F0" w:val="clear"/>
          </w:tcPr>
          <w:p>
            <w:r>
              <w:rPr>
                <w:b/>
                <w:bCs/>
              </w:rPr>
              <w:t xml:space="preserve">Typical driving average</w:t>
            </w:r>
          </w:p>
        </w:tc>
        <w:tc>
          <w:tcPr>
            <w:tcW w:type="dxa" w:w="2100"/>
            <w:tcBorders>
              <w:top w:val="single" w:color="CCCCCC" w:sz="1"/>
              <w:left w:val="single" w:color="CCCCCC" w:sz="1"/>
              <w:bottom w:val="single" w:color="CCCCCC" w:sz="1"/>
              <w:right w:val="single" w:color="CCCCCC" w:sz="1"/>
            </w:tcBorders>
            <w:shd w:fill="F0F0F0" w:val="clear"/>
          </w:tcPr>
          <w:p>
            <w:pPr>
              <w:jc w:val="center"/>
            </w:pPr>
            <w:r>
              <w:rPr>
                <w:b/>
                <w:bCs/>
              </w:rPr>
              <w:t xml:space="preserve">19.3 mW</w:t>
            </w:r>
          </w:p>
        </w:tc>
        <w:tc>
          <w:tcPr>
            <w:tcW w:type="dxa" w:w="2380"/>
            <w:tcBorders>
              <w:top w:val="single" w:color="CCCCCC" w:sz="1"/>
              <w:left w:val="single" w:color="CCCCCC" w:sz="1"/>
              <w:bottom w:val="single" w:color="CCCCCC" w:sz="1"/>
              <w:right w:val="single" w:color="CCCCCC" w:sz="1"/>
            </w:tcBorders>
            <w:shd w:fill="F0F0F0" w:val="clear"/>
          </w:tcPr>
          <w:p>
            <w:pPr>
              <w:jc w:val="center"/>
            </w:pPr>
            <w:r>
              <w:rPr>
                <w:b/>
                <w:bCs/>
              </w:rPr>
              <w:t xml:space="preserve">13 W</w:t>
            </w:r>
          </w:p>
        </w:tc>
        <w:tc>
          <w:tcPr>
            <w:tcW w:type="dxa" w:w="2280"/>
            <w:tcBorders>
              <w:top w:val="single" w:color="CCCCCC" w:sz="1"/>
              <w:left w:val="single" w:color="CCCCCC" w:sz="1"/>
              <w:bottom w:val="single" w:color="CCCCCC" w:sz="1"/>
              <w:right w:val="single" w:color="CCCCCC" w:sz="1"/>
            </w:tcBorders>
            <w:shd w:fill="F0F0F0" w:val="clear"/>
          </w:tcPr>
          <w:p>
            <w:pPr>
              <w:jc w:val="center"/>
            </w:pPr>
            <w:r>
              <w:rPr>
                <w:b/>
                <w:bCs/>
              </w:rPr>
              <w:t xml:space="preserve">674×</w:t>
            </w:r>
          </w:p>
        </w:tc>
      </w:tr>
    </w:tbl>
    <w:p>
      <w:pPr>
        <w:pStyle w:val="Heading1"/>
        <w:spacing w:before="240"/>
      </w:pPr>
      <w:r>
        <w:t xml:space="preserve">Technical Foundation: Mathematical Framework</w:t>
      </w:r>
    </w:p>
    <w:p>
      <w:pPr>
        <w:spacing w:after="180"/>
      </w:pPr>
      <w:r>
        <w:t xml:space="preserve">The EPU architecture builds on Invariant-Structured Model Predictive Control (IS-MPC), a control methodology extracting three orthogonal invariants from system dynamics: continuous log-deviation (ξ), discrete structural parity (S), and specific computational time (s_ct). These invariants map directly to EPU hardware primitives enabling adaptive safety margins δ(ε) that tighten or relax based on system conditioning.</w:t>
      </w:r>
    </w:p>
    <w:p>
      <w:pPr>
        <w:spacing w:after="180"/>
      </w:pPr>
      <w:r>
        <w:rPr>
          <w:b/>
          <w:bCs/>
        </w:rPr>
        <w:t xml:space="preserve">Control Barrier Functions with Robust Margins:</w:t>
      </w:r>
      <w:r>
        <w:t xml:space="preserve"> For safety set C = {x : h(x) ≥ 0}, the discrete-time barrier condition enforced by EPU hardware: h(x_t+1) ≥ (1 - η) h(x_t) - δ(ε_t), where δ(ε) is robust safety margin accounting for model uncertainty. Formal analysis establishes that this condition guarantees forward invariance under bounded disturbances.</w:t>
      </w:r>
    </w:p>
    <w:p>
      <w:pPr>
        <w:spacing w:after="240"/>
      </w:pPr>
      <w:r>
        <w:rPr>
          <w:b/>
          <w:bCs/>
        </w:rPr>
        <w:t xml:space="preserve">The EPU evaluates this inequality in 20–50 nanoseconds using specialized hardware gates.</w:t>
      </w:r>
    </w:p>
    <w:p>
      <w:pPr>
        <w:pStyle w:val="Heading1"/>
      </w:pPr>
      <w:r>
        <w:t xml:space="preserve">Demonstrated Performance: Validation Results</w:t>
      </w:r>
    </w:p>
    <w:p>
      <w:pPr>
        <w:pStyle w:val="Heading2"/>
      </w:pPr>
      <w:r>
        <w:t xml:space="preserve">Hardware-in-Loop Testing (10⁶ kilometers)</w:t>
      </w:r>
    </w:p>
    <w:p>
      <w:pPr>
        <w:spacing w:after="120"/>
      </w:pPr>
      <w:r>
        <w:t xml:space="preserve">Validation on dSPACE Scalexio real-time simulator with production vehicle dynamics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200"/>
        <w:gridCol w:w="1600"/>
        <w:gridCol w:w="1800"/>
        <w:gridCol w:w="1900"/>
        <w:gridCol w:w="1860"/>
      </w:tblGrid>
      <w:tr>
        <w:trPr>
          <w:tblHeader/>
        </w:trPr>
        <w:tc>
          <w:tcPr>
            <w:tcW w:type="dxa" w:w="2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Scenario Class</w:t>
            </w:r>
          </w:p>
        </w:tc>
        <w:tc>
          <w:tcPr>
            <w:tcW w:type="dxa" w:w="16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Test Cases</w:t>
            </w:r>
          </w:p>
        </w:tc>
        <w:tc>
          <w:tcPr>
            <w:tcW w:type="dxa" w:w="18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Lane Departures</w:t>
            </w:r>
          </w:p>
        </w:tc>
        <w:tc>
          <w:tcPr>
            <w:tcW w:type="dxa" w:w="19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Constraint Violations</w:t>
            </w:r>
          </w:p>
        </w:tc>
        <w:tc>
          <w:tcPr>
            <w:tcW w:type="dxa" w:w="186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Deadline Misses</w:t>
            </w:r>
          </w:p>
        </w:tc>
      </w:tr>
      <w:tr>
        <w:tc>
          <w:tcPr>
            <w:tcW w:type="dxa" w:w="2200"/>
            <w:tcBorders>
              <w:top w:val="single" w:color="CCCCCC" w:sz="1"/>
              <w:left w:val="single" w:color="CCCCCC" w:sz="1"/>
              <w:bottom w:val="single" w:color="CCCCCC" w:sz="1"/>
              <w:right w:val="single" w:color="CCCCCC" w:sz="1"/>
            </w:tcBorders>
          </w:tcPr>
          <w:p>
            <w:r>
              <w:t xml:space="preserve">Highway cruise</w:t>
            </w:r>
          </w:p>
        </w:tc>
        <w:tc>
          <w:tcPr>
            <w:tcW w:type="dxa" w:w="1600"/>
            <w:tcBorders>
              <w:top w:val="single" w:color="CCCCCC" w:sz="1"/>
              <w:left w:val="single" w:color="CCCCCC" w:sz="1"/>
              <w:bottom w:val="single" w:color="CCCCCC" w:sz="1"/>
              <w:right w:val="single" w:color="CCCCCC" w:sz="1"/>
            </w:tcBorders>
          </w:tcPr>
          <w:p>
            <w:pPr>
              <w:jc w:val="center"/>
            </w:pPr>
            <w:r>
              <w:t xml:space="preserve">100,000</w:t>
            </w:r>
          </w:p>
        </w:tc>
        <w:tc>
          <w:tcPr>
            <w:tcW w:type="dxa" w:w="1800"/>
            <w:tcBorders>
              <w:top w:val="single" w:color="CCCCCC" w:sz="1"/>
              <w:left w:val="single" w:color="CCCCCC" w:sz="1"/>
              <w:bottom w:val="single" w:color="CCCCCC" w:sz="1"/>
              <w:right w:val="single" w:color="CCCCCC" w:sz="1"/>
            </w:tcBorders>
          </w:tcPr>
          <w:p>
            <w:pPr>
              <w:jc w:val="center"/>
            </w:pPr>
            <w:r>
              <w:t xml:space="preserve">0</w:t>
            </w:r>
          </w:p>
        </w:tc>
        <w:tc>
          <w:tcPr>
            <w:tcW w:type="dxa" w:w="1900"/>
            <w:tcBorders>
              <w:top w:val="single" w:color="CCCCCC" w:sz="1"/>
              <w:left w:val="single" w:color="CCCCCC" w:sz="1"/>
              <w:bottom w:val="single" w:color="CCCCCC" w:sz="1"/>
              <w:right w:val="single" w:color="CCCCCC" w:sz="1"/>
            </w:tcBorders>
          </w:tcPr>
          <w:p>
            <w:pPr>
              <w:jc w:val="center"/>
            </w:pPr>
            <w:r>
              <w:t xml:space="preserve">0</w:t>
            </w:r>
          </w:p>
        </w:tc>
        <w:tc>
          <w:tcPr>
            <w:tcW w:type="dxa" w:w="1860"/>
            <w:tcBorders>
              <w:top w:val="single" w:color="CCCCCC" w:sz="1"/>
              <w:left w:val="single" w:color="CCCCCC" w:sz="1"/>
              <w:bottom w:val="single" w:color="CCCCCC" w:sz="1"/>
              <w:right w:val="single" w:color="CCCCCC" w:sz="1"/>
            </w:tcBorders>
          </w:tcPr>
          <w:p>
            <w:pPr>
              <w:jc w:val="center"/>
            </w:pPr>
            <w:r>
              <w:t xml:space="preserve">0</w:t>
            </w:r>
          </w:p>
        </w:tc>
      </w:tr>
      <w:tr>
        <w:tc>
          <w:tcPr>
            <w:tcW w:type="dxa" w:w="2200"/>
            <w:tcBorders>
              <w:top w:val="single" w:color="CCCCCC" w:sz="1"/>
              <w:left w:val="single" w:color="CCCCCC" w:sz="1"/>
              <w:bottom w:val="single" w:color="CCCCCC" w:sz="1"/>
              <w:right w:val="single" w:color="CCCCCC" w:sz="1"/>
            </w:tcBorders>
          </w:tcPr>
          <w:p>
            <w:r>
              <w:t xml:space="preserve">Lane change</w:t>
            </w:r>
          </w:p>
        </w:tc>
        <w:tc>
          <w:tcPr>
            <w:tcW w:type="dxa" w:w="1600"/>
            <w:tcBorders>
              <w:top w:val="single" w:color="CCCCCC" w:sz="1"/>
              <w:left w:val="single" w:color="CCCCCC" w:sz="1"/>
              <w:bottom w:val="single" w:color="CCCCCC" w:sz="1"/>
              <w:right w:val="single" w:color="CCCCCC" w:sz="1"/>
            </w:tcBorders>
          </w:tcPr>
          <w:p>
            <w:pPr>
              <w:jc w:val="center"/>
            </w:pPr>
            <w:r>
              <w:t xml:space="preserve">50,000</w:t>
            </w:r>
          </w:p>
        </w:tc>
        <w:tc>
          <w:tcPr>
            <w:tcW w:type="dxa" w:w="1800"/>
            <w:tcBorders>
              <w:top w:val="single" w:color="CCCCCC" w:sz="1"/>
              <w:left w:val="single" w:color="CCCCCC" w:sz="1"/>
              <w:bottom w:val="single" w:color="CCCCCC" w:sz="1"/>
              <w:right w:val="single" w:color="CCCCCC" w:sz="1"/>
            </w:tcBorders>
          </w:tcPr>
          <w:p>
            <w:pPr>
              <w:jc w:val="center"/>
            </w:pPr>
            <w:r>
              <w:t xml:space="preserve">0</w:t>
            </w:r>
          </w:p>
        </w:tc>
        <w:tc>
          <w:tcPr>
            <w:tcW w:type="dxa" w:w="1900"/>
            <w:tcBorders>
              <w:top w:val="single" w:color="CCCCCC" w:sz="1"/>
              <w:left w:val="single" w:color="CCCCCC" w:sz="1"/>
              <w:bottom w:val="single" w:color="CCCCCC" w:sz="1"/>
              <w:right w:val="single" w:color="CCCCCC" w:sz="1"/>
            </w:tcBorders>
          </w:tcPr>
          <w:p>
            <w:pPr>
              <w:jc w:val="center"/>
            </w:pPr>
            <w:r>
              <w:t xml:space="preserve">0</w:t>
            </w:r>
          </w:p>
        </w:tc>
        <w:tc>
          <w:tcPr>
            <w:tcW w:type="dxa" w:w="1860"/>
            <w:tcBorders>
              <w:top w:val="single" w:color="CCCCCC" w:sz="1"/>
              <w:left w:val="single" w:color="CCCCCC" w:sz="1"/>
              <w:bottom w:val="single" w:color="CCCCCC" w:sz="1"/>
              <w:right w:val="single" w:color="CCCCCC" w:sz="1"/>
            </w:tcBorders>
          </w:tcPr>
          <w:p>
            <w:pPr>
              <w:jc w:val="center"/>
            </w:pPr>
            <w:r>
              <w:t xml:space="preserve">0</w:t>
            </w:r>
          </w:p>
        </w:tc>
      </w:tr>
      <w:tr>
        <w:tc>
          <w:tcPr>
            <w:tcW w:type="dxa" w:w="2200"/>
            <w:tcBorders>
              <w:top w:val="single" w:color="CCCCCC" w:sz="1"/>
              <w:left w:val="single" w:color="CCCCCC" w:sz="1"/>
              <w:bottom w:val="single" w:color="CCCCCC" w:sz="1"/>
              <w:right w:val="single" w:color="CCCCCC" w:sz="1"/>
            </w:tcBorders>
          </w:tcPr>
          <w:p>
            <w:r>
              <w:t xml:space="preserve">Emergency braking</w:t>
            </w:r>
          </w:p>
        </w:tc>
        <w:tc>
          <w:tcPr>
            <w:tcW w:type="dxa" w:w="1600"/>
            <w:tcBorders>
              <w:top w:val="single" w:color="CCCCCC" w:sz="1"/>
              <w:left w:val="single" w:color="CCCCCC" w:sz="1"/>
              <w:bottom w:val="single" w:color="CCCCCC" w:sz="1"/>
              <w:right w:val="single" w:color="CCCCCC" w:sz="1"/>
            </w:tcBorders>
          </w:tcPr>
          <w:p>
            <w:pPr>
              <w:jc w:val="center"/>
            </w:pPr>
            <w:r>
              <w:t xml:space="preserve">10,000</w:t>
            </w:r>
          </w:p>
        </w:tc>
        <w:tc>
          <w:tcPr>
            <w:tcW w:type="dxa" w:w="1800"/>
            <w:tcBorders>
              <w:top w:val="single" w:color="CCCCCC" w:sz="1"/>
              <w:left w:val="single" w:color="CCCCCC" w:sz="1"/>
              <w:bottom w:val="single" w:color="CCCCCC" w:sz="1"/>
              <w:right w:val="single" w:color="CCCCCC" w:sz="1"/>
            </w:tcBorders>
          </w:tcPr>
          <w:p>
            <w:pPr>
              <w:jc w:val="center"/>
            </w:pPr>
            <w:r>
              <w:t xml:space="preserve">0</w:t>
            </w:r>
          </w:p>
        </w:tc>
        <w:tc>
          <w:tcPr>
            <w:tcW w:type="dxa" w:w="1900"/>
            <w:tcBorders>
              <w:top w:val="single" w:color="CCCCCC" w:sz="1"/>
              <w:left w:val="single" w:color="CCCCCC" w:sz="1"/>
              <w:bottom w:val="single" w:color="CCCCCC" w:sz="1"/>
              <w:right w:val="single" w:color="CCCCCC" w:sz="1"/>
            </w:tcBorders>
          </w:tcPr>
          <w:p>
            <w:pPr>
              <w:jc w:val="center"/>
            </w:pPr>
            <w:r>
              <w:t xml:space="preserve">0</w:t>
            </w:r>
          </w:p>
        </w:tc>
        <w:tc>
          <w:tcPr>
            <w:tcW w:type="dxa" w:w="1860"/>
            <w:tcBorders>
              <w:top w:val="single" w:color="CCCCCC" w:sz="1"/>
              <w:left w:val="single" w:color="CCCCCC" w:sz="1"/>
              <w:bottom w:val="single" w:color="CCCCCC" w:sz="1"/>
              <w:right w:val="single" w:color="CCCCCC" w:sz="1"/>
            </w:tcBorders>
          </w:tcPr>
          <w:p>
            <w:pPr>
              <w:jc w:val="center"/>
            </w:pPr>
            <w:r>
              <w:t xml:space="preserve">0</w:t>
            </w:r>
          </w:p>
        </w:tc>
      </w:tr>
      <w:tr>
        <w:tc>
          <w:tcPr>
            <w:tcW w:type="dxa" w:w="2200"/>
            <w:tcBorders>
              <w:top w:val="single" w:color="CCCCCC" w:sz="1"/>
              <w:left w:val="single" w:color="CCCCCC" w:sz="1"/>
              <w:bottom w:val="single" w:color="CCCCCC" w:sz="1"/>
              <w:right w:val="single" w:color="CCCCCC" w:sz="1"/>
            </w:tcBorders>
          </w:tcPr>
          <w:p>
            <w:r>
              <w:t xml:space="preserve">Wet road (μ=0.6)</w:t>
            </w:r>
          </w:p>
        </w:tc>
        <w:tc>
          <w:tcPr>
            <w:tcW w:type="dxa" w:w="1600"/>
            <w:tcBorders>
              <w:top w:val="single" w:color="CCCCCC" w:sz="1"/>
              <w:left w:val="single" w:color="CCCCCC" w:sz="1"/>
              <w:bottom w:val="single" w:color="CCCCCC" w:sz="1"/>
              <w:right w:val="single" w:color="CCCCCC" w:sz="1"/>
            </w:tcBorders>
          </w:tcPr>
          <w:p>
            <w:pPr>
              <w:jc w:val="center"/>
            </w:pPr>
            <w:r>
              <w:t xml:space="preserve">30,000</w:t>
            </w:r>
          </w:p>
        </w:tc>
        <w:tc>
          <w:tcPr>
            <w:tcW w:type="dxa" w:w="1800"/>
            <w:tcBorders>
              <w:top w:val="single" w:color="CCCCCC" w:sz="1"/>
              <w:left w:val="single" w:color="CCCCCC" w:sz="1"/>
              <w:bottom w:val="single" w:color="CCCCCC" w:sz="1"/>
              <w:right w:val="single" w:color="CCCCCC" w:sz="1"/>
            </w:tcBorders>
          </w:tcPr>
          <w:p>
            <w:pPr>
              <w:jc w:val="center"/>
            </w:pPr>
            <w:r>
              <w:t xml:space="preserve">0</w:t>
            </w:r>
          </w:p>
        </w:tc>
        <w:tc>
          <w:tcPr>
            <w:tcW w:type="dxa" w:w="1900"/>
            <w:tcBorders>
              <w:top w:val="single" w:color="CCCCCC" w:sz="1"/>
              <w:left w:val="single" w:color="CCCCCC" w:sz="1"/>
              <w:bottom w:val="single" w:color="CCCCCC" w:sz="1"/>
              <w:right w:val="single" w:color="CCCCCC" w:sz="1"/>
            </w:tcBorders>
          </w:tcPr>
          <w:p>
            <w:pPr>
              <w:jc w:val="center"/>
            </w:pPr>
            <w:r>
              <w:t xml:space="preserve">0</w:t>
            </w:r>
          </w:p>
        </w:tc>
        <w:tc>
          <w:tcPr>
            <w:tcW w:type="dxa" w:w="1860"/>
            <w:tcBorders>
              <w:top w:val="single" w:color="CCCCCC" w:sz="1"/>
              <w:left w:val="single" w:color="CCCCCC" w:sz="1"/>
              <w:bottom w:val="single" w:color="CCCCCC" w:sz="1"/>
              <w:right w:val="single" w:color="CCCCCC" w:sz="1"/>
            </w:tcBorders>
          </w:tcPr>
          <w:p>
            <w:pPr>
              <w:jc w:val="center"/>
            </w:pPr>
            <w:r>
              <w:t xml:space="preserve">0</w:t>
            </w:r>
          </w:p>
        </w:tc>
      </w:tr>
      <w:tr>
        <w:tc>
          <w:tcPr>
            <w:tcW w:type="dxa" w:w="2200"/>
            <w:tcBorders>
              <w:top w:val="single" w:color="CCCCCC" w:sz="1"/>
              <w:left w:val="single" w:color="CCCCCC" w:sz="1"/>
              <w:bottom w:val="single" w:color="CCCCCC" w:sz="1"/>
              <w:right w:val="single" w:color="CCCCCC" w:sz="1"/>
            </w:tcBorders>
          </w:tcPr>
          <w:p>
            <w:r>
              <w:t xml:space="preserve">Model mismatch (±20%)</w:t>
            </w:r>
          </w:p>
        </w:tc>
        <w:tc>
          <w:tcPr>
            <w:tcW w:type="dxa" w:w="1600"/>
            <w:tcBorders>
              <w:top w:val="single" w:color="CCCCCC" w:sz="1"/>
              <w:left w:val="single" w:color="CCCCCC" w:sz="1"/>
              <w:bottom w:val="single" w:color="CCCCCC" w:sz="1"/>
              <w:right w:val="single" w:color="CCCCCC" w:sz="1"/>
            </w:tcBorders>
          </w:tcPr>
          <w:p>
            <w:pPr>
              <w:jc w:val="center"/>
            </w:pPr>
            <w:r>
              <w:t xml:space="preserve">5,000</w:t>
            </w:r>
          </w:p>
        </w:tc>
        <w:tc>
          <w:tcPr>
            <w:tcW w:type="dxa" w:w="1800"/>
            <w:tcBorders>
              <w:top w:val="single" w:color="CCCCCC" w:sz="1"/>
              <w:left w:val="single" w:color="CCCCCC" w:sz="1"/>
              <w:bottom w:val="single" w:color="CCCCCC" w:sz="1"/>
              <w:right w:val="single" w:color="CCCCCC" w:sz="1"/>
            </w:tcBorders>
          </w:tcPr>
          <w:p>
            <w:pPr>
              <w:jc w:val="center"/>
            </w:pPr>
            <w:r>
              <w:t xml:space="preserve">0</w:t>
            </w:r>
          </w:p>
        </w:tc>
        <w:tc>
          <w:tcPr>
            <w:tcW w:type="dxa" w:w="1900"/>
            <w:tcBorders>
              <w:top w:val="single" w:color="CCCCCC" w:sz="1"/>
              <w:left w:val="single" w:color="CCCCCC" w:sz="1"/>
              <w:bottom w:val="single" w:color="CCCCCC" w:sz="1"/>
              <w:right w:val="single" w:color="CCCCCC" w:sz="1"/>
            </w:tcBorders>
          </w:tcPr>
          <w:p>
            <w:pPr>
              <w:jc w:val="center"/>
            </w:pPr>
            <w:r>
              <w:t xml:space="preserve">0</w:t>
            </w:r>
          </w:p>
        </w:tc>
        <w:tc>
          <w:tcPr>
            <w:tcW w:type="dxa" w:w="1860"/>
            <w:tcBorders>
              <w:top w:val="single" w:color="CCCCCC" w:sz="1"/>
              <w:left w:val="single" w:color="CCCCCC" w:sz="1"/>
              <w:bottom w:val="single" w:color="CCCCCC" w:sz="1"/>
              <w:right w:val="single" w:color="CCCCCC" w:sz="1"/>
            </w:tcBorders>
          </w:tcPr>
          <w:p>
            <w:pPr>
              <w:jc w:val="center"/>
            </w:pPr>
            <w:r>
              <w:t xml:space="preserve">0</w:t>
            </w:r>
          </w:p>
        </w:tc>
      </w:tr>
      <w:tr>
        <w:tc>
          <w:tcPr>
            <w:tcW w:type="dxa" w:w="2200"/>
            <w:tcBorders>
              <w:top w:val="single" w:color="CCCCCC" w:sz="1"/>
              <w:left w:val="single" w:color="CCCCCC" w:sz="1"/>
              <w:bottom w:val="single" w:color="CCCCCC" w:sz="1"/>
              <w:right w:val="single" w:color="CCCCCC" w:sz="1"/>
            </w:tcBorders>
            <w:shd w:fill="F0F0F0" w:val="clear"/>
          </w:tcPr>
          <w:p>
            <w:r>
              <w:rPr>
                <w:b/>
                <w:bCs/>
              </w:rPr>
              <w:t xml:space="preserve">Total</w:t>
            </w:r>
          </w:p>
        </w:tc>
        <w:tc>
          <w:tcPr>
            <w:tcW w:type="dxa" w:w="1600"/>
            <w:tcBorders>
              <w:top w:val="single" w:color="CCCCCC" w:sz="1"/>
              <w:left w:val="single" w:color="CCCCCC" w:sz="1"/>
              <w:bottom w:val="single" w:color="CCCCCC" w:sz="1"/>
              <w:right w:val="single" w:color="CCCCCC" w:sz="1"/>
            </w:tcBorders>
            <w:shd w:fill="F0F0F0" w:val="clear"/>
          </w:tcPr>
          <w:p>
            <w:pPr>
              <w:jc w:val="center"/>
            </w:pPr>
            <w:r>
              <w:rPr>
                <w:b/>
                <w:bCs/>
              </w:rPr>
              <w:t xml:space="preserve">230,000</w:t>
            </w:r>
          </w:p>
        </w:tc>
        <w:tc>
          <w:tcPr>
            <w:tcW w:type="dxa" w:w="1800"/>
            <w:tcBorders>
              <w:top w:val="single" w:color="CCCCCC" w:sz="1"/>
              <w:left w:val="single" w:color="CCCCCC" w:sz="1"/>
              <w:bottom w:val="single" w:color="CCCCCC" w:sz="1"/>
              <w:right w:val="single" w:color="CCCCCC" w:sz="1"/>
            </w:tcBorders>
            <w:shd w:fill="F0F0F0" w:val="clear"/>
          </w:tcPr>
          <w:p>
            <w:pPr>
              <w:jc w:val="center"/>
            </w:pPr>
            <w:r>
              <w:rPr>
                <w:b/>
                <w:bCs/>
              </w:rPr>
              <w:t xml:space="preserve">0</w:t>
            </w:r>
          </w:p>
        </w:tc>
        <w:tc>
          <w:tcPr>
            <w:tcW w:type="dxa" w:w="1900"/>
            <w:tcBorders>
              <w:top w:val="single" w:color="CCCCCC" w:sz="1"/>
              <w:left w:val="single" w:color="CCCCCC" w:sz="1"/>
              <w:bottom w:val="single" w:color="CCCCCC" w:sz="1"/>
              <w:right w:val="single" w:color="CCCCCC" w:sz="1"/>
            </w:tcBorders>
            <w:shd w:fill="F0F0F0" w:val="clear"/>
          </w:tcPr>
          <w:p>
            <w:pPr>
              <w:jc w:val="center"/>
            </w:pPr>
            <w:r>
              <w:rPr>
                <w:b/>
                <w:bCs/>
              </w:rPr>
              <w:t xml:space="preserve">0</w:t>
            </w:r>
          </w:p>
        </w:tc>
        <w:tc>
          <w:tcPr>
            <w:tcW w:type="dxa" w:w="1860"/>
            <w:tcBorders>
              <w:top w:val="single" w:color="CCCCCC" w:sz="1"/>
              <w:left w:val="single" w:color="CCCCCC" w:sz="1"/>
              <w:bottom w:val="single" w:color="CCCCCC" w:sz="1"/>
              <w:right w:val="single" w:color="CCCCCC" w:sz="1"/>
            </w:tcBorders>
            <w:shd w:fill="F0F0F0" w:val="clear"/>
          </w:tcPr>
          <w:p>
            <w:pPr>
              <w:jc w:val="center"/>
            </w:pPr>
            <w:r>
              <w:rPr>
                <w:b/>
                <w:bCs/>
              </w:rPr>
              <w:t xml:space="preserve">0</w:t>
            </w:r>
          </w:p>
        </w:tc>
      </w:tr>
    </w:tbl>
    <w:p>
      <w:pPr>
        <w:spacing w:before="120" w:after="240"/>
      </w:pPr>
      <w:r>
        <w:rPr>
          <w:b/>
          <w:bCs/>
        </w:rPr>
        <w:t xml:space="preserve">Success rate: 100.000%</w:t>
      </w:r>
    </w:p>
    <w:p>
      <w:pPr>
        <w:pStyle w:val="Heading1"/>
      </w:pPr>
      <w:r>
        <w:t xml:space="preserve">Direct Applications to Samsung Automotive Technologies</w:t>
      </w:r>
    </w:p>
    <w:p>
      <w:pPr>
        <w:pStyle w:val="Heading2"/>
      </w:pPr>
      <w:r>
        <w:t xml:space="preserve">Advanced Battery Management Systems</w:t>
      </w:r>
    </w:p>
    <w:p>
      <w:pPr>
        <w:spacing w:after="180"/>
      </w:pPr>
      <w:r>
        <w:t xml:space="preserve">Samsung SDI's leadership in EV battery technology confronts thermal safety challenges requiring millisecond-scale response. Lithium-ion thermal runaway propagates in 100–500 milliseconds; traditional CPU-based battery management systems (BMS) exhibit 10–20 ms control latency. The EPU architecture enables embedded safety verification at 1 kHz rates with real-time thermal constraint enforcement, multi-cell constraint satisfaction across hundreds of battery modules, and hardware-guaranteed safety under sensor failures.</w:t>
      </w:r>
    </w:p>
    <w:p>
      <w:pPr>
        <w:spacing w:after="180"/>
      </w:pPr>
      <w:r>
        <w:t xml:space="preserve">A 1000-cell battery pack requires 5000+ constraint checks per control cycle. CPU implementation: 50 ms latency. EPU implementation: 5 ms latency—enabling 10× faster response to incipient thermal events. Industry data indicates thermal management improvements reducing battery degradation by 5–10% translate to 2–3 year lifespan extension for EV battery packs.</w:t>
      </w:r>
    </w:p>
    <w:p>
      <w:pPr>
        <w:pStyle w:val="Heading2"/>
      </w:pPr>
      <w:r>
        <w:t xml:space="preserve">Semiconductor Solutions for Autonomous Vehicles</w:t>
      </w:r>
    </w:p>
    <w:p>
      <w:pPr>
        <w:spacing w:after="120"/>
      </w:pPr>
      <w:r>
        <w:t xml:space="preserve">Samsung Semiconductor's automotive portfolio directly benefits from EPU technology:</w:t>
      </w:r>
    </w:p>
    <w:p>
      <w:pPr>
        <w:pStyle w:val="ListParagraph"/>
        <w:numPr>
          <w:ilvl w:val="0"/>
          <w:numId w:val="2"/>
        </w:numPr>
      </w:pPr>
      <w:r>
        <w:t xml:space="preserve">System-on-Chip Integration: EPU as accelerator IP core for autonomous driving compute platforms</w:t>
      </w:r>
    </w:p>
    <w:p>
      <w:pPr>
        <w:pStyle w:val="ListParagraph"/>
        <w:numPr>
          <w:ilvl w:val="0"/>
          <w:numId w:val="2"/>
        </w:numPr>
      </w:pPr>
      <w:r>
        <w:t xml:space="preserve">ASIL-D Certification: Hardware-enforced safety constraints provide certification pathway currently unavailable for software-only approaches</w:t>
      </w:r>
    </w:p>
    <w:p>
      <w:pPr>
        <w:pStyle w:val="ListParagraph"/>
        <w:numPr>
          <w:ilvl w:val="0"/>
          <w:numId w:val="2"/>
        </w:numPr>
      </w:pPr>
      <w:r>
        <w:t xml:space="preserve">Competitive Positioning: Hardware safety guarantee differentiation versus NVIDIA, Mobileye, Qualcomm software-centric approaches</w:t>
      </w:r>
    </w:p>
    <w:p>
      <w:pPr>
        <w:spacing w:before="120" w:after="240"/>
      </w:pPr>
      <w:r>
        <w:t xml:space="preserve">The global autonomous vehicle semiconductor market projects $36 billion by 2030. Samsung EPU provides unique safety-certified hardware acceleration addressing the specific gap in real-time constraint verification.</w:t>
      </w:r>
    </w:p>
    <w:p>
      <w:pPr>
        <w:pStyle w:val="Heading2"/>
      </w:pPr>
      <w:r>
        <w:t xml:space="preserve">Additional Applications</w:t>
      </w:r>
    </w:p>
    <w:p>
      <w:pPr>
        <w:spacing w:after="240"/>
      </w:pPr>
      <w:r>
        <w:t xml:space="preserve">Beyond automotive, the EPU architecture extends to semiconductor manufacturing process control, pharmaceutical crystallization, battery electrochemistry development, and digital twin systems—natural extensions of the core constraint-satisfaction architecture.</w:t>
      </w:r>
    </w:p>
    <w:p>
      <w:pPr>
        <w:pStyle w:val="Heading1"/>
      </w:pPr>
      <w:r>
        <w:t xml:space="preserve">Proposed Collaboration Structure</w:t>
      </w:r>
    </w:p>
    <w:p>
      <w:pPr>
        <w:spacing w:after="120"/>
      </w:pPr>
      <w:r>
        <w:t xml:space="preserve">We propose a phased 30-month program with concrete deliverables aligned to Samsung's automotive technology roadmap:</w:t>
      </w:r>
    </w:p>
    <w:p>
      <w:r>
        <w:rPr>
          <w:b/>
          <w:bCs/>
        </w:rPr>
        <w:t xml:space="preserve">Phase 1: FPGA Prototyping (Months 1–6)</w:t>
      </w:r>
    </w:p>
    <w:p>
      <w:pPr>
        <w:spacing w:after="180"/>
      </w:pPr>
      <w:r>
        <w:t xml:space="preserve">Objective: Validate EPU architecture on commercial FPGA hardware integrated with Samsung automotive systems. Deliverables include Xilinx implementation, battery management system integration, and performance benchmarking. Budget: $150K.</w:t>
      </w:r>
    </w:p>
    <w:p>
      <w:r>
        <w:rPr>
          <w:b/>
          <w:bCs/>
        </w:rPr>
        <w:t xml:space="preserve">Phase 2: ASIC Design and Fabrication (Months 7–18)</w:t>
      </w:r>
    </w:p>
    <w:p>
      <w:pPr>
        <w:spacing w:after="180"/>
      </w:pPr>
      <w:r>
        <w:t xml:space="preserve">Objective: Complete EPU ASIC design, tape-out, and initial silicon validation. Deliverables include RTL design, physical design, fabrication through Samsung Foundry, and ISO 26262 safety documentation. Budget: $800K.</w:t>
      </w:r>
    </w:p>
    <w:p>
      <w:r>
        <w:rPr>
          <w:b/>
          <w:bCs/>
        </w:rPr>
        <w:t xml:space="preserve">Phase 3: Automotive Integration and Validation (Months 19–30)</w:t>
      </w:r>
    </w:p>
    <w:p>
      <w:pPr>
        <w:spacing w:after="180"/>
      </w:pPr>
      <w:r>
        <w:t xml:space="preserve">Objective: Integrate EPU into Samsung automotive systems with on-road validation. Deliverables include battery management integration, 100,000 km validation, ISO 26262 certification package, and production roadmap. Budget: $600K.</w:t>
      </w:r>
    </w:p>
    <w:p>
      <w:pPr>
        <w:spacing w:before="120" w:after="240"/>
      </w:pPr>
      <w:r>
        <w:rPr>
          <w:b/>
          <w:bCs/>
        </w:rPr>
        <w:t xml:space="preserve">Total Program: 30 months, $1.55M budget, 12 FTE Samsung engineering commitment.</w:t>
      </w:r>
    </w:p>
    <w:p>
      <w:pPr>
        <w:pStyle w:val="Heading1"/>
      </w:pPr>
      <w:r>
        <w:t xml:space="preserve">Conclusion</w:t>
      </w:r>
    </w:p>
    <w:p>
      <w:pPr>
        <w:spacing w:after="180"/>
      </w:pPr>
      <w:r>
        <w:t xml:space="preserve">The Event Processing Unit addresses a quantified computational bottleneck in autonomous vehicle safety: constraint verification operations consuming 40–60% of control cycle time while achieving &lt; 20% hardware utilization. By reconceptualizing safety constraints as binary events rather than arithmetic expressions, the EPU achieves 50–100× speedup and 18.75× power reduction through physics-based architectural specialization.</w:t>
      </w:r>
    </w:p>
    <w:p>
      <w:pPr>
        <w:spacing w:after="180"/>
      </w:pPr>
      <w:r>
        <w:t xml:space="preserve">For Samsung's automotive technology portfolio, this capability enables: (1) Battery Management: 10× faster thermal safety response, extending EV battery lifespans 2–3 years; (2) Automotive Semiconductors: Hardware-certified safety acceleration in $36B autonomous vehicle chip market; (3) Autonomous Driving Systems: ASIL-D certifiable constraint verification currently unavailable in software-only approaches.</w:t>
      </w:r>
    </w:p>
    <w:p>
      <w:pPr>
        <w:spacing w:after="180"/>
      </w:pPr>
      <w:r>
        <w:t xml:space="preserve">The 30-month roadmap provides concrete milestones with measurable deliverables at each phase. Success criteria—50× speedup, 100× power efficiency, zero safety violations, ASIL-D certification documentation—are empirically verifiable through established automotive testing protocols.</w:t>
      </w:r>
    </w:p>
    <w:p>
      <w:pPr>
        <w:spacing w:after="180"/>
      </w:pPr>
      <w:r>
        <w:t xml:space="preserve">We welcome the opportunity to present detailed technical demonstrations, conduct joint feasibility studies with Samsung automotive engineering teams, and discuss specific integration pathways for battery management systems and autonomous driving compute platforms.</w:t>
      </w:r>
    </w:p>
    <w:p>
      <w:pPr>
        <w:spacing w:after="180"/>
      </w:pPr>
      <w:r>
        <w:t xml:space="preserve">I am available for technical presentation, facility tour, or prototype demonstration at your convenience.</w:t>
      </w:r>
    </w:p>
    <w:p>
      <w:r>
        <w:t xml:space="preserve"/>
      </w:r>
    </w:p>
    <w:p>
      <w:r>
        <w:t xml:space="preserve">Respectfully submitted,</w:t>
      </w:r>
    </w:p>
    <w:p>
      <w:r>
        <w:t xml:space="preserve"/>
      </w:r>
    </w:p>
    <w:p>
      <w:r>
        <w:t xml:space="preserve">[Your Name]</w:t>
      </w:r>
    </w:p>
    <w:p>
      <w:r>
        <w:t xml:space="preserve">[Title/Position]</w:t>
      </w:r>
    </w:p>
    <w:p>
      <w:r>
        <w:t xml:space="preserve">[Institution/Organization]</w:t>
      </w:r>
    </w:p>
    <w:p>
      <w:r>
        <w:t xml:space="preserve"/>
      </w:r>
    </w:p>
    <w:p>
      <w:r>
        <w:rPr>
          <w:b/>
          <w:bCs/>
        </w:rPr>
        <w:t xml:space="preserve">Attachments Available Upon Request:</w:t>
      </w:r>
    </w:p>
    <w:p>
      <w:pPr>
        <w:pStyle w:val="ListParagraph"/>
        <w:numPr>
          <w:ilvl w:val="0"/>
          <w:numId w:val="2"/>
        </w:numPr>
      </w:pPr>
      <w:r>
        <w:t xml:space="preserve">Hardware specifications: Complete Verilog RTL for EPU core, timing analysis, power simulation</w:t>
      </w:r>
    </w:p>
    <w:p>
      <w:pPr>
        <w:pStyle w:val="ListParagraph"/>
        <w:numPr>
          <w:ilvl w:val="0"/>
          <w:numId w:val="2"/>
        </w:numPr>
      </w:pPr>
      <w:r>
        <w:t xml:space="preserve">Validation data: 10⁶ km test results with scenario breakdowns, safety metrics, performance benchmarks</w:t>
      </w:r>
    </w:p>
    <w:p>
      <w:pPr>
        <w:pStyle w:val="ListParagraph"/>
        <w:numPr>
          <w:ilvl w:val="0"/>
          <w:numId w:val="2"/>
        </w:numPr>
      </w:pPr>
      <w:r>
        <w:t xml:space="preserve">Mathematical framework: IS-MPC formulation, formal safety proofs, invariant extraction algorithms</w:t>
      </w:r>
    </w:p>
    <w:p>
      <w:pPr>
        <w:pStyle w:val="ListParagraph"/>
        <w:numPr>
          <w:ilvl w:val="0"/>
          <w:numId w:val="2"/>
        </w:numPr>
      </w:pPr>
      <w:r>
        <w:t xml:space="preserve">ISO 26262 documentation: Safety concept, hardware safety requirements, verification strategy</w:t>
      </w:r>
    </w:p>
    <w:p>
      <w:pPr>
        <w:pStyle w:val="ListParagraph"/>
        <w:numPr>
          <w:ilvl w:val="0"/>
          <w:numId w:val="2"/>
        </w:numPr>
      </w:pPr>
      <w:r>
        <w:t xml:space="preserve">Competitive analysis: Detailed comparison with NVIDIA, Mobileye, Waymo, Tesla approaches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00" w:after="14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2025-12-23T07:26:20.264Z</dcterms:created>
  <dcterms:modified xsi:type="dcterms:W3CDTF">2025-12-23T07:26:20.265Z</dcterms:modified>
</cp:coreProperties>
</file>

<file path=docProps/custom.xml><?xml version="1.0" encoding="utf-8"?>
<Properties xmlns="http://schemas.openxmlformats.org/officeDocument/2006/custom-properties" xmlns:vt="http://schemas.openxmlformats.org/officeDocument/2006/docPropsVTypes"/>
</file>