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MCP Feasibility Assessment</w:t>
      </w:r>
    </w:p>
    <w:p>
      <w:pPr>
        <w:spacing w:after="100"/>
        <w:jc w:val="center"/>
      </w:pPr>
      <w:r>
        <w:rPr>
          <w:rFonts w:ascii="Arial" w:cs="Arial" w:eastAsia="Arial" w:hAnsi="Arial"/>
          <w:color w:val="5DADE2"/>
          <w:sz w:val="32"/>
          <w:szCs w:val="32"/>
        </w:rPr>
        <w:t xml:space="preserve">TEA Space — Techno-Economic Analysis Platform</w:t>
      </w:r>
    </w:p>
    <w:p>
      <w:pPr>
        <w:pBdr>
          <w:bottom w:val="single" w:color="85C1E9" w:sz="6" w:space="1"/>
        </w:pBdr>
        <w:spacing w:after="600"/>
        <w:jc w:val="center"/>
      </w:pPr>
      <w:r>
        <w:rPr>
          <w:sz w:val="10"/>
          <w:szCs w:val="10"/>
        </w:rPr>
        <w:t xml:space="preserve"> </w:t>
      </w:r>
    </w:p>
    <w:p>
      <w:pPr>
        <w:spacing w:after="100"/>
        <w:jc w:val="center"/>
      </w:pPr>
      <w:r>
        <w:rPr>
          <w:rFonts w:ascii="Arial" w:cs="Arial" w:eastAsia="Arial" w:hAnsi="Arial"/>
          <w:color w:val="555555"/>
          <w:sz w:val="24"/>
          <w:szCs w:val="24"/>
        </w:rPr>
        <w:t xml:space="preserve">Architecture Analysis, Tool Surface Design, and Implementation Roadmap</w:t>
      </w:r>
    </w:p>
    <w:p>
      <w:pPr>
        <w:spacing w:after="100"/>
        <w:jc w:val="center"/>
      </w:pPr>
      <w:r>
        <w:rPr>
          <w:rFonts w:ascii="Arial" w:cs="Arial" w:eastAsia="Arial" w:hAnsi="Arial"/>
          <w:color w:val="777777"/>
          <w:sz w:val="22"/>
          <w:szCs w:val="22"/>
        </w:rPr>
        <w:t xml:space="preserve">March 18, 2026</w:t>
      </w:r>
    </w:p>
    <w:p>
      <w:pPr>
        <w:jc w:val="center"/>
      </w:pPr>
      <w:r>
        <w:rPr>
          <w:rFonts w:ascii="Arial" w:cs="Arial" w:eastAsia="Arial" w:hAnsi="Arial"/>
          <w:color w:val="777777"/>
          <w:sz w:val="22"/>
          <w:szCs w:val="22"/>
        </w:rPr>
        <w:t xml:space="preserve">Prepared for Mohsen Dirbaz</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report evaluates the feasibility of building a Model Context Protocol (MCP) server for the TEA Space platform—a matrix-native techno-economic analysis environment built on React 18 (frontend) and a distributed Flask/Express microservice backend spanning 20+ independently deployed services across ports 2500–8010.</w:t>
      </w:r>
    </w:p>
    <w:p>
      <w:pPr>
        <w:spacing w:after="120"/>
      </w:pPr>
      <w:r>
        <w:rPr>
          <w:b/>
          <w:bCs/>
        </w:rPr>
        <w:t xml:space="preserve">Verdict: </w:t>
      </w:r>
      <w:r>
        <w:t xml:space="preserve">Building an MCP server for TEA Space is highly feasible and strategically valuable. The platform’s existing REST API surface (40+ endpoints across 17+ Flask services and 3 Node.js services) provides a well-structured integration layer. An MCP server would allow LLM agents to operate the platform as a normal analyst would—configuring scenarios, running calculations, monitoring results, and extracting insights—without requiring direct UI interaction.</w:t>
      </w:r>
    </w:p>
    <w:p>
      <w:pPr>
        <w:spacing w:after="120"/>
      </w:pPr>
      <w:r>
        <w:t xml:space="preserve">The primary value proposition is enabling AI-assisted techno-economic analysis: an agent could autonomously create versions, configure parameters with efficacy periods, run CFA calculations, perform sensitivity analyses, and synthesize results into actionable narratives.</w:t>
      </w:r>
    </w:p>
    <w:p>
      <w:r>
        <w:br w:type="page"/>
      </w:r>
    </w:p>
    <w:p>
      <w:pPr>
        <w:pStyle w:val="Heading1"/>
      </w:pPr>
      <w:r>
        <w:t xml:space="preserve">Platform Architecture Overview</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Jotai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Matrix-native state management, Ant Design UI</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Backend (Config)</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 (Python 3.9+)</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 config services on ports 3050–3054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(Calc)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CFA engine, sensitivity on ports 2500–5009</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Backend (Data)</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 (Python)</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Table, Plot, HTML services on ports 8007–8009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Express.js +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server (3060), start_servers.py</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Data Store</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Filesystem (JSON/CSV/Py)</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Version-based batch directories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(Server-Sent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optimization &amp; sensitivity streaming</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Desktop</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Electron</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Optional desktop packaging</w:t>
            </w:r>
          </w:p>
        </w:tc>
      </w:tr>
    </w:tbl>
    <w:p>
      <w:pPr>
        <w:pStyle w:val="Heading2"/>
      </w:pPr>
      <w:r>
        <w:t xml:space="preserve">Service Map</w:t>
      </w:r>
    </w:p>
    <w:p>
      <w:pPr>
        <w:spacing w:after="120"/>
      </w:pPr>
      <w:r>
        <w:t xml:space="preserve">The platform operates as a constellation of 20+ microservices. The following table catalogs the core services that would be exposed through the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 Append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Node.js/Express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Complete Set Submit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3052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Node.js/Express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Module1 (Matrix Builder)</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3051</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Modules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Table Generator</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3054</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Configuration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Node.js/Express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CFA Calculations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5007</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Computation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Sensitivity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Sensitivity Config</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2600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Computation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CFA List / Consolidation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Configuration API</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5002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Data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Access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Batch Creator</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8001</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Lifecycle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Remover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Lifecycle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Plot Server (PNG)</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5008</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Visualization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Renderer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Plot Renderer</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8008</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Visualization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Renderer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Theme Engine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8010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Presentation</w:t>
            </w:r>
          </w:p>
        </w:tc>
      </w:tr>
    </w:tbl>
    <w:p>
      <w:pPr>
        <w:pStyle w:val="Heading2"/>
      </w:pPr>
      <w:r>
        <w:t xml:space="preserve">Data Flow Architecture</w:t>
      </w:r>
    </w:p>
    <w:p>
      <w:pPr>
        <w:spacing w:after="120"/>
      </w:pPr>
      <w:r>
        <w:t xml:space="preserve">The platform follows a sequential pipeline architecture for each analysis version. User parameters flow through a five-stage configuration pipeline (Submit → Format → Matrix Build → Config Modules → Table Generation), after which the CFA engine executes calculations with real-time progress streaming via SSE. Results are persisted as CSV/JSON in versioned batch directories on the filesystem.</w:t>
      </w:r>
    </w:p>
    <w:p>
      <w:pPr>
        <w:spacing w:after="120"/>
      </w:pPr>
      <w:r>
        <w:t xml:space="preserve">The matrix-native data model indexes every parameter value by three dimensions: Version (V1–V20), Zone (z1–zN), and Parameter ID (Amount1–Amount84+). Efficacy periods attach temporal validity windows to each parameter, enabling time-segmented scenario design.</w:t>
      </w:r>
    </w:p>
    <w:p>
      <w:r>
        <w:br w:type="page"/>
      </w:r>
    </w:p>
    <w:p>
      <w:pPr>
        <w:pStyle w:val="Heading1"/>
      </w:pPr>
      <w:r>
        <w:t xml:space="preserve">Feasibility Analysis</w:t>
      </w:r>
    </w:p>
    <w:p>
      <w:pPr>
        <w:pStyle w:val="Heading2"/>
      </w:pPr>
      <w:r>
        <w:t xml:space="preserve">Structural Feasibility</w:t>
      </w:r>
    </w:p>
    <w:p>
      <w:pPr>
        <w:spacing w:after="120"/>
      </w:pPr>
      <w:r>
        <w:t xml:space="preserve">The platform’s architecture is remarkably well-suited for MCP wrapping. Each microservice exposes focused REST endpoints with clear request/response contracts. The separation of concerns—configuration management, computation, visualization, and data access—maps naturally to distinct MCP tool categories. The filesystem-based persistence model (no external database) simplifies state management, as all data flows through well-defined file paths under the Original/Batch(V)/ directory hierarchy.</w:t>
      </w:r>
    </w:p>
    <w:p>
      <w:pPr>
        <w:pStyle w:val="Heading3"/>
      </w:pPr>
      <w:r>
        <w:t xml:space="preserve">Strengths for MCP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endpoints documented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HTTP proxying to MCP tools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Sequential pipeline</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Clear stage ordering</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Agent can orchestrate deterministically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isolation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version is self-contained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analysis runs are safe</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SSE streaming</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Real-time calculation updates</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Agent can monitor progress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Filesystem persistence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JSON/CSV/Py files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state inspection and validation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authentication</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Local-only services</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 OAuth complexity for MCP layer</w:t>
            </w:r>
          </w:p>
        </w:tc>
      </w:tr>
    </w:tbl>
    <w:p>
      <w:pPr>
        <w:pStyle w:val="Heading3"/>
      </w:pPr>
      <w:r>
        <w:t xml:space="preserve">Challenges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services must be running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Health-check tool + startup orchestration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Port coordination complexity</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MCP server encapsulates all port routing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parameter space (84+ params)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Categorized tools with smart defaults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Sequential pipeline ordering</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Workflow tools that chain stages automatically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formal API schemas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defines Zod schemas as contract layer</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File-based data format coupling</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MCP tools abstract filesystem details</w:t>
            </w:r>
          </w:p>
        </w:tc>
      </w:tr>
    </w:tbl>
    <w:p>
      <w:r>
        <w:br w:type="page"/>
      </w:r>
    </w:p>
    <w:p>
      <w:pPr>
        <w:pStyle w:val="Heading1"/>
      </w:pPr>
      <w:r>
        <w:t xml:space="preserve">Proposed MCP Tool Surface</w:t>
      </w:r>
    </w:p>
    <w:p>
      <w:pPr>
        <w:spacing w:after="120"/>
      </w:pPr>
      <w:r>
        <w:t xml:space="preserve">The following tool taxonomy organizes 25+ tools into five functional domains. Each tool is designed to mirror what a human analyst would do through the UI, enabling an LLM agent to perform complete techno-economic analyses programmatically.</w:t>
      </w:r>
    </w:p>
    <w:p>
      <w:pPr>
        <w:pStyle w:val="Heading2"/>
      </w:pPr>
      <w:r>
        <w:t xml:space="preserve">Domain 1: Platform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Backend Target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Annotations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tea_check_health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status of all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/status (3060)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idempotent</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tea_list_versions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List all analysis versions with metadata</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GET /versions (8002)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readOnly, idempotent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tea_create_batch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analysis version/batch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/create_new_batch (8001)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destructive: false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tea_remove_batch</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Remove an analysis version</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/Remove_batch (7001)</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destructive: true</w:t>
            </w:r>
          </w:p>
        </w:tc>
      </w:tr>
    </w:tbl>
    <w:p>
      <w:pPr>
        <w:pStyle w:val="Heading2"/>
      </w:pPr>
      <w:r>
        <w:t xml:space="preserve">Domain 2: Configuration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Backend Target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Annotations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tea_get_configuration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configuration for a 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/load_configuration (5002)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tea_submit_parameters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Submit complete parameter set for a version</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/append/:v (3052)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destructive: false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tea_update_parameter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 single parameter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/append/:v (3040)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tea_run_config_pipeline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Execute full config pipeline (format → matrix → modules → table)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Sequential: 3050→3051→3053→3054</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workflow tool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tea_get_config_table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the configuration table for a 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read: config_table_V.csv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tea_list_parameters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List all available parameters with descriptions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/list_parameters (2750)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readOnly</w:t>
            </w:r>
          </w:p>
        </w:tc>
      </w:tr>
    </w:tbl>
    <w:p>
      <w:pPr>
        <w:pStyle w:val="Heading2"/>
      </w:pPr>
      <w:r>
        <w:t xml:space="preserve">Domain 3: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Backend Target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Annotations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tea_run_cfa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CFA calculation for a 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/run (5007) or GET /price/:v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long-running</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tea_get_cfa_status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Poll price optimization status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GET /stream_price/:v (5007 SSE)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tea_configure_sensitivity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sensitivity analysis parameters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/sensitivity/configure (2500)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idempotent</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tea_run_sensitivity</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Execute sensitivity analysis runs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/runs (2500)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long-running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tea_consolidate_versions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 multiple versions into comparative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/api/consolidate (4560)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long-running</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tea_get_consolidation_status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Poll consolidation progress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GET /api/consolidate/status/:id (4560)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readOnly</w:t>
            </w:r>
          </w:p>
        </w:tc>
      </w:tr>
    </w:tbl>
    <w:p>
      <w:pPr>
        <w:pStyle w:val="Heading2"/>
      </w:pPr>
      <w:r>
        <w:t xml:space="preserve">Domain 4: Results and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Backend Target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Annotations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tea_get_results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CFA calculation results (revenue, expenses, cash flow)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read: Results CSV 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tea_get_plots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Retrieve analysis plots for a version</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GET /api/plots/:v (5008)</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tea_get_sensitivity_plots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sensitivity analysis plots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/api/sensitivity-plots/:v (5008)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tea_generate_png_plots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Generate PNG visualizations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/generate_png_plots (5008)</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destructive: false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tea_get_csv_export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results as 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/api/csv-files/:v (8007)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tea_get_html_report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Get HTML-rendered analysis report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GET /api/album_html/:v (8009)</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readOnly</w:t>
            </w:r>
          </w:p>
        </w:tc>
      </w:tr>
    </w:tbl>
    <w:p>
      <w:pPr>
        <w:pStyle w:val="Heading2"/>
      </w:pPr>
      <w:r>
        <w:t xml:space="preserve">Domain 5: Advanced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Backend Target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Annotations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tea_copy_sensitivity_config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config modules for sensitivity baseline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/copy-config-modules (2600)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destructive: false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tea_register_payload</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Register computation payload for modular sensitivity</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/register_payload (2500)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idempotent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tea_run_baseline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baseline CFA for sensitivity comparison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/baseline_calculation (2500)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long-running</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tea_inject_industry_names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Apply industry-standard naming to parameters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POST /inject-names (2751)</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destructive: false</w:t>
            </w:r>
          </w:p>
        </w:tc>
      </w:tr>
    </w:tbl>
    <w:p>
      <w:r>
        <w:br w:type="page"/>
      </w:r>
    </w:p>
    <w:p>
      <w:pPr>
        <w:pStyle w:val="Heading1"/>
      </w:pPr>
      <w:r>
        <w:t xml:space="preserve">Agent Workflow Design</w:t>
      </w:r>
    </w:p>
    <w:p>
      <w:pPr>
        <w:spacing w:after="120"/>
      </w:pPr>
      <w:r>
        <w:t xml:space="preserve">The following illustrates how an LLM agent would perform a complete techno-economic analysis using the MCP tools, mirroring the workflow a human analyst follows through the UI:</w:t>
      </w:r>
    </w:p>
    <w:p>
      <w:pPr>
        <w:pStyle w:val="Heading2"/>
      </w:pPr>
      <w:r>
        <w:t xml:space="preserve">Scenario: Complete CFA with Sensitivity</w:t>
      </w:r>
    </w:p>
    <w:p>
      <w:pPr>
        <w:pStyle w:val="ListParagraph"/>
        <w:numPr>
          <w:ilvl w:val="0"/>
          <w:numId w:val="2"/>
        </w:numPr>
        <w:spacing w:after="80"/>
      </w:pPr>
      <w:r>
        <w:rPr>
          <w:b/>
          <w:bCs/>
        </w:rPr>
        <w:t xml:space="preserve">Health Check: </w:t>
      </w:r>
      <w:r>
        <w:t xml:space="preserve">tea_check_health → Verify all 20+ services are operational</w:t>
      </w:r>
    </w:p>
    <w:p>
      <w:pPr>
        <w:pStyle w:val="ListParagraph"/>
        <w:numPr>
          <w:ilvl w:val="0"/>
          <w:numId w:val="2"/>
        </w:numPr>
        <w:spacing w:after="80"/>
      </w:pPr>
      <w:r>
        <w:rPr>
          <w:b/>
          <w:bCs/>
        </w:rPr>
        <w:t xml:space="preserve">Create Version: </w:t>
      </w:r>
      <w:r>
        <w:t xml:space="preserve">tea_create_batch(version=3) → Initialize new analysis batch</w:t>
      </w:r>
    </w:p>
    <w:p>
      <w:pPr>
        <w:pStyle w:val="ListParagraph"/>
        <w:numPr>
          <w:ilvl w:val="0"/>
          <w:numId w:val="2"/>
        </w:numPr>
        <w:spacing w:after="80"/>
      </w:pPr>
      <w:r>
        <w:rPr>
          <w:b/>
          <w:bCs/>
        </w:rPr>
        <w:t xml:space="preserve">Configure Parameters: </w:t>
      </w:r>
      <w:r>
        <w:t xml:space="preserve">tea_submit_parameters(version=3, params={plantLifetime: 20, BEC: 15000000, ...}) → Set all economic parameters</w:t>
      </w:r>
    </w:p>
    <w:p>
      <w:pPr>
        <w:pStyle w:val="ListParagraph"/>
        <w:numPr>
          <w:ilvl w:val="0"/>
          <w:numId w:val="2"/>
        </w:numPr>
        <w:spacing w:after="80"/>
      </w:pPr>
      <w:r>
        <w:rPr>
          <w:b/>
          <w:bCs/>
        </w:rPr>
        <w:t xml:space="preserve">Process Configuration: </w:t>
      </w:r>
      <w:r>
        <w:t xml:space="preserve">tea_run_config_pipeline(version=3) → Format, build matrix, generate config modules, create tables</w:t>
      </w:r>
    </w:p>
    <w:p>
      <w:pPr>
        <w:pStyle w:val="ListParagraph"/>
        <w:numPr>
          <w:ilvl w:val="0"/>
          <w:numId w:val="2"/>
        </w:numPr>
        <w:spacing w:after="80"/>
      </w:pPr>
      <w:r>
        <w:rPr>
          <w:b/>
          <w:bCs/>
        </w:rPr>
        <w:t xml:space="preserve">Run CFA: </w:t>
      </w:r>
      <w:r>
        <w:t xml:space="preserve">tea_run_cfa(version=3) → Execute cash flow analysis with price optimization</w:t>
      </w:r>
    </w:p>
    <w:p>
      <w:pPr>
        <w:pStyle w:val="ListParagraph"/>
        <w:numPr>
          <w:ilvl w:val="0"/>
          <w:numId w:val="2"/>
        </w:numPr>
        <w:spacing w:after="80"/>
      </w:pPr>
      <w:r>
        <w:rPr>
          <w:b/>
          <w:bCs/>
        </w:rPr>
        <w:t xml:space="preserve">Monitor Progress: </w:t>
      </w:r>
      <w:r>
        <w:t xml:space="preserve">tea_get_cfa_status(version=3) → Poll SSE stream for iterations, NPV convergence</w:t>
      </w:r>
    </w:p>
    <w:p>
      <w:pPr>
        <w:pStyle w:val="ListParagraph"/>
        <w:numPr>
          <w:ilvl w:val="0"/>
          <w:numId w:val="2"/>
        </w:numPr>
        <w:spacing w:after="80"/>
      </w:pPr>
      <w:r>
        <w:rPr>
          <w:b/>
          <w:bCs/>
        </w:rPr>
        <w:t xml:space="preserve">Extract Results: </w:t>
      </w:r>
      <w:r>
        <w:t xml:space="preserve">tea_get_results(version=3) → Retrieve revenue, expenses, cash flow tables</w:t>
      </w:r>
    </w:p>
    <w:p>
      <w:pPr>
        <w:pStyle w:val="ListParagraph"/>
        <w:numPr>
          <w:ilvl w:val="0"/>
          <w:numId w:val="2"/>
        </w:numPr>
        <w:spacing w:after="80"/>
      </w:pPr>
      <w:r>
        <w:rPr>
          <w:b/>
          <w:bCs/>
        </w:rPr>
        <w:t xml:space="preserve">Sensitivity Analysis: </w:t>
      </w:r>
      <w:r>
        <w:t xml:space="preserve">tea_configure_sensitivity + tea_run_sensitivity → Vary key parameters (BEC ±20%, inflation ±5%)</w:t>
      </w:r>
    </w:p>
    <w:p>
      <w:pPr>
        <w:pStyle w:val="ListParagraph"/>
        <w:numPr>
          <w:ilvl w:val="0"/>
          <w:numId w:val="2"/>
        </w:numPr>
        <w:spacing w:after="80"/>
      </w:pPr>
      <w:r>
        <w:rPr>
          <w:b/>
          <w:bCs/>
        </w:rPr>
        <w:t xml:space="preserve">Generate Visualizations: </w:t>
      </w:r>
      <w:r>
        <w:t xml:space="preserve">tea_get_plots + tea_get_sensitivity_plots → Retrieve charts and graphs</w:t>
      </w:r>
    </w:p>
    <w:p>
      <w:pPr>
        <w:pStyle w:val="ListParagraph"/>
        <w:numPr>
          <w:ilvl w:val="0"/>
          <w:numId w:val="2"/>
        </w:numPr>
        <w:spacing w:after="80"/>
      </w:pPr>
      <w:r>
        <w:rPr>
          <w:b/>
          <w:bCs/>
        </w:rPr>
        <w:t xml:space="preserve">Synthesize Report: </w:t>
      </w:r>
      <w:r>
        <w:t xml:space="preserve">Agent composes narrative from structured CFA results, sensitivity ranges, and visualization data</w:t>
      </w:r>
    </w:p>
    <w:p>
      <w:r>
        <w:br w:type="page"/>
      </w:r>
    </w:p>
    <w:p>
      <w:pPr>
        <w:pStyle w:val="Heading1"/>
      </w:pPr>
      <w:r>
        <w:t xml:space="preserve">Dependency Analysis</w:t>
      </w:r>
    </w:p>
    <w:p>
      <w:pPr>
        <w:pStyle w:val="Heading2"/>
      </w:pPr>
      <w:r>
        <w:t xml:space="preserve">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Runtime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services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Python Web</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Flask, Flask-CORS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API framework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numpy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CFA calculations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Node.js Runtime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Node.js 20.x</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20.x</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Frontend + orchestration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Web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Express.js, CORS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services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Node.js Client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Axios, Socket.io-client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HTTP + real-time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Jotai, Ant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Plotly (Python), Recharts (JS)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Charts and graphs</w:t>
            </w:r>
          </w:p>
        </w:tc>
      </w:tr>
    </w:tbl>
    <w:p>
      <w:pPr>
        <w:pStyle w:val="Heading2"/>
      </w:pPr>
      <w:r>
        <w:t xml:space="preserve">MCP Server Dependencies</w:t>
      </w:r>
    </w:p>
    <w:p>
      <w:pPr>
        <w:spacing w:after="120"/>
      </w:pPr>
      <w:r>
        <w:t xml:space="preserve">The MCP server itself would require minimal additional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@modelcontextprotocol/sdk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SDK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implementation</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zod</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Schema validation</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Input/output type safety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node-fetch or axios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client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Proxying to TEA Space services</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eventsource</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SSE client</w:t>
            </w:r>
          </w:p>
        </w:tc>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Consuming real-time calculation streams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quality</w:t>
            </w:r>
          </w:p>
        </w:tc>
      </w:tr>
    </w:tbl>
    <w:p>
      <w:pPr>
        <w:pStyle w:val="Heading2"/>
      </w:pPr>
      <w:r>
        <w:t xml:space="preserve">Infrastructure Requirements</w:t>
      </w:r>
    </w:p>
    <w:p>
      <w:pPr>
        <w:spacing w:after="120"/>
      </w:pPr>
      <w:r>
        <w:t xml:space="preserve">The MCP server operates as a thin orchestration layer atop the existing TEA Space service constellation. It does not replace any existing service; rather, it provides a structured, LLM-friendly interface to them. The TEA Space services must be running locally (or accessible via network) for the MCP server to function. The MCP server itself adds negligible compute overhead, as all heavy computation remains in the Python CFA engine.</w:t>
      </w:r>
    </w:p>
    <w:p>
      <w:r>
        <w:br w:type="page"/>
      </w:r>
    </w:p>
    <w:p>
      <w:pPr>
        <w:pStyle w:val="Heading1"/>
      </w:pPr>
      <w:r>
        <w:t xml:space="preserve">Implementation Roadmap</w:t>
      </w:r>
    </w:p>
    <w:p>
      <w:pPr>
        <w:pStyle w:val="Heading2"/>
      </w:pPr>
      <w:r>
        <w:t xml:space="preserve">Phase 1: Foundation (Week 1–2)</w:t>
      </w:r>
    </w:p>
    <w:p>
      <w:pPr>
        <w:pStyle w:val="ListParagraph"/>
        <w:numPr>
          <w:ilvl w:val="0"/>
          <w:numId w:val="3"/>
        </w:numPr>
        <w:spacing w:after="80"/>
      </w:pPr>
      <w:r>
        <w:t xml:space="preserve">Scaffold TypeScript MCP server project with stdio transport</w:t>
      </w:r>
    </w:p>
    <w:p>
      <w:pPr>
        <w:pStyle w:val="ListParagraph"/>
        <w:numPr>
          <w:ilvl w:val="0"/>
          <w:numId w:val="3"/>
        </w:numPr>
        <w:spacing w:after="80"/>
      </w:pPr>
      <w:r>
        <w:t xml:space="preserve">Implement health-check and version-listing tools (read-only, low risk)</w:t>
      </w:r>
    </w:p>
    <w:p>
      <w:pPr>
        <w:pStyle w:val="ListParagraph"/>
        <w:numPr>
          <w:ilvl w:val="0"/>
          <w:numId w:val="3"/>
        </w:numPr>
        <w:spacing w:after="80"/>
      </w:pPr>
      <w:r>
        <w:t xml:space="preserve">Define Zod schemas for all parameter types and configuration objects</w:t>
      </w:r>
    </w:p>
    <w:p>
      <w:pPr>
        <w:pStyle w:val="ListParagraph"/>
        <w:numPr>
          <w:ilvl w:val="0"/>
          <w:numId w:val="3"/>
        </w:numPr>
        <w:spacing w:after="80"/>
      </w:pPr>
      <w:r>
        <w:t xml:space="preserve">Build HTTP client abstraction layer with port routing and error handling</w:t>
      </w:r>
    </w:p>
    <w:p>
      <w:pPr>
        <w:pStyle w:val="Heading2"/>
      </w:pPr>
      <w:r>
        <w:t xml:space="preserve">Phase 2: Configuration Tools (Week 3–4)</w:t>
      </w:r>
    </w:p>
    <w:p>
      <w:pPr>
        <w:pStyle w:val="ListParagraph"/>
        <w:numPr>
          <w:ilvl w:val="0"/>
          <w:numId w:val="3"/>
        </w:numPr>
        <w:spacing w:after="80"/>
      </w:pPr>
      <w:r>
        <w:t xml:space="preserve">Implement parameter submission and configuration tools</w:t>
      </w:r>
    </w:p>
    <w:p>
      <w:pPr>
        <w:pStyle w:val="ListParagraph"/>
        <w:numPr>
          <w:ilvl w:val="0"/>
          <w:numId w:val="3"/>
        </w:numPr>
        <w:spacing w:after="80"/>
      </w:pPr>
      <w:r>
        <w:t xml:space="preserve">Build the workflow tool for the full config pipeline (format → matrix → modules → table)</w:t>
      </w:r>
    </w:p>
    <w:p>
      <w:pPr>
        <w:pStyle w:val="ListParagraph"/>
        <w:numPr>
          <w:ilvl w:val="0"/>
          <w:numId w:val="3"/>
        </w:numPr>
        <w:spacing w:after="80"/>
      </w:pPr>
      <w:r>
        <w:t xml:space="preserve">Implement batch creation and removal tools</w:t>
      </w:r>
    </w:p>
    <w:p>
      <w:pPr>
        <w:pStyle w:val="ListParagraph"/>
        <w:numPr>
          <w:ilvl w:val="0"/>
          <w:numId w:val="3"/>
        </w:numPr>
        <w:spacing w:after="80"/>
      </w:pPr>
      <w:r>
        <w:t xml:space="preserve">Add parameter listing with human-readable descriptions</w:t>
      </w:r>
    </w:p>
    <w:p>
      <w:pPr>
        <w:pStyle w:val="Heading2"/>
      </w:pPr>
      <w:r>
        <w:t xml:space="preserve">Phase 3: Computation Tools (Week 5–6)</w:t>
      </w:r>
    </w:p>
    <w:p>
      <w:pPr>
        <w:pStyle w:val="ListParagraph"/>
        <w:numPr>
          <w:ilvl w:val="0"/>
          <w:numId w:val="3"/>
        </w:numPr>
        <w:spacing w:after="80"/>
      </w:pPr>
      <w:r>
        <w:t xml:space="preserve">Implement CFA execution and SSE-based progress monitoring</w:t>
      </w:r>
    </w:p>
    <w:p>
      <w:pPr>
        <w:pStyle w:val="ListParagraph"/>
        <w:numPr>
          <w:ilvl w:val="0"/>
          <w:numId w:val="3"/>
        </w:numPr>
        <w:spacing w:after="80"/>
      </w:pPr>
      <w:r>
        <w:t xml:space="preserve">Build sensitivity configuration and execution tools</w:t>
      </w:r>
    </w:p>
    <w:p>
      <w:pPr>
        <w:pStyle w:val="ListParagraph"/>
        <w:numPr>
          <w:ilvl w:val="0"/>
          <w:numId w:val="3"/>
        </w:numPr>
        <w:spacing w:after="80"/>
      </w:pPr>
      <w:r>
        <w:t xml:space="preserve">Implement multi-version consolidation with polling</w:t>
      </w:r>
    </w:p>
    <w:p>
      <w:pPr>
        <w:pStyle w:val="Heading2"/>
      </w:pPr>
      <w:r>
        <w:t xml:space="preserve">Phase 4: Results and Visualization (Week 7–8)</w:t>
      </w:r>
    </w:p>
    <w:p>
      <w:pPr>
        <w:pStyle w:val="ListParagraph"/>
        <w:numPr>
          <w:ilvl w:val="0"/>
          <w:numId w:val="3"/>
        </w:numPr>
        <w:spacing w:after="80"/>
      </w:pPr>
      <w:r>
        <w:t xml:space="preserve">Implement results retrieval tools (CSV, JSON, structured tables)</w:t>
      </w:r>
    </w:p>
    <w:p>
      <w:pPr>
        <w:pStyle w:val="ListParagraph"/>
        <w:numPr>
          <w:ilvl w:val="0"/>
          <w:numId w:val="3"/>
        </w:numPr>
        <w:spacing w:after="80"/>
      </w:pPr>
      <w:r>
        <w:t xml:space="preserve">Build plot and visualization access tools</w:t>
      </w:r>
    </w:p>
    <w:p>
      <w:pPr>
        <w:pStyle w:val="ListParagraph"/>
        <w:numPr>
          <w:ilvl w:val="0"/>
          <w:numId w:val="3"/>
        </w:numPr>
        <w:spacing w:after="80"/>
      </w:pPr>
      <w:r>
        <w:t xml:space="preserve">Add HTML report generation tools</w:t>
      </w:r>
    </w:p>
    <w:p>
      <w:pPr>
        <w:pStyle w:val="Heading2"/>
      </w:pPr>
      <w:r>
        <w:t xml:space="preserve">Phase 5: Testing and Evaluation (Week 9–10)</w:t>
      </w:r>
    </w:p>
    <w:p>
      <w:pPr>
        <w:pStyle w:val="ListParagraph"/>
        <w:numPr>
          <w:ilvl w:val="0"/>
          <w:numId w:val="3"/>
        </w:numPr>
        <w:spacing w:after="80"/>
      </w:pPr>
      <w:r>
        <w:t xml:space="preserve">Create 10+ evaluation questions testing end-to-end agent workflows</w:t>
      </w:r>
    </w:p>
    <w:p>
      <w:pPr>
        <w:pStyle w:val="ListParagraph"/>
        <w:numPr>
          <w:ilvl w:val="0"/>
          <w:numId w:val="3"/>
        </w:numPr>
        <w:spacing w:after="80"/>
      </w:pPr>
      <w:r>
        <w:t xml:space="preserve">Benchmark with MCP Inspector and real LLM agents</w:t>
      </w:r>
    </w:p>
    <w:p>
      <w:pPr>
        <w:pStyle w:val="ListParagraph"/>
        <w:numPr>
          <w:ilvl w:val="0"/>
          <w:numId w:val="3"/>
        </w:numPr>
        <w:spacing w:after="80"/>
      </w:pPr>
      <w:r>
        <w:t xml:space="preserve">Refine tool descriptions based on agent success rates</w:t>
      </w:r>
    </w:p>
    <w:p>
      <w:r>
        <w:br w:type="page"/>
      </w:r>
    </w:p>
    <w:p>
      <w:pPr>
        <w:pStyle w:val="Heading1"/>
      </w:pPr>
      <w: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 not running when MCP is invoked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tea_check_health as prerequisite; auto-start script integration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Parameter validation gaps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Strict Zod schemas mirroring Python-side validation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Long-running calculations timeout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Polling-based tools with configurable intervals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Breaking changes in TEA Space API</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Version pinning; API contract tests in eval suite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misuse of destructive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Annotations + confirmation patterns for batch removal</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Port conflicts in dev environment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Configurable port map in MCP server config</w:t>
            </w:r>
          </w:p>
        </w:tc>
      </w:tr>
    </w:tbl>
    <w:p>
      <w:r>
        <w:br w:type="page"/>
      </w:r>
    </w:p>
    <w:p>
      <w:pPr>
        <w:pStyle w:val="Heading1"/>
      </w:pPr>
      <w:r>
        <w:t xml:space="preserve">Recommendation and Conclusion</w:t>
      </w:r>
    </w:p>
    <w:p>
      <w:pPr>
        <w:spacing w:after="120"/>
      </w:pPr>
      <w:r>
        <w:rPr>
          <w:b/>
          <w:bCs/>
        </w:rPr>
        <w:t xml:space="preserve">We recommend proceeding with MCP server development for TEA Space. </w:t>
      </w:r>
      <w:r>
        <w:t xml:space="preserve">The platform’s microservice architecture, clear API contracts, and sequential pipeline design make it an ideal candidate for MCP wrapping. The estimated effort is 8–10 weeks for a production-quality implementation covering 25+ tools across five domains.</w:t>
      </w:r>
    </w:p>
    <w:p>
      <w:pPr>
        <w:spacing w:after="120"/>
      </w:pPr>
      <w:r>
        <w:t xml:space="preserve">The strategic value extends beyond automation efficiency. An MCP-enabled TEA Space allows LLM agents to serve as analytical co-pilots—configuring scenarios based on natural language descriptions, running comparative analyses across parameter spaces, and synthesizing results into defensible economic narratives. This positions TEA Space as an AI-native platform for techno-economic analysis, differentiating it from conventional spreadsheet-based tools.</w:t>
      </w:r>
    </w:p>
    <w:p>
      <w:pPr>
        <w:spacing w:after="120"/>
      </w:pPr>
      <w:r>
        <w:t xml:space="preserve">The recommended implementation language is TypeScript, deployed as a stdio transport for local use (matching the platform’s local-first architecture). The MCP server acts as a thin orchestration layer with no additional database or compute requirements, minimizing operational overhead while maximizing the agent’s analytical capability.</w:t>
      </w:r>
    </w:p>
    <w:p>
      <w:pPr>
        <w:pStyle w:val="Heading2"/>
      </w:pPr>
      <w:r>
        <w:t xml:space="preserve">Key Success Metrics</w:t>
      </w:r>
    </w:p>
    <w:p>
      <w:pPr>
        <w:pStyle w:val="ListParagraph"/>
        <w:numPr>
          <w:ilvl w:val="0"/>
          <w:numId w:val="3"/>
        </w:numPr>
        <w:spacing w:after="80"/>
      </w:pPr>
      <w:r>
        <w:t xml:space="preserve">Agent can complete an end-to-end CFA analysis (create batch → configure → compute → retrieve results) without human intervention</w:t>
      </w:r>
    </w:p>
    <w:p>
      <w:pPr>
        <w:pStyle w:val="ListParagraph"/>
        <w:numPr>
          <w:ilvl w:val="0"/>
          <w:numId w:val="3"/>
        </w:numPr>
        <w:spacing w:after="80"/>
      </w:pPr>
      <w:r>
        <w:t xml:space="preserve">Agent achieves &gt;80% accuracy on evaluation questions requiring multi-tool orchestration</w:t>
      </w:r>
    </w:p>
    <w:p>
      <w:pPr>
        <w:pStyle w:val="ListParagraph"/>
        <w:numPr>
          <w:ilvl w:val="0"/>
          <w:numId w:val="3"/>
        </w:numPr>
        <w:spacing w:after="80"/>
      </w:pPr>
      <w:r>
        <w:t xml:space="preserve">Tool descriptions are clear enough that the agent selects the correct tool &gt;90% of the time</w:t>
      </w:r>
    </w:p>
    <w:p>
      <w:pPr>
        <w:pStyle w:val="ListParagraph"/>
        <w:numPr>
          <w:ilvl w:val="0"/>
          <w:numId w:val="3"/>
        </w:numPr>
        <w:spacing w:after="80"/>
      </w:pPr>
      <w:r>
        <w:t xml:space="preserve">No data loss or corruption through MCP-mediated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TEA Space MCP Feasibility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2026-03-18T11:18:12.993Z</dcterms:created>
  <dcterms:modified xsi:type="dcterms:W3CDTF">2026-03-18T11:18:12.994Z</dcterms:modified>
</cp:coreProperties>
</file>

<file path=docProps/custom.xml><?xml version="1.0" encoding="utf-8"?>
<Properties xmlns="http://schemas.openxmlformats.org/officeDocument/2006/custom-properties" xmlns:vt="http://schemas.openxmlformats.org/officeDocument/2006/docPropsVTypes"/>
</file>