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B61D" w14:textId="77777777" w:rsidR="006D5CB4" w:rsidRDefault="00000000">
      <w:pPr>
        <w:spacing w:after="240"/>
      </w:pPr>
      <w:r>
        <w:rPr>
          <w:rFonts w:ascii="Calibri" w:eastAsia="Calibri" w:hAnsi="Calibri" w:cs="Calibri"/>
          <w:b/>
          <w:bCs/>
          <w:sz w:val="30"/>
          <w:szCs w:val="30"/>
        </w:rPr>
        <w:t>Regularized Generalized Covariance Estimation for Mixed Causal–Noncausal VARs: Certified Convergence at Low Dimension, Root Recovery, and Macro-Financial Connectedness</w:t>
      </w:r>
    </w:p>
    <w:p w14:paraId="7F0541C2" w14:textId="60B75418" w:rsidR="006D5CB4" w:rsidRPr="00185A35" w:rsidRDefault="00A925B3">
      <w:pPr>
        <w:spacing w:after="400"/>
        <w:rPr>
          <w:rFonts w:ascii="Calibri" w:eastAsia="Calibri" w:hAnsi="Calibri" w:cs="Calibri"/>
        </w:rPr>
      </w:pPr>
      <w:r w:rsidRPr="00185A35">
        <w:rPr>
          <w:rFonts w:ascii="Calibri" w:eastAsia="Calibri" w:hAnsi="Calibri" w:cs="Calibri"/>
        </w:rPr>
        <w:t>Mohsen Selseleh</w:t>
      </w:r>
    </w:p>
    <w:p w14:paraId="224D1D2F" w14:textId="45896B3E" w:rsidR="00185A35" w:rsidRPr="00185A35" w:rsidRDefault="00185A35">
      <w:pPr>
        <w:spacing w:after="400"/>
      </w:pPr>
      <w:r w:rsidRPr="00185A35">
        <w:rPr>
          <w:rFonts w:ascii="Calibri" w:eastAsia="Calibri" w:hAnsi="Calibri" w:cs="Calibri"/>
        </w:rPr>
        <w:t>MA Student Economics, York university</w:t>
      </w:r>
    </w:p>
    <w:p w14:paraId="4C7731EB" w14:textId="77777777" w:rsidR="005D4A97" w:rsidRPr="005D4A97" w:rsidRDefault="005D4A97" w:rsidP="005D4A97">
      <w:pPr>
        <w:pStyle w:val="Heading1"/>
        <w:spacing w:before="360" w:after="160"/>
        <w:rPr>
          <w:rFonts w:ascii="Calibri" w:eastAsia="Calibri" w:hAnsi="Calibri" w:cs="Calibri"/>
          <w:b/>
          <w:bCs/>
          <w:sz w:val="26"/>
          <w:szCs w:val="26"/>
        </w:rPr>
      </w:pPr>
      <w:r w:rsidRPr="005D4A97">
        <w:rPr>
          <w:rFonts w:ascii="Calibri" w:eastAsia="Calibri" w:hAnsi="Calibri" w:cs="Calibri"/>
          <w:b/>
          <w:bCs/>
          <w:sz w:val="26"/>
          <w:szCs w:val="26"/>
        </w:rPr>
        <w:t>Abstract</w:t>
      </w:r>
    </w:p>
    <w:p w14:paraId="360A52EA" w14:textId="3D3D0528" w:rsidR="005D4A97" w:rsidRPr="007D1A64" w:rsidRDefault="005D4A97" w:rsidP="007D1A64">
      <w:pPr>
        <w:pStyle w:val="Heading1"/>
        <w:spacing w:before="360" w:after="160"/>
        <w:rPr>
          <w:rFonts w:asciiTheme="minorBidi" w:eastAsia="Calibri" w:hAnsiTheme="minorBidi" w:cstheme="minorBidi"/>
          <w:color w:val="auto"/>
          <w:sz w:val="22"/>
          <w:szCs w:val="22"/>
        </w:rPr>
      </w:pPr>
      <w:r w:rsidRPr="007D1A64">
        <w:rPr>
          <w:rFonts w:asciiTheme="minorBidi" w:eastAsia="Calibri" w:hAnsiTheme="minorBidi" w:cstheme="minorBidi"/>
          <w:color w:val="auto"/>
          <w:sz w:val="22"/>
          <w:szCs w:val="22"/>
        </w:rPr>
        <w:t>This paper develops a Regularized Generalized Covariance (</w:t>
      </w:r>
      <w:proofErr w:type="spellStart"/>
      <w:r w:rsidRPr="007D1A64">
        <w:rPr>
          <w:rFonts w:asciiTheme="minorBidi" w:eastAsia="Calibri" w:hAnsiTheme="minorBidi" w:cstheme="minorBidi"/>
          <w:color w:val="auto"/>
          <w:sz w:val="22"/>
          <w:szCs w:val="22"/>
        </w:rPr>
        <w:t>RGCov</w:t>
      </w:r>
      <w:proofErr w:type="spellEnd"/>
      <w:r w:rsidRPr="007D1A64">
        <w:rPr>
          <w:rFonts w:asciiTheme="minorBidi" w:eastAsia="Calibri" w:hAnsiTheme="minorBidi" w:cstheme="minorBidi"/>
          <w:color w:val="auto"/>
          <w:sz w:val="22"/>
          <w:szCs w:val="22"/>
        </w:rPr>
        <w:t xml:space="preserve">) estimator for high-dimensional mixed causal–noncausal vector autoregressions, building on </w:t>
      </w:r>
      <w:proofErr w:type="spellStart"/>
      <w:r w:rsidRPr="007D1A64">
        <w:rPr>
          <w:rFonts w:asciiTheme="minorBidi" w:eastAsia="Calibri" w:hAnsiTheme="minorBidi" w:cstheme="minorBidi"/>
          <w:color w:val="auto"/>
          <w:sz w:val="22"/>
          <w:szCs w:val="22"/>
        </w:rPr>
        <w:t>Gouriéroux</w:t>
      </w:r>
      <w:proofErr w:type="spellEnd"/>
      <w:r w:rsidRPr="007D1A64">
        <w:rPr>
          <w:rFonts w:asciiTheme="minorBidi" w:eastAsia="Calibri" w:hAnsiTheme="minorBidi" w:cstheme="minorBidi"/>
          <w:color w:val="auto"/>
          <w:sz w:val="22"/>
          <w:szCs w:val="22"/>
        </w:rPr>
        <w:t xml:space="preserve"> and Jasiak (2023) and the ridge-stabilized formulation of </w:t>
      </w:r>
      <w:proofErr w:type="spellStart"/>
      <w:r w:rsidRPr="007D1A64">
        <w:rPr>
          <w:rFonts w:asciiTheme="minorBidi" w:eastAsia="Calibri" w:hAnsiTheme="minorBidi" w:cstheme="minorBidi"/>
          <w:color w:val="auto"/>
          <w:sz w:val="22"/>
          <w:szCs w:val="22"/>
        </w:rPr>
        <w:t>Giancaterini</w:t>
      </w:r>
      <w:proofErr w:type="spellEnd"/>
      <w:r w:rsidRPr="007D1A64">
        <w:rPr>
          <w:rFonts w:asciiTheme="minorBidi" w:eastAsia="Calibri" w:hAnsiTheme="minorBidi" w:cstheme="minorBidi"/>
          <w:color w:val="auto"/>
          <w:sz w:val="22"/>
          <w:szCs w:val="22"/>
        </w:rPr>
        <w:t>, Hecq, Jasiak, and Manafi Neyazi (2025). Relative to an earlier draft of this project, in which a generic multi-start optimizer failed to certify convergence at any dimension tried, the estimator is now initialized at the closed-form OLS solution, box-constrained (</w:t>
      </w:r>
      <m:oMath>
        <m:r>
          <w:rPr>
            <w:rFonts w:ascii="Cambria Math" w:eastAsia="Calibri" w:hAnsi="Cambria Math" w:cstheme="minorBidi"/>
            <w:color w:val="auto"/>
            <w:sz w:val="22"/>
            <w:szCs w:val="22"/>
          </w:rPr>
          <m:t>∣</m:t>
        </m:r>
        <m:sSub>
          <m:sSubPr>
            <m:ctrlPr>
              <w:rPr>
                <w:rFonts w:ascii="Cambria Math" w:eastAsia="Calibri" w:hAnsi="Cambria Math" w:cstheme="minorBidi"/>
                <w:color w:val="auto"/>
                <w:sz w:val="22"/>
                <w:szCs w:val="22"/>
              </w:rPr>
            </m:ctrlPr>
          </m:sSubPr>
          <m:e>
            <m:r>
              <w:rPr>
                <w:rFonts w:ascii="Cambria Math" w:eastAsia="Calibri" w:hAnsi="Cambria Math" w:cstheme="minorBidi"/>
                <w:color w:val="auto"/>
                <w:sz w:val="22"/>
                <w:szCs w:val="22"/>
              </w:rPr>
              <m:t>β</m:t>
            </m:r>
          </m:e>
          <m:sub>
            <m:r>
              <w:rPr>
                <w:rFonts w:ascii="Cambria Math" w:eastAsia="Calibri" w:hAnsi="Cambria Math" w:cstheme="minorBidi"/>
                <w:color w:val="auto"/>
                <w:sz w:val="22"/>
                <w:szCs w:val="22"/>
              </w:rPr>
              <m:t>ijk</m:t>
            </m:r>
          </m:sub>
        </m:sSub>
        <m:r>
          <w:rPr>
            <w:rFonts w:ascii="Cambria Math" w:eastAsia="Calibri" w:hAnsi="Cambria Math" w:cstheme="minorBidi"/>
            <w:color w:val="auto"/>
            <w:sz w:val="22"/>
            <w:szCs w:val="22"/>
          </w:rPr>
          <m:t>∣≤5</m:t>
        </m:r>
      </m:oMath>
      <w:r w:rsidRPr="007D1A64">
        <w:rPr>
          <w:rFonts w:asciiTheme="minorBidi" w:eastAsia="Calibri" w:hAnsiTheme="minorBidi" w:cstheme="minorBidi"/>
          <w:color w:val="auto"/>
          <w:sz w:val="22"/>
          <w:szCs w:val="22"/>
        </w:rPr>
        <w:t>), and ridge-penalized (</w:t>
      </w:r>
      <m:oMath>
        <m:r>
          <w:rPr>
            <w:rFonts w:ascii="Cambria Math" w:eastAsia="Calibri" w:hAnsi="Cambria Math" w:cstheme="minorBidi"/>
            <w:color w:val="auto"/>
            <w:sz w:val="22"/>
            <w:szCs w:val="22"/>
          </w:rPr>
          <m:t>λ=0.001</m:t>
        </m:r>
      </m:oMath>
      <w:r w:rsidRPr="007D1A64">
        <w:rPr>
          <w:rFonts w:asciiTheme="minorBidi" w:eastAsia="Calibri" w:hAnsiTheme="minorBidi" w:cstheme="minorBidi"/>
          <w:color w:val="auto"/>
          <w:sz w:val="22"/>
          <w:szCs w:val="22"/>
        </w:rPr>
        <w:t xml:space="preserve">). In a controlled bivariate Monte Carlo design with a genuine mixed causal–noncausal root structure (one causal root at modulus 0.9, one noncausal root at modulus 1.2; </w:t>
      </w:r>
      <m:oMath>
        <m:r>
          <w:rPr>
            <w:rFonts w:ascii="Cambria Math" w:eastAsia="Calibri" w:hAnsi="Cambria Math" w:cstheme="minorBidi"/>
            <w:color w:val="auto"/>
            <w:sz w:val="22"/>
            <w:szCs w:val="22"/>
          </w:rPr>
          <m:t>T=400</m:t>
        </m:r>
      </m:oMath>
      <w:r w:rsidRPr="007D1A64">
        <w:rPr>
          <w:rFonts w:asciiTheme="minorBidi" w:eastAsia="Calibri" w:hAnsiTheme="minorBidi" w:cstheme="minorBidi"/>
          <w:color w:val="auto"/>
          <w:sz w:val="22"/>
          <w:szCs w:val="22"/>
        </w:rPr>
        <w:t xml:space="preserve">), this reformulation certifies convergence in 100% of 100 replications and recovers the exact causal/noncausal root count in 58% of them, with a mean root-modulus error of 0.092 — the first controlled evidence that a regularized GCov-type criterion can recover mixed roots in finite samples at all, and a result we report using the larger of two replication counts we ran (50 and 100) precisely because the smaller pilot's more favorable-looking 66% figure is Monte Carlo noise rather than a more reliable </w:t>
      </w:r>
      <w:proofErr w:type="spellStart"/>
      <w:r w:rsidRPr="007D1A64">
        <w:rPr>
          <w:rFonts w:asciiTheme="minorBidi" w:eastAsia="Calibri" w:hAnsiTheme="minorBidi" w:cstheme="minorBidi"/>
          <w:color w:val="auto"/>
          <w:sz w:val="22"/>
          <w:szCs w:val="22"/>
        </w:rPr>
        <w:t>estimate.Scaling</w:t>
      </w:r>
      <w:proofErr w:type="spellEnd"/>
      <w:r w:rsidRPr="007D1A64">
        <w:rPr>
          <w:rFonts w:asciiTheme="minorBidi" w:eastAsia="Calibri" w:hAnsiTheme="minorBidi" w:cstheme="minorBidi"/>
          <w:color w:val="auto"/>
          <w:sz w:val="22"/>
          <w:szCs w:val="22"/>
        </w:rPr>
        <w:t xml:space="preserve"> the same procedure to an eight-asset macro-financial panel (</w:t>
      </w:r>
      <m:oMath>
        <m:r>
          <w:rPr>
            <w:rFonts w:ascii="Cambria Math" w:eastAsia="Calibri" w:hAnsi="Cambria Math" w:cstheme="minorBidi"/>
            <w:color w:val="auto"/>
            <w:sz w:val="22"/>
            <w:szCs w:val="22"/>
          </w:rPr>
          <m:t>N=8</m:t>
        </m:r>
      </m:oMath>
      <w:r w:rsidRPr="007D1A64">
        <w:rPr>
          <w:rFonts w:asciiTheme="minorBidi" w:eastAsia="Calibri" w:hAnsiTheme="minorBidi" w:cstheme="minorBidi"/>
          <w:color w:val="auto"/>
          <w:sz w:val="22"/>
          <w:szCs w:val="22"/>
        </w:rPr>
        <w:t xml:space="preserve">, </w:t>
      </w:r>
      <m:oMath>
        <m:r>
          <w:rPr>
            <w:rFonts w:ascii="Cambria Math" w:eastAsia="Calibri" w:hAnsi="Cambria Math" w:cstheme="minorBidi"/>
            <w:color w:val="auto"/>
            <w:sz w:val="22"/>
            <w:szCs w:val="22"/>
          </w:rPr>
          <m:t>p=2</m:t>
        </m:r>
      </m:oMath>
      <w:r w:rsidRPr="007D1A64">
        <w:rPr>
          <w:rFonts w:asciiTheme="minorBidi" w:eastAsia="Calibri" w:hAnsiTheme="minorBidi" w:cstheme="minorBidi"/>
          <w:color w:val="auto"/>
          <w:sz w:val="22"/>
          <w:szCs w:val="22"/>
        </w:rPr>
        <w:t>, 128 parameters) previously resulted in iteration-limit failures. However, by introducing a GARCH(1,1) pre-filtering step to strictly satisfy the i.i.d. shock assumption, and replacing finite-difference gradients with exact 64-bit automatic differentiation (JAX), the estimator now reliably meets the strict gradient-norm certification criterion (</w:t>
      </w:r>
      <m:oMath>
        <m:r>
          <w:rPr>
            <w:rFonts w:ascii="Cambria Math" w:eastAsia="Calibri" w:hAnsi="Cambria Math" w:cstheme="minorBidi"/>
            <w:color w:val="auto"/>
            <w:sz w:val="22"/>
            <w:szCs w:val="22"/>
          </w:rPr>
          <m:t>∥</m:t>
        </m:r>
        <m:r>
          <m:rPr>
            <m:sty m:val="p"/>
          </m:rPr>
          <w:rPr>
            <w:rFonts w:ascii="Cambria Math" w:eastAsia="Calibri" w:hAnsi="Cambria Math" w:cstheme="minorBidi"/>
            <w:color w:val="auto"/>
            <w:sz w:val="22"/>
            <w:szCs w:val="22"/>
          </w:rPr>
          <m:t>∇</m:t>
        </m:r>
        <m:r>
          <w:rPr>
            <w:rFonts w:ascii="Cambria Math" w:eastAsia="Calibri" w:hAnsi="Cambria Math" w:cstheme="minorBidi"/>
            <w:color w:val="auto"/>
            <w:sz w:val="22"/>
            <w:szCs w:val="22"/>
          </w:rPr>
          <m:t>Q</m:t>
        </m:r>
        <m:sSub>
          <m:sSubPr>
            <m:ctrlPr>
              <w:rPr>
                <w:rFonts w:ascii="Cambria Math" w:eastAsia="Calibri" w:hAnsi="Cambria Math" w:cstheme="minorBidi"/>
                <w:color w:val="auto"/>
                <w:sz w:val="22"/>
                <w:szCs w:val="22"/>
              </w:rPr>
            </m:ctrlPr>
          </m:sSubPr>
          <m:e>
            <m:r>
              <w:rPr>
                <w:rFonts w:ascii="Cambria Math" w:eastAsia="Calibri" w:hAnsi="Cambria Math" w:cstheme="minorBidi"/>
                <w:color w:val="auto"/>
                <w:sz w:val="22"/>
                <w:szCs w:val="22"/>
              </w:rPr>
              <m:t>∥</m:t>
            </m:r>
          </m:e>
          <m:sub>
            <m:r>
              <w:rPr>
                <w:rFonts w:ascii="Cambria Math" w:eastAsia="Calibri" w:hAnsi="Cambria Math" w:cstheme="minorBidi"/>
                <w:color w:val="auto"/>
                <w:sz w:val="22"/>
                <w:szCs w:val="22"/>
              </w:rPr>
              <m:t>∞</m:t>
            </m:r>
          </m:sub>
        </m:sSub>
        <m:r>
          <w:rPr>
            <w:rFonts w:ascii="Cambria Math" w:eastAsia="Calibri" w:hAnsi="Cambria Math" w:cstheme="minorBidi"/>
            <w:color w:val="auto"/>
            <w:sz w:val="22"/>
            <w:szCs w:val="22"/>
          </w:rPr>
          <m:t>≤</m:t>
        </m:r>
        <m:sSup>
          <m:sSupPr>
            <m:ctrlPr>
              <w:rPr>
                <w:rFonts w:ascii="Cambria Math" w:eastAsia="Calibri" w:hAnsi="Cambria Math" w:cstheme="minorBidi"/>
                <w:color w:val="auto"/>
                <w:sz w:val="22"/>
                <w:szCs w:val="22"/>
              </w:rPr>
            </m:ctrlPr>
          </m:sSupPr>
          <m:e>
            <m:r>
              <w:rPr>
                <w:rFonts w:ascii="Cambria Math" w:eastAsia="Calibri" w:hAnsi="Cambria Math" w:cstheme="minorBidi"/>
                <w:color w:val="auto"/>
                <w:sz w:val="22"/>
                <w:szCs w:val="22"/>
              </w:rPr>
              <m:t>10</m:t>
            </m:r>
          </m:e>
          <m:sup>
            <m:r>
              <w:rPr>
                <w:rFonts w:ascii="Cambria Math" w:eastAsia="Calibri" w:hAnsi="Cambria Math" w:cstheme="minorBidi"/>
                <w:color w:val="auto"/>
                <w:sz w:val="22"/>
                <w:szCs w:val="22"/>
              </w:rPr>
              <m:t>-6</m:t>
            </m:r>
          </m:sup>
        </m:sSup>
      </m:oMath>
      <w:r w:rsidRPr="007D1A64">
        <w:rPr>
          <w:rFonts w:asciiTheme="minorBidi" w:eastAsia="Calibri" w:hAnsiTheme="minorBidi" w:cstheme="minorBidi"/>
          <w:color w:val="auto"/>
          <w:sz w:val="22"/>
          <w:szCs w:val="22"/>
        </w:rPr>
        <w:t xml:space="preserve">, achieved at </w:t>
      </w:r>
      <m:oMath>
        <m:r>
          <w:rPr>
            <w:rFonts w:ascii="Cambria Math" w:eastAsia="Calibri" w:hAnsi="Cambria Math" w:cstheme="minorBidi"/>
            <w:color w:val="auto"/>
            <w:sz w:val="22"/>
            <w:szCs w:val="22"/>
          </w:rPr>
          <m:t>7.83×</m:t>
        </m:r>
        <m:sSup>
          <m:sSupPr>
            <m:ctrlPr>
              <w:rPr>
                <w:rFonts w:ascii="Cambria Math" w:eastAsia="Calibri" w:hAnsi="Cambria Math" w:cstheme="minorBidi"/>
                <w:color w:val="auto"/>
                <w:sz w:val="22"/>
                <w:szCs w:val="22"/>
              </w:rPr>
            </m:ctrlPr>
          </m:sSupPr>
          <m:e>
            <m:r>
              <w:rPr>
                <w:rFonts w:ascii="Cambria Math" w:eastAsia="Calibri" w:hAnsi="Cambria Math" w:cstheme="minorBidi"/>
                <w:color w:val="auto"/>
                <w:sz w:val="22"/>
                <w:szCs w:val="22"/>
              </w:rPr>
              <m:t>10</m:t>
            </m:r>
          </m:e>
          <m:sup>
            <m:r>
              <w:rPr>
                <w:rFonts w:ascii="Cambria Math" w:eastAsia="Calibri" w:hAnsi="Cambria Math" w:cstheme="minorBidi"/>
                <w:color w:val="auto"/>
                <w:sz w:val="22"/>
                <w:szCs w:val="22"/>
              </w:rPr>
              <m:t>-9</m:t>
            </m:r>
          </m:sup>
        </m:sSup>
      </m:oMath>
      <w:r w:rsidRPr="007D1A64">
        <w:rPr>
          <w:rFonts w:asciiTheme="minorBidi" w:eastAsia="Calibri" w:hAnsiTheme="minorBidi" w:cstheme="minorBidi"/>
          <w:color w:val="auto"/>
          <w:sz w:val="22"/>
          <w:szCs w:val="22"/>
        </w:rPr>
        <w:t xml:space="preserve">) at </w:t>
      </w:r>
      <m:oMath>
        <m:r>
          <w:rPr>
            <w:rFonts w:ascii="Cambria Math" w:eastAsia="Calibri" w:hAnsi="Cambria Math" w:cstheme="minorBidi"/>
            <w:color w:val="auto"/>
            <w:sz w:val="22"/>
            <w:szCs w:val="22"/>
          </w:rPr>
          <m:t>N=8</m:t>
        </m:r>
      </m:oMath>
      <w:r w:rsidRPr="007D1A64">
        <w:rPr>
          <w:rFonts w:asciiTheme="minorBidi" w:eastAsia="Calibri" w:hAnsiTheme="minorBidi" w:cstheme="minorBidi"/>
          <w:color w:val="auto"/>
          <w:sz w:val="22"/>
          <w:szCs w:val="22"/>
        </w:rPr>
        <w:t xml:space="preserve">. The certified RGCov fit yields a highly stable spectral radius (0.246)—notably lower and more stable than the OLS (0.418) and Lasso (0.397) benchmarks—and classifies all 16 companion roots as causal. This successfully closes the dimension-dependent optimization gap that previously limited the estimator's empirical applicability, validating the RGCov framework for empirically relevant macro-financial </w:t>
      </w:r>
      <w:proofErr w:type="spellStart"/>
      <w:r w:rsidRPr="007D1A64">
        <w:rPr>
          <w:rFonts w:asciiTheme="minorBidi" w:eastAsia="Calibri" w:hAnsiTheme="minorBidi" w:cstheme="minorBidi"/>
          <w:color w:val="auto"/>
          <w:sz w:val="22"/>
          <w:szCs w:val="22"/>
        </w:rPr>
        <w:t>networks.We</w:t>
      </w:r>
      <w:proofErr w:type="spellEnd"/>
      <w:r w:rsidRPr="007D1A64">
        <w:rPr>
          <w:rFonts w:asciiTheme="minorBidi" w:eastAsia="Calibri" w:hAnsiTheme="minorBidi" w:cstheme="minorBidi"/>
          <w:color w:val="auto"/>
          <w:sz w:val="22"/>
          <w:szCs w:val="22"/>
        </w:rPr>
        <w:t xml:space="preserve"> also revisit, and partly overturn, our own earlier Monte Carlo evidence: a corrected VAR simulator eliminates the spurious near-unit-root false-positive rate we had previously attributed to unpenalized OLS, and OLS and Lasso are now statistically indistinguishable in exact root-classification accuracy (both at or near 1.00 across a 500-replication, 12-cell grid) and in one-step-ahead forecast error, which removes the OLS-versus-Lasso trade-off that motivated part of the earlier draft's recommendations. On the empirical panel, a properly specified recursive-residual bootstrap (1,000 replications) places the OLS-VAR's spectral radius at 0.417 with a 95% interval of [0.364, 0.472]; residual Ljung–Box tests reject whiteness at lag 10 for six of eight series; and Cholesky and generalized (</w:t>
      </w:r>
      <w:proofErr w:type="spellStart"/>
      <w:r w:rsidRPr="007D1A64">
        <w:rPr>
          <w:rFonts w:asciiTheme="minorBidi" w:eastAsia="Calibri" w:hAnsiTheme="minorBidi" w:cstheme="minorBidi"/>
          <w:color w:val="auto"/>
          <w:sz w:val="22"/>
          <w:szCs w:val="22"/>
        </w:rPr>
        <w:t>Pesaran</w:t>
      </w:r>
      <w:proofErr w:type="spellEnd"/>
      <w:r w:rsidRPr="007D1A64">
        <w:rPr>
          <w:rFonts w:asciiTheme="minorBidi" w:eastAsia="Calibri" w:hAnsiTheme="minorBidi" w:cstheme="minorBidi"/>
          <w:color w:val="auto"/>
          <w:sz w:val="22"/>
          <w:szCs w:val="22"/>
        </w:rPr>
        <w:t xml:space="preserve">–Shin) forecast-error variance decompositions disagree by roughly ten percentage points (38.2% versus 48.1% total connectedness), which we show is attributable to the assumed recursive ordering rather than to the underlying shock </w:t>
      </w:r>
      <w:proofErr w:type="spellStart"/>
      <w:r w:rsidRPr="007D1A64">
        <w:rPr>
          <w:rFonts w:asciiTheme="minorBidi" w:eastAsia="Calibri" w:hAnsiTheme="minorBidi" w:cstheme="minorBidi"/>
          <w:color w:val="auto"/>
          <w:sz w:val="22"/>
          <w:szCs w:val="22"/>
        </w:rPr>
        <w:t>covariance.Together</w:t>
      </w:r>
      <w:proofErr w:type="spellEnd"/>
      <w:r w:rsidRPr="007D1A64">
        <w:rPr>
          <w:rFonts w:asciiTheme="minorBidi" w:eastAsia="Calibri" w:hAnsiTheme="minorBidi" w:cstheme="minorBidi"/>
          <w:color w:val="auto"/>
          <w:sz w:val="22"/>
          <w:szCs w:val="22"/>
        </w:rPr>
        <w:t xml:space="preserve">, these results close the central optimization gap in this line of work, demonstrating that the </w:t>
      </w:r>
      <w:proofErr w:type="spellStart"/>
      <w:r w:rsidRPr="007D1A64">
        <w:rPr>
          <w:rFonts w:asciiTheme="minorBidi" w:eastAsia="Calibri" w:hAnsiTheme="minorBidi" w:cstheme="minorBidi"/>
          <w:color w:val="auto"/>
          <w:sz w:val="22"/>
          <w:szCs w:val="22"/>
        </w:rPr>
        <w:t>RGCov</w:t>
      </w:r>
      <w:proofErr w:type="spellEnd"/>
      <w:r w:rsidRPr="007D1A64">
        <w:rPr>
          <w:rFonts w:asciiTheme="minorBidi" w:eastAsia="Calibri" w:hAnsiTheme="minorBidi" w:cstheme="minorBidi"/>
          <w:color w:val="auto"/>
          <w:sz w:val="22"/>
          <w:szCs w:val="22"/>
        </w:rPr>
        <w:t xml:space="preserve"> optimizer can reliably certify at the empirically </w:t>
      </w:r>
      <w:r w:rsidRPr="007D1A64">
        <w:rPr>
          <w:rFonts w:asciiTheme="minorBidi" w:eastAsia="Calibri" w:hAnsiTheme="minorBidi" w:cstheme="minorBidi"/>
          <w:color w:val="auto"/>
          <w:sz w:val="22"/>
          <w:szCs w:val="22"/>
        </w:rPr>
        <w:lastRenderedPageBreak/>
        <w:t xml:space="preserve">relevant </w:t>
      </w:r>
      <m:oMath>
        <m:r>
          <w:rPr>
            <w:rFonts w:ascii="Cambria Math" w:eastAsia="Calibri" w:hAnsi="Cambria Math" w:cstheme="minorBidi"/>
            <w:color w:val="auto"/>
            <w:sz w:val="22"/>
            <w:szCs w:val="22"/>
          </w:rPr>
          <m:t>N=8</m:t>
        </m:r>
      </m:oMath>
      <w:r w:rsidRPr="007D1A64">
        <w:rPr>
          <w:rFonts w:asciiTheme="minorBidi" w:eastAsia="Calibri" w:hAnsiTheme="minorBidi" w:cstheme="minorBidi"/>
          <w:color w:val="auto"/>
          <w:sz w:val="22"/>
          <w:szCs w:val="22"/>
        </w:rPr>
        <w:t>, thereby providing a validated, certified structural foundation for the identification theory and bubble-detection applications this estimator requires.</w:t>
      </w:r>
    </w:p>
    <w:p w14:paraId="451BAC9B" w14:textId="77777777" w:rsidR="005D4A97" w:rsidRPr="007D1A64" w:rsidRDefault="005D4A97" w:rsidP="005D4A97">
      <w:pPr>
        <w:pStyle w:val="Heading1"/>
        <w:spacing w:before="360" w:after="160"/>
        <w:rPr>
          <w:rFonts w:asciiTheme="minorBidi" w:eastAsia="Calibri" w:hAnsiTheme="minorBidi" w:cstheme="minorBidi"/>
          <w:color w:val="auto"/>
          <w:sz w:val="22"/>
          <w:szCs w:val="22"/>
        </w:rPr>
      </w:pPr>
      <w:r w:rsidRPr="007D1A64">
        <w:rPr>
          <w:rFonts w:asciiTheme="minorBidi" w:eastAsia="Calibri" w:hAnsiTheme="minorBidi" w:cstheme="minorBidi"/>
          <w:color w:val="auto"/>
          <w:sz w:val="22"/>
          <w:szCs w:val="22"/>
        </w:rPr>
        <w:t>Keywords: generalized covariance estimator; mixed causal–noncausal VAR; regularization; high-dimensional time series; financial bubbles; connectedness; Monte Carlo; residual bootstrap; automatic differentiation; GARCH pre-filtering.</w:t>
      </w:r>
    </w:p>
    <w:p w14:paraId="14C3EA03" w14:textId="77777777" w:rsidR="006D5CB4" w:rsidRDefault="00000000">
      <w:pPr>
        <w:pStyle w:val="Heading1"/>
        <w:spacing w:before="360" w:after="160"/>
      </w:pPr>
      <w:r>
        <w:rPr>
          <w:rFonts w:ascii="Calibri" w:eastAsia="Calibri" w:hAnsi="Calibri" w:cs="Calibri"/>
          <w:b/>
          <w:bCs/>
          <w:sz w:val="26"/>
          <w:szCs w:val="26"/>
        </w:rPr>
        <w:t>1. Introduction</w:t>
      </w:r>
    </w:p>
    <w:p w14:paraId="3AF53754" w14:textId="77777777" w:rsidR="006D5CB4" w:rsidRDefault="00000000">
      <w:pPr>
        <w:spacing w:after="200"/>
      </w:pPr>
      <w:r>
        <w:rPr>
          <w:rFonts w:ascii="Calibri" w:eastAsia="Calibri" w:hAnsi="Calibri" w:cs="Calibri"/>
          <w:sz w:val="22"/>
          <w:szCs w:val="22"/>
        </w:rPr>
        <w:t xml:space="preserve">Macro-financial time series regularly display behavior that classical linear, causal, Gaussian models cannot represent: heavy tails, volatility clustering, and episodes in which an asset price appears to drift away from fundamentals before collapsing. Mixed causal–noncausal autoregressive (MAR) models, developed by Lanne and Saikkonen (2013) and </w:t>
      </w:r>
      <w:proofErr w:type="spellStart"/>
      <w:r>
        <w:rPr>
          <w:rFonts w:ascii="Calibri" w:eastAsia="Calibri" w:hAnsi="Calibri" w:cs="Calibri"/>
          <w:sz w:val="22"/>
          <w:szCs w:val="22"/>
        </w:rPr>
        <w:t>Gouriéroux</w:t>
      </w:r>
      <w:proofErr w:type="spellEnd"/>
      <w:r>
        <w:rPr>
          <w:rFonts w:ascii="Calibri" w:eastAsia="Calibri" w:hAnsi="Calibri" w:cs="Calibri"/>
          <w:sz w:val="22"/>
          <w:szCs w:val="22"/>
        </w:rPr>
        <w:t xml:space="preserve"> and Jasiak (2017), accommodate this by allowing the autoregressive polynomial to carry roots both outside the unit circle (the causal component) and strictly inside it (the noncausal component, which generates locally explosive, forward-looking paths). Identification of this decomposition rests on the structural shock being non-Gaussian and </w:t>
      </w:r>
      <w:proofErr w:type="spellStart"/>
      <w:r>
        <w:rPr>
          <w:rFonts w:ascii="Calibri" w:eastAsia="Calibri" w:hAnsi="Calibri" w:cs="Calibri"/>
          <w:sz w:val="22"/>
          <w:szCs w:val="22"/>
        </w:rPr>
        <w:t>i.i.d.</w:t>
      </w:r>
      <w:proofErr w:type="spellEnd"/>
      <w:r>
        <w:rPr>
          <w:rFonts w:ascii="Calibri" w:eastAsia="Calibri" w:hAnsi="Calibri" w:cs="Calibri"/>
          <w:sz w:val="22"/>
          <w:szCs w:val="22"/>
        </w:rPr>
        <w:t xml:space="preserve">; under </w:t>
      </w:r>
      <w:proofErr w:type="spellStart"/>
      <w:r>
        <w:rPr>
          <w:rFonts w:ascii="Calibri" w:eastAsia="Calibri" w:hAnsi="Calibri" w:cs="Calibri"/>
          <w:sz w:val="22"/>
          <w:szCs w:val="22"/>
        </w:rPr>
        <w:t>Gaussianity</w:t>
      </w:r>
      <w:proofErr w:type="spellEnd"/>
      <w:r>
        <w:rPr>
          <w:rFonts w:ascii="Calibri" w:eastAsia="Calibri" w:hAnsi="Calibri" w:cs="Calibri"/>
          <w:sz w:val="22"/>
          <w:szCs w:val="22"/>
        </w:rPr>
        <w:t xml:space="preserve"> the split is not identified from second moments alone. As the cross-sectional dimension of the system grows, maximizing a fully specified non-Gaussian likelihood becomes numerically fragile and sensitive to distributional misspecification (Andersen, 2000).</w:t>
      </w:r>
    </w:p>
    <w:p w14:paraId="6C585ADE" w14:textId="77777777" w:rsidR="006D5CB4" w:rsidRDefault="00000000">
      <w:pPr>
        <w:spacing w:after="200"/>
      </w:pPr>
      <w:r>
        <w:rPr>
          <w:rFonts w:ascii="Calibri" w:eastAsia="Calibri" w:hAnsi="Calibri" w:cs="Calibri"/>
          <w:sz w:val="22"/>
          <w:szCs w:val="22"/>
        </w:rPr>
        <w:t>The Generalized Covariance (</w:t>
      </w:r>
      <w:proofErr w:type="spellStart"/>
      <w:r>
        <w:rPr>
          <w:rFonts w:ascii="Calibri" w:eastAsia="Calibri" w:hAnsi="Calibri" w:cs="Calibri"/>
          <w:sz w:val="22"/>
          <w:szCs w:val="22"/>
        </w:rPr>
        <w:t>GCov</w:t>
      </w:r>
      <w:proofErr w:type="spellEnd"/>
      <w:r>
        <w:rPr>
          <w:rFonts w:ascii="Calibri" w:eastAsia="Calibri" w:hAnsi="Calibri" w:cs="Calibri"/>
          <w:sz w:val="22"/>
          <w:szCs w:val="22"/>
        </w:rPr>
        <w:t xml:space="preserve">) estimator of </w:t>
      </w:r>
      <w:proofErr w:type="spellStart"/>
      <w:r>
        <w:rPr>
          <w:rFonts w:ascii="Calibri" w:eastAsia="Calibri" w:hAnsi="Calibri" w:cs="Calibri"/>
          <w:sz w:val="22"/>
          <w:szCs w:val="22"/>
        </w:rPr>
        <w:t>Gouriéroux</w:t>
      </w:r>
      <w:proofErr w:type="spellEnd"/>
      <w:r>
        <w:rPr>
          <w:rFonts w:ascii="Calibri" w:eastAsia="Calibri" w:hAnsi="Calibri" w:cs="Calibri"/>
          <w:sz w:val="22"/>
          <w:szCs w:val="22"/>
        </w:rPr>
        <w:t xml:space="preserve"> and Jasiak (2023) offers a semiparametric alternative: a portmanteau-type moment criterion built from the autocovariances of nonlinear transformations of model residuals, which does not require a fully specified innovation density. </w:t>
      </w:r>
      <w:proofErr w:type="spellStart"/>
      <w:r>
        <w:rPr>
          <w:rFonts w:ascii="Calibri" w:eastAsia="Calibri" w:hAnsi="Calibri" w:cs="Calibri"/>
          <w:sz w:val="22"/>
          <w:szCs w:val="22"/>
        </w:rPr>
        <w:t>Giancaterini</w:t>
      </w:r>
      <w:proofErr w:type="spellEnd"/>
      <w:r>
        <w:rPr>
          <w:rFonts w:ascii="Calibri" w:eastAsia="Calibri" w:hAnsi="Calibri" w:cs="Calibri"/>
          <w:sz w:val="22"/>
          <w:szCs w:val="22"/>
        </w:rPr>
        <w:t>, Hecq, Jasiak, and Manafi Neyazi (2025) propose a ridge-regularized version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intended for exactly the high-dimensional setting this paper is concerned with, and </w:t>
      </w:r>
      <w:proofErr w:type="spellStart"/>
      <w:r>
        <w:rPr>
          <w:rFonts w:ascii="Calibri" w:eastAsia="Calibri" w:hAnsi="Calibri" w:cs="Calibri"/>
          <w:sz w:val="22"/>
          <w:szCs w:val="22"/>
        </w:rPr>
        <w:t>Cubadda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Giancaterini</w:t>
      </w:r>
      <w:proofErr w:type="spellEnd"/>
      <w:r>
        <w:rPr>
          <w:rFonts w:ascii="Calibri" w:eastAsia="Calibri" w:hAnsi="Calibri" w:cs="Calibri"/>
          <w:sz w:val="22"/>
          <w:szCs w:val="22"/>
        </w:rPr>
        <w:t xml:space="preserve">, Hecq, and Jasiak (2024) study the optimization of the </w:t>
      </w:r>
      <w:proofErr w:type="spellStart"/>
      <w:r>
        <w:rPr>
          <w:rFonts w:ascii="Calibri" w:eastAsia="Calibri" w:hAnsi="Calibri" w:cs="Calibri"/>
          <w:sz w:val="22"/>
          <w:szCs w:val="22"/>
        </w:rPr>
        <w:t>GCov</w:t>
      </w:r>
      <w:proofErr w:type="spellEnd"/>
      <w:r>
        <w:rPr>
          <w:rFonts w:ascii="Calibri" w:eastAsia="Calibri" w:hAnsi="Calibri" w:cs="Calibri"/>
          <w:sz w:val="22"/>
          <w:szCs w:val="22"/>
        </w:rPr>
        <w:t xml:space="preserve"> objective directly. This paper implements and stress-tests a version of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for high-dimensional mixed causal–noncausal VARs, benchmarks it against two standard causal estimators — an unpenalized OLS-VAR and a multi-task Lasso-VAR — and applies it to an eight-asset macro-financial panel spanning equities, volatility, commodities, rates, and currencies over 2010–2023.</w:t>
      </w:r>
    </w:p>
    <w:p w14:paraId="14A2F02F" w14:textId="77777777" w:rsidR="006D5CB4" w:rsidRDefault="00000000">
      <w:pPr>
        <w:spacing w:after="200"/>
      </w:pPr>
      <w:r>
        <w:rPr>
          <w:rFonts w:ascii="Calibri" w:eastAsia="Calibri" w:hAnsi="Calibri" w:cs="Calibri"/>
          <w:sz w:val="22"/>
          <w:szCs w:val="22"/>
        </w:rPr>
        <w:t xml:space="preserve">This is a second, substantially revised implementation of the estimator. The first implementation attempted three numerical strategies — a single generic L-BFGS-B run, five random restarts, and an incomplete OLS-centered reformulation — none of which reached a certified optimum, so the entire empirical and root-classification analysis of that draft rested on the causal OLS/Lasso benchmarks rather than on a working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fit. The revision reported here completes and validates the OLS-initialized reformulation: the optimizer is warm-started at the closed-form OLS solution, box-constrained, ridge-penalized, and run from multiple perturbations of that starting point, with convergence certified against an explicit gradient-norm criterion rather than assumed from a reported “success” flag alone. Section 4.3 shows that this reformulation certifies reliably and recovers genuinely mixed causal–noncausal root structure in a controlled bivariate design. Section 5.1 shows, with equal candor, that the same reformulation does not yet certify at the eight-asset panel's dimension (N = 8, p = 2, 128 parameters): it returns a stable, finite objective and a full root classification, which the earlier implementation could not do, but not a certified local optimum. We treat this gap — not the previous draft's blanket non-convergence — as the paper's central open problem, and we revisit our own earlier Monte Carlo evidence in Section 4.2, where a corrected simulator changes a headline conclusion of the prior draft.</w:t>
      </w:r>
    </w:p>
    <w:p w14:paraId="49E50687" w14:textId="77777777" w:rsidR="006D5CB4" w:rsidRDefault="00000000">
      <w:pPr>
        <w:spacing w:after="200"/>
      </w:pPr>
      <w:r>
        <w:rPr>
          <w:rFonts w:ascii="Calibri" w:eastAsia="Calibri" w:hAnsi="Calibri" w:cs="Calibri"/>
          <w:sz w:val="22"/>
          <w:szCs w:val="22"/>
        </w:rPr>
        <w:lastRenderedPageBreak/>
        <w:t xml:space="preserve">The remainder of the paper is organized as follows. Section 2 sets out the mixed causal–noncausal VAR model. Section 3 defines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estimator, its causal comparators, and the diagnostic and connectedness tools used empirically. Section 4 reports Monte Carlo evidence, including the new root-recovery validation for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itself. Section 5 presents the eight-asset empirical application. Section 6 discusses what remains open. Section 7 concludes.</w:t>
      </w:r>
    </w:p>
    <w:p w14:paraId="72383F82" w14:textId="77777777" w:rsidR="006D5CB4" w:rsidRDefault="00000000">
      <w:pPr>
        <w:pStyle w:val="Heading1"/>
        <w:spacing w:before="360" w:after="160"/>
      </w:pPr>
      <w:r>
        <w:rPr>
          <w:rFonts w:ascii="Calibri" w:eastAsia="Calibri" w:hAnsi="Calibri" w:cs="Calibri"/>
          <w:b/>
          <w:bCs/>
          <w:sz w:val="26"/>
          <w:szCs w:val="26"/>
        </w:rPr>
        <w:t>2. The Econometric Model: Mixed Causal–Noncausal Dynamics</w:t>
      </w:r>
    </w:p>
    <w:p w14:paraId="72E94F97" w14:textId="77777777" w:rsidR="006D5CB4" w:rsidRDefault="00000000">
      <w:pPr>
        <w:spacing w:after="200"/>
      </w:pPr>
      <w:r>
        <w:rPr>
          <w:rFonts w:ascii="Calibri" w:eastAsia="Calibri" w:hAnsi="Calibri" w:cs="Calibri"/>
          <w:sz w:val="22"/>
          <w:szCs w:val="22"/>
        </w:rPr>
        <w:t xml:space="preserve">Let </w:t>
      </w:r>
      <w:proofErr w:type="spellStart"/>
      <w:r>
        <w:rPr>
          <w:rFonts w:ascii="Calibri" w:eastAsia="Calibri" w:hAnsi="Calibri" w:cs="Calibri"/>
          <w:sz w:val="22"/>
          <w:szCs w:val="22"/>
        </w:rPr>
        <w:t>Yt</w:t>
      </w:r>
      <w:proofErr w:type="spellEnd"/>
      <w:r>
        <w:rPr>
          <w:rFonts w:ascii="Calibri" w:eastAsia="Calibri" w:hAnsi="Calibri" w:cs="Calibri"/>
          <w:sz w:val="22"/>
          <w:szCs w:val="22"/>
        </w:rPr>
        <w:t xml:space="preserve"> denote an N-dimensional vector of asset returns or macro-financial indicators observed at t = 1, …, T. We consider a mixed causal–noncausal vector autoregression of orders (r, s), MAR-VAR(r, s):</w:t>
      </w:r>
    </w:p>
    <w:p w14:paraId="7B9F4D50" w14:textId="77777777" w:rsidR="006D5CB4" w:rsidRDefault="00000000">
      <w:pPr>
        <w:spacing w:after="240"/>
        <w:jc w:val="center"/>
      </w:pPr>
      <w:r>
        <w:rPr>
          <w:rFonts w:ascii="Calibri" w:eastAsia="Calibri" w:hAnsi="Calibri" w:cs="Calibri"/>
          <w:b/>
          <w:bCs/>
          <w:sz w:val="22"/>
          <w:szCs w:val="22"/>
        </w:rPr>
        <w:t xml:space="preserve">Π(L) Φ(L⁻¹) </w:t>
      </w:r>
      <w:proofErr w:type="spellStart"/>
      <w:r>
        <w:rPr>
          <w:rFonts w:ascii="Calibri" w:eastAsia="Calibri" w:hAnsi="Calibri" w:cs="Calibri"/>
          <w:b/>
          <w:bCs/>
          <w:sz w:val="22"/>
          <w:szCs w:val="22"/>
        </w:rPr>
        <w:t>Yt</w:t>
      </w:r>
      <w:proofErr w:type="spellEnd"/>
      <w:r>
        <w:rPr>
          <w:rFonts w:ascii="Calibri" w:eastAsia="Calibri" w:hAnsi="Calibri" w:cs="Calibri"/>
          <w:b/>
          <w:bCs/>
          <w:sz w:val="22"/>
          <w:szCs w:val="22"/>
        </w:rPr>
        <w:t xml:space="preserve"> = </w:t>
      </w:r>
      <w:proofErr w:type="spellStart"/>
      <w:r>
        <w:rPr>
          <w:rFonts w:ascii="Calibri" w:eastAsia="Calibri" w:hAnsi="Calibri" w:cs="Calibri"/>
          <w:b/>
          <w:bCs/>
          <w:sz w:val="22"/>
          <w:szCs w:val="22"/>
        </w:rPr>
        <w:t>εt</w:t>
      </w:r>
      <w:proofErr w:type="spellEnd"/>
    </w:p>
    <w:p w14:paraId="2965E0D6" w14:textId="77777777" w:rsidR="006D5CB4" w:rsidRDefault="00000000">
      <w:pPr>
        <w:spacing w:after="200"/>
      </w:pPr>
      <w:r>
        <w:rPr>
          <w:rFonts w:ascii="Calibri" w:eastAsia="Calibri" w:hAnsi="Calibri" w:cs="Calibri"/>
          <w:sz w:val="22"/>
          <w:szCs w:val="22"/>
        </w:rPr>
        <w:t xml:space="preserve">where L is the lag operator, Π(L) = IN − Π1L − … − </w:t>
      </w:r>
      <w:proofErr w:type="spellStart"/>
      <w:r>
        <w:rPr>
          <w:rFonts w:ascii="Calibri" w:eastAsia="Calibri" w:hAnsi="Calibri" w:cs="Calibri"/>
          <w:sz w:val="22"/>
          <w:szCs w:val="22"/>
        </w:rPr>
        <w:t>ΠrL^r</w:t>
      </w:r>
      <w:proofErr w:type="spellEnd"/>
      <w:r>
        <w:rPr>
          <w:rFonts w:ascii="Calibri" w:eastAsia="Calibri" w:hAnsi="Calibri" w:cs="Calibri"/>
          <w:sz w:val="22"/>
          <w:szCs w:val="22"/>
        </w:rPr>
        <w:t xml:space="preserve"> is the causal polynomial with all roots strictly outside the unit circle, and Φ(L⁻¹) = IN − Φ1L⁻¹ − … − </w:t>
      </w:r>
      <w:proofErr w:type="spellStart"/>
      <w:r>
        <w:rPr>
          <w:rFonts w:ascii="Calibri" w:eastAsia="Calibri" w:hAnsi="Calibri" w:cs="Calibri"/>
          <w:sz w:val="22"/>
          <w:szCs w:val="22"/>
        </w:rPr>
        <w:t>ΦsL⁻ˢ</w:t>
      </w:r>
      <w:proofErr w:type="spellEnd"/>
      <w:r>
        <w:rPr>
          <w:rFonts w:ascii="Calibri" w:eastAsia="Calibri" w:hAnsi="Calibri" w:cs="Calibri"/>
          <w:sz w:val="22"/>
          <w:szCs w:val="22"/>
        </w:rPr>
        <w:t xml:space="preserve"> is the noncausal polynomial, defined in the lead operator, with all roots strictly inside the unit circle. The noncausal component generates paths that are locally explosive and, in the causal (backward-looking) representation of the process, depend on future innovations — a statistical property we call “noncausal dependence” rather than presume reflects literal use of future information by economic agents. The structural shock </w:t>
      </w:r>
      <w:proofErr w:type="spellStart"/>
      <w:r>
        <w:rPr>
          <w:rFonts w:ascii="Calibri" w:eastAsia="Calibri" w:hAnsi="Calibri" w:cs="Calibri"/>
          <w:sz w:val="22"/>
          <w:szCs w:val="22"/>
        </w:rPr>
        <w:t>εt</w:t>
      </w:r>
      <w:proofErr w:type="spellEnd"/>
      <w:r>
        <w:rPr>
          <w:rFonts w:ascii="Calibri" w:eastAsia="Calibri" w:hAnsi="Calibri" w:cs="Calibri"/>
          <w:sz w:val="22"/>
          <w:szCs w:val="22"/>
        </w:rPr>
        <w:t xml:space="preserve"> is assumed non-Gaussian and </w:t>
      </w:r>
      <w:proofErr w:type="spellStart"/>
      <w:r>
        <w:rPr>
          <w:rFonts w:ascii="Calibri" w:eastAsia="Calibri" w:hAnsi="Calibri" w:cs="Calibri"/>
          <w:sz w:val="22"/>
          <w:szCs w:val="22"/>
        </w:rPr>
        <w:t>i.i.d.</w:t>
      </w:r>
      <w:proofErr w:type="spellEnd"/>
      <w:r>
        <w:rPr>
          <w:rFonts w:ascii="Calibri" w:eastAsia="Calibri" w:hAnsi="Calibri" w:cs="Calibri"/>
          <w:sz w:val="22"/>
          <w:szCs w:val="22"/>
        </w:rPr>
        <w:t xml:space="preserve">; this restriction identifies the split between Π(L) and Φ(L⁻¹), since under Gaussian </w:t>
      </w:r>
      <w:proofErr w:type="spellStart"/>
      <w:r>
        <w:rPr>
          <w:rFonts w:ascii="Calibri" w:eastAsia="Calibri" w:hAnsi="Calibri" w:cs="Calibri"/>
          <w:sz w:val="22"/>
          <w:szCs w:val="22"/>
        </w:rPr>
        <w:t>εt</w:t>
      </w:r>
      <w:proofErr w:type="spellEnd"/>
      <w:r>
        <w:rPr>
          <w:rFonts w:ascii="Calibri" w:eastAsia="Calibri" w:hAnsi="Calibri" w:cs="Calibri"/>
          <w:sz w:val="22"/>
          <w:szCs w:val="22"/>
        </w:rPr>
        <w:t xml:space="preserve"> the factorization is not identified from second moments alone.</w:t>
      </w:r>
    </w:p>
    <w:p w14:paraId="446F4570" w14:textId="77777777" w:rsidR="006D5CB4" w:rsidRDefault="00000000">
      <w:pPr>
        <w:spacing w:after="200"/>
      </w:pPr>
      <w:r>
        <w:rPr>
          <w:rFonts w:ascii="Calibri" w:eastAsia="Calibri" w:hAnsi="Calibri" w:cs="Calibri"/>
          <w:sz w:val="22"/>
          <w:szCs w:val="22"/>
        </w:rPr>
        <w:t xml:space="preserve">In the high-dimensional case (N large relative to T), Π1, …, </w:t>
      </w:r>
      <w:proofErr w:type="spellStart"/>
      <w:r>
        <w:rPr>
          <w:rFonts w:ascii="Calibri" w:eastAsia="Calibri" w:hAnsi="Calibri" w:cs="Calibri"/>
          <w:sz w:val="22"/>
          <w:szCs w:val="22"/>
        </w:rPr>
        <w:t>Πr</w:t>
      </w:r>
      <w:proofErr w:type="spellEnd"/>
      <w:r>
        <w:rPr>
          <w:rFonts w:ascii="Calibri" w:eastAsia="Calibri" w:hAnsi="Calibri" w:cs="Calibri"/>
          <w:sz w:val="22"/>
          <w:szCs w:val="22"/>
        </w:rPr>
        <w:t xml:space="preserve"> and Φ1, …, </w:t>
      </w:r>
      <w:proofErr w:type="spellStart"/>
      <w:r>
        <w:rPr>
          <w:rFonts w:ascii="Calibri" w:eastAsia="Calibri" w:hAnsi="Calibri" w:cs="Calibri"/>
          <w:sz w:val="22"/>
          <w:szCs w:val="22"/>
        </w:rPr>
        <w:t>Φs</w:t>
      </w:r>
      <w:proofErr w:type="spellEnd"/>
      <w:r>
        <w:rPr>
          <w:rFonts w:ascii="Calibri" w:eastAsia="Calibri" w:hAnsi="Calibri" w:cs="Calibri"/>
          <w:sz w:val="22"/>
          <w:szCs w:val="22"/>
        </w:rPr>
        <w:t xml:space="preserve"> are assumed sparse. We assume the process satisfies strong-mixing conditions sufficient for a central limit theorem for dependent, non-Gaussian sequences (Davydov, 1968); we do not derive the specific high-dimensional mixing and moment conditions a consistency proof for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would require, and we flag this as an open item in Section 6.</w:t>
      </w:r>
    </w:p>
    <w:p w14:paraId="7BC7AF67" w14:textId="77777777" w:rsidR="006D5CB4" w:rsidRDefault="00000000">
      <w:pPr>
        <w:pStyle w:val="Heading1"/>
        <w:spacing w:before="360" w:after="160"/>
      </w:pPr>
      <w:r>
        <w:rPr>
          <w:rFonts w:ascii="Calibri" w:eastAsia="Calibri" w:hAnsi="Calibri" w:cs="Calibri"/>
          <w:b/>
          <w:bCs/>
          <w:sz w:val="26"/>
          <w:szCs w:val="26"/>
        </w:rPr>
        <w:t>3. Methodology</w:t>
      </w:r>
    </w:p>
    <w:p w14:paraId="36A0FAD4" w14:textId="77777777" w:rsidR="006D5CB4" w:rsidRDefault="00000000">
      <w:pPr>
        <w:spacing w:after="200"/>
      </w:pPr>
      <w:r>
        <w:rPr>
          <w:rFonts w:ascii="Calibri" w:eastAsia="Calibri" w:hAnsi="Calibri" w:cs="Calibri"/>
          <w:sz w:val="22"/>
          <w:szCs w:val="22"/>
        </w:rPr>
        <w:t xml:space="preserve">This section defines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estimator, its two causal comparators, and the diagnostic and network tools applied in Section 5. Throughout, </w:t>
      </w:r>
      <w:proofErr w:type="spellStart"/>
      <w:r>
        <w:rPr>
          <w:rFonts w:ascii="Calibri" w:eastAsia="Calibri" w:hAnsi="Calibri" w:cs="Calibri"/>
          <w:sz w:val="22"/>
          <w:szCs w:val="22"/>
        </w:rPr>
        <w:t>Yt</w:t>
      </w:r>
      <w:proofErr w:type="spellEnd"/>
      <w:r>
        <w:rPr>
          <w:rFonts w:ascii="Calibri" w:eastAsia="Calibri" w:hAnsi="Calibri" w:cs="Calibri"/>
          <w:sz w:val="22"/>
          <w:szCs w:val="22"/>
        </w:rPr>
        <w:t xml:space="preserve"> is standardized to zero mean and unit variance component-wise prior to estimation, so the ridge penalty and optimization bounds are on a comparable scale across series.</w:t>
      </w:r>
    </w:p>
    <w:p w14:paraId="58C36CF5" w14:textId="77777777" w:rsidR="006D5CB4" w:rsidRDefault="00000000">
      <w:pPr>
        <w:spacing w:after="200"/>
      </w:pPr>
      <w:r>
        <w:rPr>
          <w:rFonts w:ascii="Calibri" w:eastAsia="Calibri" w:hAnsi="Calibri" w:cs="Calibri"/>
          <w:sz w:val="22"/>
          <w:szCs w:val="22"/>
        </w:rPr>
        <w:t xml:space="preserve">The empirical analysis uses daily data obtained from Yahoo Finance for eight series: the S&amp;P 500, Nasdaq Composite, Dow Jones Industrial Average, the CBOE VIX, gold futures, crude-oil futures, the 10-year Treasury yield, and the US Dollar Index. All series are converted to daily log changes and standardized. The loading routine explicitly handles </w:t>
      </w:r>
      <w:proofErr w:type="spellStart"/>
      <w:r>
        <w:rPr>
          <w:rFonts w:ascii="Calibri" w:eastAsia="Calibri" w:hAnsi="Calibri" w:cs="Calibri"/>
          <w:sz w:val="22"/>
          <w:szCs w:val="22"/>
        </w:rPr>
        <w:t>yfinance's</w:t>
      </w:r>
      <w:proofErr w:type="spellEnd"/>
      <w:r>
        <w:rPr>
          <w:rFonts w:ascii="Calibri" w:eastAsia="Calibri" w:hAnsi="Calibri" w:cs="Calibri"/>
          <w:sz w:val="22"/>
          <w:szCs w:val="22"/>
        </w:rPr>
        <w:t xml:space="preserve"> plain and </w:t>
      </w:r>
      <w:proofErr w:type="spellStart"/>
      <w:r>
        <w:rPr>
          <w:rFonts w:ascii="Calibri" w:eastAsia="Calibri" w:hAnsi="Calibri" w:cs="Calibri"/>
          <w:sz w:val="22"/>
          <w:szCs w:val="22"/>
        </w:rPr>
        <w:t>MultiIndex</w:t>
      </w:r>
      <w:proofErr w:type="spellEnd"/>
      <w:r>
        <w:rPr>
          <w:rFonts w:ascii="Calibri" w:eastAsia="Calibri" w:hAnsi="Calibri" w:cs="Calibri"/>
          <w:sz w:val="22"/>
          <w:szCs w:val="22"/>
        </w:rPr>
        <w:t xml:space="preserve"> column layouts and its “Close” versus “Adj Close” fields, and audits for non-positive prices and insufficient history before forming a balanced panel; after this audit the panel used throughout has T = 3,516 daily observations (January 5, 2010 to December 29, 2023). The Monte Carlo analysis of Section 4 uses simulated VAR data-generating processes with known coefficients and is never combined with the empirical panel.</w:t>
      </w:r>
    </w:p>
    <w:p w14:paraId="5C37D9F4" w14:textId="77777777" w:rsidR="006D5CB4" w:rsidRDefault="00000000">
      <w:pPr>
        <w:pStyle w:val="Heading2"/>
        <w:spacing w:before="260" w:after="140"/>
      </w:pPr>
      <w:r>
        <w:rPr>
          <w:rFonts w:ascii="Calibri" w:eastAsia="Calibri" w:hAnsi="Calibri" w:cs="Calibri"/>
          <w:b/>
          <w:bCs/>
          <w:sz w:val="24"/>
          <w:szCs w:val="24"/>
        </w:rPr>
        <w:t>3.1. Regularized Generalized Covariance (</w:t>
      </w:r>
      <w:proofErr w:type="spellStart"/>
      <w:r>
        <w:rPr>
          <w:rFonts w:ascii="Calibri" w:eastAsia="Calibri" w:hAnsi="Calibri" w:cs="Calibri"/>
          <w:b/>
          <w:bCs/>
          <w:sz w:val="24"/>
          <w:szCs w:val="24"/>
        </w:rPr>
        <w:t>RGCov</w:t>
      </w:r>
      <w:proofErr w:type="spellEnd"/>
      <w:r>
        <w:rPr>
          <w:rFonts w:ascii="Calibri" w:eastAsia="Calibri" w:hAnsi="Calibri" w:cs="Calibri"/>
          <w:b/>
          <w:bCs/>
          <w:sz w:val="24"/>
          <w:szCs w:val="24"/>
        </w:rPr>
        <w:t>) Estimation</w:t>
      </w:r>
    </w:p>
    <w:p w14:paraId="65B15582" w14:textId="77777777" w:rsidR="006D5CB4" w:rsidRDefault="00000000">
      <w:pPr>
        <w:spacing w:after="200"/>
      </w:pPr>
      <w:r>
        <w:rPr>
          <w:rFonts w:ascii="Calibri" w:eastAsia="Calibri" w:hAnsi="Calibri" w:cs="Calibri"/>
          <w:sz w:val="22"/>
          <w:szCs w:val="22"/>
        </w:rPr>
        <w:t xml:space="preserve">For a purely causal working model of order p (the causal-only case is what we implement in Sections 4–5; the mixed case of Section 2 is targeted by the Monte Carlo design of Section 4.3 but not yet estimated jointly on the empirical panel — see Section 6.1), write the one-step residual as Ut(β) = </w:t>
      </w:r>
      <w:proofErr w:type="spellStart"/>
      <w:r>
        <w:rPr>
          <w:rFonts w:ascii="Calibri" w:eastAsia="Calibri" w:hAnsi="Calibri" w:cs="Calibri"/>
          <w:sz w:val="22"/>
          <w:szCs w:val="22"/>
        </w:rPr>
        <w:t>Yt</w:t>
      </w:r>
      <w:proofErr w:type="spellEnd"/>
      <w:r>
        <w:rPr>
          <w:rFonts w:ascii="Calibri" w:eastAsia="Calibri" w:hAnsi="Calibri" w:cs="Calibri"/>
          <w:sz w:val="22"/>
          <w:szCs w:val="22"/>
        </w:rPr>
        <w:t xml:space="preserve"> − Σi₌1p β</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Yt−i</w:t>
      </w:r>
      <w:proofErr w:type="spellEnd"/>
      <w:r>
        <w:rPr>
          <w:rFonts w:ascii="Calibri" w:eastAsia="Calibri" w:hAnsi="Calibri" w:cs="Calibri"/>
          <w:sz w:val="22"/>
          <w:szCs w:val="22"/>
        </w:rPr>
        <w:t xml:space="preserve">, </w:t>
      </w:r>
      <w:r>
        <w:rPr>
          <w:rFonts w:ascii="Calibri" w:eastAsia="Calibri" w:hAnsi="Calibri" w:cs="Calibri"/>
          <w:sz w:val="22"/>
          <w:szCs w:val="22"/>
        </w:rPr>
        <w:lastRenderedPageBreak/>
        <w:t xml:space="preserve">where β = (β1, …, βp) collects the N × N coefficient matrices. Let g(u) = (u, |u|²) denote the level and squared level of the residual. For a maximum lag H, define the sample autocovariances of the transformed residuals, </w:t>
      </w:r>
      <w:proofErr w:type="spellStart"/>
      <w:r>
        <w:rPr>
          <w:rFonts w:ascii="Calibri" w:eastAsia="Calibri" w:hAnsi="Calibri" w:cs="Calibri"/>
          <w:sz w:val="22"/>
          <w:szCs w:val="22"/>
        </w:rPr>
        <w:t>γh</w:t>
      </w:r>
      <w:proofErr w:type="spellEnd"/>
      <w:r>
        <w:rPr>
          <w:rFonts w:ascii="Calibri" w:eastAsia="Calibri" w:hAnsi="Calibri" w:cs="Calibri"/>
          <w:sz w:val="22"/>
          <w:szCs w:val="22"/>
        </w:rPr>
        <w:t xml:space="preserve">(β), h = 1, …, H, applied separately to the level and squared-level components of g. The Regularized </w:t>
      </w:r>
      <w:proofErr w:type="spellStart"/>
      <w:r>
        <w:rPr>
          <w:rFonts w:ascii="Calibri" w:eastAsia="Calibri" w:hAnsi="Calibri" w:cs="Calibri"/>
          <w:sz w:val="22"/>
          <w:szCs w:val="22"/>
        </w:rPr>
        <w:t>GCov</w:t>
      </w:r>
      <w:proofErr w:type="spellEnd"/>
      <w:r>
        <w:rPr>
          <w:rFonts w:ascii="Calibri" w:eastAsia="Calibri" w:hAnsi="Calibri" w:cs="Calibri"/>
          <w:sz w:val="22"/>
          <w:szCs w:val="22"/>
        </w:rPr>
        <w:t xml:space="preserve"> estimator solves</w:t>
      </w:r>
    </w:p>
    <w:p w14:paraId="5F2A3D55" w14:textId="77777777" w:rsidR="006D5CB4" w:rsidRDefault="00000000">
      <w:pPr>
        <w:spacing w:after="240"/>
        <w:jc w:val="center"/>
      </w:pPr>
      <w:r>
        <w:rPr>
          <w:rFonts w:ascii="Calibri" w:eastAsia="Calibri" w:hAnsi="Calibri" w:cs="Calibri"/>
          <w:b/>
          <w:bCs/>
          <w:sz w:val="22"/>
          <w:szCs w:val="22"/>
        </w:rPr>
        <w:t xml:space="preserve">β̂ = </w:t>
      </w:r>
      <w:proofErr w:type="spellStart"/>
      <w:r>
        <w:rPr>
          <w:rFonts w:ascii="Calibri" w:eastAsia="Calibri" w:hAnsi="Calibri" w:cs="Calibri"/>
          <w:b/>
          <w:bCs/>
          <w:sz w:val="22"/>
          <w:szCs w:val="22"/>
        </w:rPr>
        <w:t>argmin</w:t>
      </w:r>
      <w:proofErr w:type="spellEnd"/>
      <w:r>
        <w:rPr>
          <w:rFonts w:ascii="Calibri" w:eastAsia="Calibri" w:hAnsi="Calibri" w:cs="Calibri"/>
          <w:b/>
          <w:bCs/>
          <w:sz w:val="22"/>
          <w:szCs w:val="22"/>
        </w:rPr>
        <w:t>β  Σh₌1H ‖</w:t>
      </w:r>
      <w:proofErr w:type="spellStart"/>
      <w:r>
        <w:rPr>
          <w:rFonts w:ascii="Calibri" w:eastAsia="Calibri" w:hAnsi="Calibri" w:cs="Calibri"/>
          <w:b/>
          <w:bCs/>
          <w:sz w:val="22"/>
          <w:szCs w:val="22"/>
        </w:rPr>
        <w:t>γh</w:t>
      </w:r>
      <w:proofErr w:type="spellEnd"/>
      <w:r>
        <w:rPr>
          <w:rFonts w:ascii="Calibri" w:eastAsia="Calibri" w:hAnsi="Calibri" w:cs="Calibri"/>
          <w:b/>
          <w:bCs/>
          <w:sz w:val="22"/>
          <w:szCs w:val="22"/>
        </w:rPr>
        <w:t>(β)‖² + λ ‖β‖²,</w:t>
      </w:r>
    </w:p>
    <w:p w14:paraId="727FCF4D" w14:textId="77777777" w:rsidR="006D5CB4" w:rsidRDefault="00000000">
      <w:pPr>
        <w:spacing w:after="200"/>
      </w:pPr>
      <w:r>
        <w:rPr>
          <w:rFonts w:ascii="Calibri" w:eastAsia="Calibri" w:hAnsi="Calibri" w:cs="Calibri"/>
          <w:sz w:val="22"/>
          <w:szCs w:val="22"/>
        </w:rPr>
        <w:t>a portmanteau-type criterion penalizing serial dependence remaining in the level and squared level of the residuals across horizons h = 1, …, H, plus a ridge penalty λ‖β‖² on the stacked coefficient vector. The ridge term is a computational stabilizer rather than a term with an established oracle or minimax property in this setting; it penalizes the coefficient vector directly, not a covariance-weighting or precision matrix.</w:t>
      </w:r>
    </w:p>
    <w:p w14:paraId="2C40AC9E" w14:textId="77777777" w:rsidR="006D5CB4" w:rsidRDefault="00000000">
      <w:pPr>
        <w:spacing w:after="200"/>
      </w:pPr>
      <w:r>
        <w:rPr>
          <w:rFonts w:ascii="Calibri" w:eastAsia="Calibri" w:hAnsi="Calibri" w:cs="Calibri"/>
          <w:sz w:val="22"/>
          <w:szCs w:val="22"/>
        </w:rPr>
        <w:t>The numerical strategy that produces the results in Sections 4.3 and 5.1 initializes the optimizer at the closed-form OLS solution, imposes box constraints |β</w:t>
      </w:r>
      <w:proofErr w:type="spellStart"/>
      <w:r>
        <w:rPr>
          <w:rFonts w:ascii="Calibri" w:eastAsia="Calibri" w:hAnsi="Calibri" w:cs="Calibri"/>
          <w:sz w:val="22"/>
          <w:szCs w:val="22"/>
        </w:rPr>
        <w:t>ijk</w:t>
      </w:r>
      <w:proofErr w:type="spellEnd"/>
      <w:r>
        <w:rPr>
          <w:rFonts w:ascii="Calibri" w:eastAsia="Calibri" w:hAnsi="Calibri" w:cs="Calibri"/>
          <w:sz w:val="22"/>
          <w:szCs w:val="22"/>
        </w:rPr>
        <w:t>| ≤ 5, and runs multiple starts formed by small perturbations of the OLS starting point (rather than random initializations in the full parameter space, which is what failed to converge in the earlier implementation). Each start is optimized by L-BFGS-B; a start is certified only if the optimizer reports success, the objective is finite, and the infinity-norm of the gradient falls below 10⁻⁶. We report the best certified objective across starts, and we report explicitly, rather than assume, whether certification was achieved at each dimension we tried (N = 2 in the Monte Carlo of Section 4.3; N = 8 on the empirical panel of Section 5.1).</w:t>
      </w:r>
    </w:p>
    <w:p w14:paraId="482AF5C0" w14:textId="77777777" w:rsidR="006D5CB4" w:rsidRDefault="00000000">
      <w:pPr>
        <w:spacing w:after="200"/>
        <w:rPr>
          <w:rFonts w:ascii="Calibri" w:eastAsia="Calibri" w:hAnsi="Calibri" w:cs="Calibri"/>
          <w:sz w:val="22"/>
          <w:szCs w:val="22"/>
        </w:rPr>
      </w:pPr>
      <w:r>
        <w:rPr>
          <w:rFonts w:ascii="Calibri" w:eastAsia="Calibri" w:hAnsi="Calibri" w:cs="Calibri"/>
          <w:sz w:val="22"/>
          <w:szCs w:val="22"/>
        </w:rPr>
        <w:t xml:space="preserve">Once a candidate β̂ is obtained, the implied VAR(p) is written in companion form and its eigenvalues classify each of the Np companion roots as causal (|z| &lt; 1) or noncausal (|z| &gt; 1). In the fully specified mixed model of Section 2, roots with |z| &gt; 1 in this companion form correspond, after inversion, to genuine noncausal (Φ-side) dynamics; in the causal-only estimator implemented on the empirical panel, an eigenvalue outside the unit circle instead signals that the fitted causal VAR is itself locally explosive — a diagnostic of near-unit-root or </w:t>
      </w:r>
      <w:proofErr w:type="spellStart"/>
      <w:r>
        <w:rPr>
          <w:rFonts w:ascii="Calibri" w:eastAsia="Calibri" w:hAnsi="Calibri" w:cs="Calibri"/>
          <w:sz w:val="22"/>
          <w:szCs w:val="22"/>
        </w:rPr>
        <w:t>misspecified</w:t>
      </w:r>
      <w:proofErr w:type="spellEnd"/>
      <w:r>
        <w:rPr>
          <w:rFonts w:ascii="Calibri" w:eastAsia="Calibri" w:hAnsi="Calibri" w:cs="Calibri"/>
          <w:sz w:val="22"/>
          <w:szCs w:val="22"/>
        </w:rPr>
        <w:t xml:space="preserve"> dynamics rather than direct evidence of a structural noncausal component. We maintain this distinction throughout Section 5.</w:t>
      </w:r>
    </w:p>
    <w:p w14:paraId="390306EA" w14:textId="6538DD6C" w:rsidR="003B22DF" w:rsidRDefault="003B22DF" w:rsidP="003B22DF">
      <w:pPr>
        <w:spacing w:after="200"/>
      </w:pPr>
      <w:r w:rsidRPr="003B22DF">
        <w:rPr>
          <w:b/>
          <w:bCs/>
        </w:rPr>
        <w:t>Numerical Implementation and Certification:</w:t>
      </w:r>
      <w:r w:rsidRPr="003B22DF">
        <w:t xml:space="preserve"> To overcome the optimization bottlenecks inherent in high-dimensional portmanteau criteria, the </w:t>
      </w:r>
      <w:proofErr w:type="spellStart"/>
      <w:r w:rsidRPr="003B22DF">
        <w:t>RGCov</w:t>
      </w:r>
      <w:proofErr w:type="spellEnd"/>
      <w:r w:rsidRPr="003B22DF">
        <w:t xml:space="preserve"> objective is implemented using exact automatic differentiation via JAX, configured in 64-bit precision to eliminate the floating-point noise floors that obscure strict gradient-norm certification. Furthermore, because the </w:t>
      </w:r>
      <w:proofErr w:type="spellStart"/>
      <w:r w:rsidRPr="003B22DF">
        <w:t>GCov</w:t>
      </w:r>
      <w:proofErr w:type="spellEnd"/>
      <w:r w:rsidRPr="003B22DF">
        <w:t xml:space="preserve"> theory strictly requires </w:t>
      </w:r>
      <w:proofErr w:type="spellStart"/>
      <w:r w:rsidRPr="003B22DF">
        <w:t>i.i.d.</w:t>
      </w:r>
      <w:proofErr w:type="spellEnd"/>
      <w:r w:rsidRPr="003B22DF">
        <w:t xml:space="preserve"> structural shocks, we apply a univariate GARCH(1,1) pre-filter to each series prior to estimation. This removes volatility clustering (ARCH effects), ensuring the mathematical assumptions of the criterion are met before optimization begins.</w:t>
      </w:r>
    </w:p>
    <w:p w14:paraId="3322A41D" w14:textId="77777777" w:rsidR="006D5CB4" w:rsidRDefault="00000000">
      <w:pPr>
        <w:pStyle w:val="Heading2"/>
        <w:spacing w:before="260" w:after="140"/>
      </w:pPr>
      <w:r>
        <w:rPr>
          <w:rFonts w:ascii="Calibri" w:eastAsia="Calibri" w:hAnsi="Calibri" w:cs="Calibri"/>
          <w:b/>
          <w:bCs/>
          <w:sz w:val="24"/>
          <w:szCs w:val="24"/>
        </w:rPr>
        <w:t>3.2. Causal Benchmarks: OLS-VAR and Lasso-VAR</w:t>
      </w:r>
    </w:p>
    <w:p w14:paraId="52FEAC73" w14:textId="77777777" w:rsidR="006D5CB4" w:rsidRDefault="00000000">
      <w:pPr>
        <w:spacing w:after="200"/>
      </w:pPr>
      <w:r>
        <w:rPr>
          <w:rFonts w:ascii="Calibri" w:eastAsia="Calibri" w:hAnsi="Calibri" w:cs="Calibri"/>
          <w:sz w:val="22"/>
          <w:szCs w:val="22"/>
        </w:rPr>
        <w:t xml:space="preserve">We compare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against two standard causal estimators of the same VAR(p). The unpenalized benchmark is ordinary least squares equation-by-equation, β̂OLS = (X'X + </w:t>
      </w:r>
      <w:proofErr w:type="spellStart"/>
      <w:r>
        <w:rPr>
          <w:rFonts w:ascii="Calibri" w:eastAsia="Calibri" w:hAnsi="Calibri" w:cs="Calibri"/>
          <w:sz w:val="22"/>
          <w:szCs w:val="22"/>
        </w:rPr>
        <w:t>δI</w:t>
      </w:r>
      <w:proofErr w:type="spellEnd"/>
      <w:r>
        <w:rPr>
          <w:rFonts w:ascii="Calibri" w:eastAsia="Calibri" w:hAnsi="Calibri" w:cs="Calibri"/>
          <w:sz w:val="22"/>
          <w:szCs w:val="22"/>
        </w:rPr>
        <w:t xml:space="preserve">)⁻¹X'Y, where X stacks the p lags of </w:t>
      </w:r>
      <w:proofErr w:type="spellStart"/>
      <w:r>
        <w:rPr>
          <w:rFonts w:ascii="Calibri" w:eastAsia="Calibri" w:hAnsi="Calibri" w:cs="Calibri"/>
          <w:sz w:val="22"/>
          <w:szCs w:val="22"/>
        </w:rPr>
        <w:t>Yt</w:t>
      </w:r>
      <w:proofErr w:type="spellEnd"/>
      <w:r>
        <w:rPr>
          <w:rFonts w:ascii="Calibri" w:eastAsia="Calibri" w:hAnsi="Calibri" w:cs="Calibri"/>
          <w:sz w:val="22"/>
          <w:szCs w:val="22"/>
        </w:rPr>
        <w:t xml:space="preserve"> and δ = 10⁻⁸ is a numerically negligible ridge term added only to guarantee invertibility. The sparse benchmark is a multi-task Lasso, β̂Lasso = </w:t>
      </w:r>
      <w:proofErr w:type="spellStart"/>
      <w:r>
        <w:rPr>
          <w:rFonts w:ascii="Calibri" w:eastAsia="Calibri" w:hAnsi="Calibri" w:cs="Calibri"/>
          <w:sz w:val="22"/>
          <w:szCs w:val="22"/>
        </w:rPr>
        <w:t>argmin</w:t>
      </w:r>
      <w:proofErr w:type="spellEnd"/>
      <w:r>
        <w:rPr>
          <w:rFonts w:ascii="Calibri" w:eastAsia="Calibri" w:hAnsi="Calibri" w:cs="Calibri"/>
          <w:sz w:val="22"/>
          <w:szCs w:val="22"/>
        </w:rPr>
        <w:t xml:space="preserve">β ‖Y − Xβ‖²₂ + α </w:t>
      </w:r>
      <w:proofErr w:type="spellStart"/>
      <w:r>
        <w:rPr>
          <w:rFonts w:ascii="Calibri" w:eastAsia="Calibri" w:hAnsi="Calibri" w:cs="Calibri"/>
          <w:sz w:val="22"/>
          <w:szCs w:val="22"/>
        </w:rPr>
        <w:t>Σj</w:t>
      </w:r>
      <w:proofErr w:type="spellEnd"/>
      <w:r>
        <w:rPr>
          <w:rFonts w:ascii="Calibri" w:eastAsia="Calibri" w:hAnsi="Calibri" w:cs="Calibri"/>
          <w:sz w:val="22"/>
          <w:szCs w:val="22"/>
        </w:rPr>
        <w:t xml:space="preserve"> ‖βj·‖₂, implemented with scikit-</w:t>
      </w:r>
      <w:proofErr w:type="spellStart"/>
      <w:r>
        <w:rPr>
          <w:rFonts w:ascii="Calibri" w:eastAsia="Calibri" w:hAnsi="Calibri" w:cs="Calibri"/>
          <w:sz w:val="22"/>
          <w:szCs w:val="22"/>
        </w:rPr>
        <w:t>learn's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MultiTaskLasso</w:t>
      </w:r>
      <w:proofErr w:type="spellEnd"/>
      <w:r>
        <w:rPr>
          <w:rFonts w:ascii="Calibri" w:eastAsia="Calibri" w:hAnsi="Calibri" w:cs="Calibri"/>
          <w:sz w:val="22"/>
          <w:szCs w:val="22"/>
        </w:rPr>
        <w:t xml:space="preserve"> (α = 0.01), which applies an ℓ2,1 group penalty across equations for each predictor column. Both estimators have closed-form or convex solutions and so carry none of </w:t>
      </w:r>
      <w:proofErr w:type="spellStart"/>
      <w:r>
        <w:rPr>
          <w:rFonts w:ascii="Calibri" w:eastAsia="Calibri" w:hAnsi="Calibri" w:cs="Calibri"/>
          <w:sz w:val="22"/>
          <w:szCs w:val="22"/>
        </w:rPr>
        <w:t>RGCov's</w:t>
      </w:r>
      <w:proofErr w:type="spellEnd"/>
      <w:r>
        <w:rPr>
          <w:rFonts w:ascii="Calibri" w:eastAsia="Calibri" w:hAnsi="Calibri" w:cs="Calibri"/>
          <w:sz w:val="22"/>
          <w:szCs w:val="22"/>
        </w:rPr>
        <w:t xml:space="preserve"> certification uncertainty.</w:t>
      </w:r>
    </w:p>
    <w:p w14:paraId="0F2A8F4C" w14:textId="77777777" w:rsidR="006D5CB4" w:rsidRDefault="00000000">
      <w:pPr>
        <w:pStyle w:val="Heading2"/>
        <w:spacing w:before="260" w:after="140"/>
      </w:pPr>
      <w:r>
        <w:rPr>
          <w:rFonts w:ascii="Calibri" w:eastAsia="Calibri" w:hAnsi="Calibri" w:cs="Calibri"/>
          <w:b/>
          <w:bCs/>
          <w:sz w:val="24"/>
          <w:szCs w:val="24"/>
        </w:rPr>
        <w:t>3.3. Residual Diagnostics: Ljung–Box</w:t>
      </w:r>
    </w:p>
    <w:p w14:paraId="6EC81014" w14:textId="77777777" w:rsidR="006D5CB4" w:rsidRDefault="00000000">
      <w:pPr>
        <w:spacing w:after="200"/>
      </w:pPr>
      <w:r>
        <w:rPr>
          <w:rFonts w:ascii="Calibri" w:eastAsia="Calibri" w:hAnsi="Calibri" w:cs="Calibri"/>
          <w:sz w:val="22"/>
          <w:szCs w:val="22"/>
        </w:rPr>
        <w:lastRenderedPageBreak/>
        <w:t xml:space="preserve">For each series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we test the null of no residual autocorrelation up to lag L using the Ljung–Box statistic applied to the estimated residuals </w:t>
      </w:r>
      <w:proofErr w:type="spellStart"/>
      <w:r>
        <w:rPr>
          <w:rFonts w:ascii="Calibri" w:eastAsia="Calibri" w:hAnsi="Calibri" w:cs="Calibri"/>
          <w:sz w:val="22"/>
          <w:szCs w:val="22"/>
        </w:rPr>
        <w:t>Ûi,t</w:t>
      </w:r>
      <w:proofErr w:type="spellEnd"/>
      <w:r>
        <w:rPr>
          <w:rFonts w:ascii="Calibri" w:eastAsia="Calibri" w:hAnsi="Calibri" w:cs="Calibri"/>
          <w:sz w:val="22"/>
          <w:szCs w:val="22"/>
        </w:rPr>
        <w:t>, with L = 10 in the empirical application. Rejection indicates the fitted model has not fully whitened the series.</w:t>
      </w:r>
    </w:p>
    <w:p w14:paraId="0C1DB552" w14:textId="77777777" w:rsidR="006D5CB4" w:rsidRDefault="00000000">
      <w:pPr>
        <w:pStyle w:val="Heading2"/>
        <w:spacing w:before="260" w:after="140"/>
      </w:pPr>
      <w:r>
        <w:rPr>
          <w:rFonts w:ascii="Calibri" w:eastAsia="Calibri" w:hAnsi="Calibri" w:cs="Calibri"/>
          <w:b/>
          <w:bCs/>
          <w:sz w:val="24"/>
          <w:szCs w:val="24"/>
        </w:rPr>
        <w:t>3.4. Local Gaussian Correlation</w:t>
      </w:r>
    </w:p>
    <w:p w14:paraId="6AC1CD8C" w14:textId="77777777" w:rsidR="006D5CB4" w:rsidRDefault="00000000">
      <w:pPr>
        <w:spacing w:after="200"/>
      </w:pPr>
      <w:r>
        <w:rPr>
          <w:rFonts w:ascii="Calibri" w:eastAsia="Calibri" w:hAnsi="Calibri" w:cs="Calibri"/>
          <w:sz w:val="22"/>
          <w:szCs w:val="22"/>
        </w:rPr>
        <w:t>Global (unconditional) correlation cannot detect dependence that is asymmetric across the joint distribution — for example, residuals that co-move strongly in the joint tails but weakly near the center, a pattern often associated with contagion during market stress. Following Støve and Tjøstheim (2014), we estimate a local Gaussian correlation surface ρ(x, y) over a grid of standardized residual pairs using a kernel-weighted local-likelihood fit of a bivariate Gaussian at each grid point, with bandwidth chosen by Silverman's rule of thumb. This surface is a residual diagnostic, not independent validation of root classification; because it requires re-executing the live data download to render for this revision's exact panel and that download is outside the scope of the code environment used to finalize this draft, we report it qualitatively rather than as a reproduced figure and flag exact re-rendering as a production-stage task rather than an open research question.</w:t>
      </w:r>
    </w:p>
    <w:p w14:paraId="27F76DFF" w14:textId="77777777" w:rsidR="006D5CB4" w:rsidRDefault="00000000">
      <w:pPr>
        <w:pStyle w:val="Heading2"/>
        <w:spacing w:before="260" w:after="140"/>
      </w:pPr>
      <w:r>
        <w:rPr>
          <w:rFonts w:ascii="Calibri" w:eastAsia="Calibri" w:hAnsi="Calibri" w:cs="Calibri"/>
          <w:b/>
          <w:bCs/>
          <w:sz w:val="24"/>
          <w:szCs w:val="24"/>
        </w:rPr>
        <w:t>3.5. Forecast-Error Variance Decomposition and Connectedness</w:t>
      </w:r>
    </w:p>
    <w:p w14:paraId="5A4385F5" w14:textId="77777777" w:rsidR="006D5CB4" w:rsidRDefault="00000000">
      <w:pPr>
        <w:spacing w:after="200"/>
      </w:pPr>
      <w:r>
        <w:rPr>
          <w:rFonts w:ascii="Calibri" w:eastAsia="Calibri" w:hAnsi="Calibri" w:cs="Calibri"/>
          <w:sz w:val="22"/>
          <w:szCs w:val="22"/>
        </w:rPr>
        <w:t xml:space="preserve">To summarize spillovers among the fitted VAR's shocks we use the Diebold–Yilmaz (2014) forecast-error variance decomposition (FEVD). Writing the moving-average representation of the fitted VAR(p) as </w:t>
      </w:r>
      <w:proofErr w:type="spellStart"/>
      <w:r>
        <w:rPr>
          <w:rFonts w:ascii="Calibri" w:eastAsia="Calibri" w:hAnsi="Calibri" w:cs="Calibri"/>
          <w:sz w:val="22"/>
          <w:szCs w:val="22"/>
        </w:rPr>
        <w:t>Yt</w:t>
      </w:r>
      <w:proofErr w:type="spellEnd"/>
      <w:r>
        <w:rPr>
          <w:rFonts w:ascii="Calibri" w:eastAsia="Calibri" w:hAnsi="Calibri" w:cs="Calibri"/>
          <w:sz w:val="22"/>
          <w:szCs w:val="22"/>
        </w:rPr>
        <w:t xml:space="preserve"> = Σk≥0 </w:t>
      </w:r>
      <w:proofErr w:type="spellStart"/>
      <w:r>
        <w:rPr>
          <w:rFonts w:ascii="Calibri" w:eastAsia="Calibri" w:hAnsi="Calibri" w:cs="Calibri"/>
          <w:sz w:val="22"/>
          <w:szCs w:val="22"/>
        </w:rPr>
        <w:t>Φk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εt</w:t>
      </w:r>
      <w:proofErr w:type="spellEnd"/>
      <w:r>
        <w:rPr>
          <w:rFonts w:ascii="Calibri" w:eastAsia="Calibri" w:hAnsi="Calibri" w:cs="Calibri"/>
          <w:sz w:val="22"/>
          <w:szCs w:val="22"/>
        </w:rPr>
        <w:t xml:space="preserve">−k with Φ0 = IN, the h-step-ahead FEVD element </w:t>
      </w:r>
      <w:proofErr w:type="spellStart"/>
      <w:r>
        <w:rPr>
          <w:rFonts w:ascii="Calibri" w:eastAsia="Calibri" w:hAnsi="Calibri" w:cs="Calibri"/>
          <w:sz w:val="22"/>
          <w:szCs w:val="22"/>
        </w:rPr>
        <w:t>θij</w:t>
      </w:r>
      <w:proofErr w:type="spellEnd"/>
      <w:r>
        <w:rPr>
          <w:rFonts w:ascii="Calibri" w:eastAsia="Calibri" w:hAnsi="Calibri" w:cs="Calibri"/>
          <w:sz w:val="22"/>
          <w:szCs w:val="22"/>
        </w:rPr>
        <w:t>(h) measures the share of variable i's h-step forecast-error variance attributable to shocks in variable j. We report two identification schemes side by side: the orthogonalized (Cholesky) FEVD, which imposes a recursive causal ordering on contemporaneous shocks, and the generalized (</w:t>
      </w:r>
      <w:proofErr w:type="spellStart"/>
      <w:r>
        <w:rPr>
          <w:rFonts w:ascii="Calibri" w:eastAsia="Calibri" w:hAnsi="Calibri" w:cs="Calibri"/>
          <w:sz w:val="22"/>
          <w:szCs w:val="22"/>
        </w:rPr>
        <w:t>Pesaran</w:t>
      </w:r>
      <w:proofErr w:type="spellEnd"/>
      <w:r>
        <w:rPr>
          <w:rFonts w:ascii="Calibri" w:eastAsia="Calibri" w:hAnsi="Calibri" w:cs="Calibri"/>
          <w:sz w:val="22"/>
          <w:szCs w:val="22"/>
        </w:rPr>
        <w:t>–Shin) FEVD, which is invariant to variable ordering. The total connectedness index (TCI) at horizon h aggregates off-diagonal FEVD shares, TCI(h) = 100 × (</w:t>
      </w:r>
      <w:proofErr w:type="spellStart"/>
      <w:r>
        <w:rPr>
          <w:rFonts w:ascii="Calibri" w:eastAsia="Calibri" w:hAnsi="Calibri" w:cs="Calibri"/>
          <w:sz w:val="22"/>
          <w:szCs w:val="22"/>
        </w:rPr>
        <w:t>Σi≠j</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θij</w:t>
      </w:r>
      <w:proofErr w:type="spellEnd"/>
      <w:r>
        <w:rPr>
          <w:rFonts w:ascii="Calibri" w:eastAsia="Calibri" w:hAnsi="Calibri" w:cs="Calibri"/>
          <w:sz w:val="22"/>
          <w:szCs w:val="22"/>
        </w:rPr>
        <w:t>(h)) / (</w:t>
      </w:r>
      <w:proofErr w:type="spellStart"/>
      <w:r>
        <w:rPr>
          <w:rFonts w:ascii="Calibri" w:eastAsia="Calibri" w:hAnsi="Calibri" w:cs="Calibri"/>
          <w:sz w:val="22"/>
          <w:szCs w:val="22"/>
        </w:rPr>
        <w:t>Σi,j</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θij</w:t>
      </w:r>
      <w:proofErr w:type="spellEnd"/>
      <w:r>
        <w:rPr>
          <w:rFonts w:ascii="Calibri" w:eastAsia="Calibri" w:hAnsi="Calibri" w:cs="Calibri"/>
          <w:sz w:val="22"/>
          <w:szCs w:val="22"/>
        </w:rPr>
        <w:t>(h)), reported over horizons h = 1, 5, 10, 20 for the OLS-VAR fitted to the full sample.</w:t>
      </w:r>
    </w:p>
    <w:p w14:paraId="6B76FC4A" w14:textId="77777777" w:rsidR="006D5CB4" w:rsidRDefault="00000000">
      <w:pPr>
        <w:pStyle w:val="Heading2"/>
        <w:spacing w:before="260" w:after="140"/>
      </w:pPr>
      <w:r>
        <w:rPr>
          <w:rFonts w:ascii="Calibri" w:eastAsia="Calibri" w:hAnsi="Calibri" w:cs="Calibri"/>
          <w:b/>
          <w:bCs/>
          <w:sz w:val="24"/>
          <w:szCs w:val="24"/>
        </w:rPr>
        <w:t>3.6. Residual Bootstrap for Root-Location Uncertainty</w:t>
      </w:r>
    </w:p>
    <w:p w14:paraId="4EB99F7D" w14:textId="77777777" w:rsidR="006D5CB4" w:rsidRDefault="00000000">
      <w:pPr>
        <w:spacing w:after="200"/>
      </w:pPr>
      <w:r>
        <w:rPr>
          <w:rFonts w:ascii="Calibri" w:eastAsia="Calibri" w:hAnsi="Calibri" w:cs="Calibri"/>
          <w:sz w:val="22"/>
          <w:szCs w:val="22"/>
        </w:rPr>
        <w:t>Point estimates of the companion-matrix eigenvalues give no sense of sampling uncertainty around the causal/noncausal boundary |z| = 1. The methodologically valid procedure we use is a recursive residual bootstrap: center the estimated residuals, resample them jointly across all N series (preserving cross-asset dependence), and generate a bootstrap pseudo-series recursively from the fitted VAR coefficients and the resampled shocks — i.e., simulate forward under the estimated model rather than manipulate the residuals or coefficients directly. The same estimator is then re-fit to each bootstrap pseudo-sample, and the resulting spectral radius and noncausal-root count are recorded across B = 1,000 replications.</w:t>
      </w:r>
    </w:p>
    <w:p w14:paraId="42285AF2" w14:textId="77777777" w:rsidR="006D5CB4" w:rsidRDefault="00000000">
      <w:pPr>
        <w:pStyle w:val="Heading1"/>
        <w:spacing w:before="360" w:after="160"/>
      </w:pPr>
      <w:r>
        <w:rPr>
          <w:rFonts w:ascii="Calibri" w:eastAsia="Calibri" w:hAnsi="Calibri" w:cs="Calibri"/>
          <w:b/>
          <w:bCs/>
          <w:sz w:val="26"/>
          <w:szCs w:val="26"/>
        </w:rPr>
        <w:t>4. Monte Carlo Evidence</w:t>
      </w:r>
    </w:p>
    <w:p w14:paraId="2135DC45" w14:textId="77777777" w:rsidR="006D5CB4" w:rsidRDefault="00000000">
      <w:pPr>
        <w:spacing w:after="200"/>
      </w:pPr>
      <w:r>
        <w:rPr>
          <w:rFonts w:ascii="Calibri" w:eastAsia="Calibri" w:hAnsi="Calibri" w:cs="Calibri"/>
          <w:sz w:val="22"/>
          <w:szCs w:val="22"/>
        </w:rPr>
        <w:t xml:space="preserve">This section reports three exercises: a boundary pilot and a full 500-replication grid, both comparing the purely causal OLS and Lasso benchmarks, and a new root-recovery design that evaluates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itself on a genuinely mixed causal–noncausal process.</w:t>
      </w:r>
    </w:p>
    <w:p w14:paraId="2A4FFB30" w14:textId="77777777" w:rsidR="006D5CB4" w:rsidRDefault="00000000">
      <w:pPr>
        <w:pStyle w:val="Heading2"/>
        <w:spacing w:before="260" w:after="140"/>
      </w:pPr>
      <w:r>
        <w:rPr>
          <w:rFonts w:ascii="Calibri" w:eastAsia="Calibri" w:hAnsi="Calibri" w:cs="Calibri"/>
          <w:b/>
          <w:bCs/>
          <w:sz w:val="24"/>
          <w:szCs w:val="24"/>
        </w:rPr>
        <w:t>4.0. A Note on Simulator Corrections from the Previous Draft</w:t>
      </w:r>
    </w:p>
    <w:p w14:paraId="59643C26" w14:textId="77777777" w:rsidR="006D5CB4" w:rsidRDefault="00000000">
      <w:pPr>
        <w:spacing w:after="200"/>
      </w:pPr>
      <w:r>
        <w:rPr>
          <w:rFonts w:ascii="Calibri" w:eastAsia="Calibri" w:hAnsi="Calibri" w:cs="Calibri"/>
          <w:sz w:val="22"/>
          <w:szCs w:val="22"/>
        </w:rPr>
        <w:t xml:space="preserve">Between the previous draft and this one, the VAR simulator used for the boundary pilot and the full grid was revised to construct sparse, spectral-radius-controlled companion matrices more carefully — via an </w:t>
      </w:r>
      <w:r>
        <w:rPr>
          <w:rFonts w:ascii="Calibri" w:eastAsia="Calibri" w:hAnsi="Calibri" w:cs="Calibri"/>
          <w:sz w:val="22"/>
          <w:szCs w:val="22"/>
        </w:rPr>
        <w:lastRenderedPageBreak/>
        <w:t>eigenvalue-rescaling step rather than direct coefficient perturbation — which removes a source of numerical imprecision in how the target root structure was realized. Under the corrected simulator, two findings from the previous draft do not replicate and are withdrawn rather than carried forward: (</w:t>
      </w:r>
      <w:proofErr w:type="spellStart"/>
      <w:r>
        <w:rPr>
          <w:rFonts w:ascii="Calibri" w:eastAsia="Calibri" w:hAnsi="Calibri" w:cs="Calibri"/>
          <w:sz w:val="22"/>
          <w:szCs w:val="22"/>
        </w:rPr>
        <w:t>i</w:t>
      </w:r>
      <w:proofErr w:type="spellEnd"/>
      <w:r>
        <w:rPr>
          <w:rFonts w:ascii="Calibri" w:eastAsia="Calibri" w:hAnsi="Calibri" w:cs="Calibri"/>
          <w:sz w:val="22"/>
          <w:szCs w:val="22"/>
        </w:rPr>
        <w:t>) the reported 30% near-unit-root false-positive rate for unpenalized OLS (Table 1 of the previous draft) does not appear — both OLS and Lasso classify every replication correctly in both the stable and near-unit-root pilot configurations under the corrected simulator (Section 4.1); and (ii) the reported OLS-versus-Lasso trade-off between exact root-classification accuracy and forecast error (Table 2 of the previous draft) also does not appear — both estimators are at or near ceiling accuracy with zero false positives and false negatives, and their forecast errors are now nearly identical rather than differing by an order of magnitude (Section 4.2). We do not have a full accounting of which specific change in the simulator drives the narrower gap, and we flag reconciling this as a task for the next revision. We report both withdrawals here, in one place, rather than folding them individually into the tables below, so a reader who wants to know exactly what changed and why does not have to reconstruct it from scattered remarks; the replication package accompanying this paper retains both the previous (flawed) and current (corrected) simulator implementations side by side so that this correction can be verified directly rather than taken on our word.</w:t>
      </w:r>
    </w:p>
    <w:p w14:paraId="7564643B" w14:textId="77777777" w:rsidR="006D5CB4" w:rsidRDefault="00000000">
      <w:pPr>
        <w:pStyle w:val="Heading2"/>
        <w:spacing w:before="260" w:after="140"/>
      </w:pPr>
      <w:r>
        <w:rPr>
          <w:rFonts w:ascii="Calibri" w:eastAsia="Calibri" w:hAnsi="Calibri" w:cs="Calibri"/>
          <w:b/>
          <w:bCs/>
          <w:sz w:val="24"/>
          <w:szCs w:val="24"/>
        </w:rPr>
        <w:t>4.1. Boundary Pilot: Sensitivity Near the Unit Root</w:t>
      </w:r>
    </w:p>
    <w:p w14:paraId="276610E3" w14:textId="77777777" w:rsidR="006D5CB4" w:rsidRDefault="00000000">
      <w:pPr>
        <w:spacing w:after="200"/>
      </w:pPr>
      <w:r>
        <w:rPr>
          <w:rFonts w:ascii="Calibri" w:eastAsia="Calibri" w:hAnsi="Calibri" w:cs="Calibri"/>
          <w:sz w:val="22"/>
          <w:szCs w:val="22"/>
        </w:rPr>
        <w:t>We ran a small pilot (10 replications per cell, N = 3, lags = 2, sparsity = 0.25, Student-t(5) innovations) comparing a stable configuration (target spectral radius drawn from [0.55, 0.85]) against a near-unit-root configuration (target spectral radius drawn from [0.93, 0.985]).</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2000"/>
        <w:gridCol w:w="1800"/>
      </w:tblGrid>
      <w:tr w:rsidR="006D5CB4" w14:paraId="04CD49D7" w14:textId="77777777">
        <w:tblPrEx>
          <w:tblCellMar>
            <w:top w:w="0" w:type="dxa"/>
            <w:bottom w:w="0" w:type="dxa"/>
          </w:tblCellMar>
        </w:tblPrEx>
        <w:trPr>
          <w:tblHeader/>
        </w:trPr>
        <w:tc>
          <w:tcPr>
            <w:tcW w:w="2600" w:type="dxa"/>
            <w:shd w:val="clear" w:color="auto" w:fill="D9D9D9"/>
          </w:tcPr>
          <w:p w14:paraId="11A2AC36" w14:textId="77777777" w:rsidR="006D5CB4" w:rsidRDefault="00000000">
            <w:r>
              <w:rPr>
                <w:rFonts w:ascii="Calibri" w:eastAsia="Calibri" w:hAnsi="Calibri" w:cs="Calibri"/>
                <w:b/>
                <w:bCs/>
                <w:sz w:val="19"/>
                <w:szCs w:val="19"/>
              </w:rPr>
              <w:t>Root configuration</w:t>
            </w:r>
          </w:p>
        </w:tc>
        <w:tc>
          <w:tcPr>
            <w:tcW w:w="1600" w:type="dxa"/>
            <w:shd w:val="clear" w:color="auto" w:fill="D9D9D9"/>
          </w:tcPr>
          <w:p w14:paraId="28B53BA1" w14:textId="77777777" w:rsidR="006D5CB4" w:rsidRDefault="00000000">
            <w:r>
              <w:rPr>
                <w:rFonts w:ascii="Calibri" w:eastAsia="Calibri" w:hAnsi="Calibri" w:cs="Calibri"/>
                <w:b/>
                <w:bCs/>
                <w:sz w:val="19"/>
                <w:szCs w:val="19"/>
              </w:rPr>
              <w:t>Estimator</w:t>
            </w:r>
          </w:p>
        </w:tc>
        <w:tc>
          <w:tcPr>
            <w:tcW w:w="1600" w:type="dxa"/>
            <w:shd w:val="clear" w:color="auto" w:fill="D9D9D9"/>
          </w:tcPr>
          <w:p w14:paraId="4BBD692D" w14:textId="77777777" w:rsidR="006D5CB4" w:rsidRDefault="00000000">
            <w:r>
              <w:rPr>
                <w:rFonts w:ascii="Calibri" w:eastAsia="Calibri" w:hAnsi="Calibri" w:cs="Calibri"/>
                <w:b/>
                <w:bCs/>
                <w:sz w:val="19"/>
                <w:szCs w:val="19"/>
              </w:rPr>
              <w:t>Exact accuracy</w:t>
            </w:r>
          </w:p>
        </w:tc>
        <w:tc>
          <w:tcPr>
            <w:tcW w:w="2000" w:type="dxa"/>
            <w:shd w:val="clear" w:color="auto" w:fill="D9D9D9"/>
          </w:tcPr>
          <w:p w14:paraId="3C78CD72" w14:textId="77777777" w:rsidR="006D5CB4" w:rsidRDefault="00000000">
            <w:r>
              <w:rPr>
                <w:rFonts w:ascii="Calibri" w:eastAsia="Calibri" w:hAnsi="Calibri" w:cs="Calibri"/>
                <w:b/>
                <w:bCs/>
                <w:sz w:val="19"/>
                <w:szCs w:val="19"/>
              </w:rPr>
              <w:t>Mean abs. root-count error</w:t>
            </w:r>
          </w:p>
        </w:tc>
        <w:tc>
          <w:tcPr>
            <w:tcW w:w="1800" w:type="dxa"/>
            <w:shd w:val="clear" w:color="auto" w:fill="D9D9D9"/>
          </w:tcPr>
          <w:p w14:paraId="016E700D" w14:textId="77777777" w:rsidR="006D5CB4" w:rsidRDefault="00000000">
            <w:r>
              <w:rPr>
                <w:rFonts w:ascii="Calibri" w:eastAsia="Calibri" w:hAnsi="Calibri" w:cs="Calibri"/>
                <w:b/>
                <w:bCs/>
                <w:sz w:val="19"/>
                <w:szCs w:val="19"/>
              </w:rPr>
              <w:t>False-positive rate</w:t>
            </w:r>
          </w:p>
        </w:tc>
      </w:tr>
      <w:tr w:rsidR="006D5CB4" w14:paraId="525E6260" w14:textId="77777777">
        <w:tblPrEx>
          <w:tblCellMar>
            <w:top w:w="0" w:type="dxa"/>
            <w:bottom w:w="0" w:type="dxa"/>
          </w:tblCellMar>
        </w:tblPrEx>
        <w:tc>
          <w:tcPr>
            <w:tcW w:w="2600" w:type="dxa"/>
          </w:tcPr>
          <w:p w14:paraId="5296698A" w14:textId="77777777" w:rsidR="006D5CB4" w:rsidRDefault="00000000">
            <w:r>
              <w:rPr>
                <w:rFonts w:ascii="Calibri" w:eastAsia="Calibri" w:hAnsi="Calibri" w:cs="Calibri"/>
                <w:sz w:val="19"/>
                <w:szCs w:val="19"/>
              </w:rPr>
              <w:t>Stable</w:t>
            </w:r>
          </w:p>
        </w:tc>
        <w:tc>
          <w:tcPr>
            <w:tcW w:w="1600" w:type="dxa"/>
          </w:tcPr>
          <w:p w14:paraId="6F5BAD74" w14:textId="77777777" w:rsidR="006D5CB4" w:rsidRDefault="00000000">
            <w:r>
              <w:rPr>
                <w:rFonts w:ascii="Calibri" w:eastAsia="Calibri" w:hAnsi="Calibri" w:cs="Calibri"/>
                <w:sz w:val="19"/>
                <w:szCs w:val="19"/>
              </w:rPr>
              <w:t>OLS</w:t>
            </w:r>
          </w:p>
        </w:tc>
        <w:tc>
          <w:tcPr>
            <w:tcW w:w="1600" w:type="dxa"/>
          </w:tcPr>
          <w:p w14:paraId="2B1A1F52" w14:textId="77777777" w:rsidR="006D5CB4" w:rsidRDefault="00000000">
            <w:r>
              <w:rPr>
                <w:rFonts w:ascii="Calibri" w:eastAsia="Calibri" w:hAnsi="Calibri" w:cs="Calibri"/>
                <w:sz w:val="19"/>
                <w:szCs w:val="19"/>
              </w:rPr>
              <w:t>1.00</w:t>
            </w:r>
          </w:p>
        </w:tc>
        <w:tc>
          <w:tcPr>
            <w:tcW w:w="2000" w:type="dxa"/>
          </w:tcPr>
          <w:p w14:paraId="24306116" w14:textId="77777777" w:rsidR="006D5CB4" w:rsidRDefault="00000000">
            <w:r>
              <w:rPr>
                <w:rFonts w:ascii="Calibri" w:eastAsia="Calibri" w:hAnsi="Calibri" w:cs="Calibri"/>
                <w:sz w:val="19"/>
                <w:szCs w:val="19"/>
              </w:rPr>
              <w:t>0.00</w:t>
            </w:r>
          </w:p>
        </w:tc>
        <w:tc>
          <w:tcPr>
            <w:tcW w:w="1800" w:type="dxa"/>
          </w:tcPr>
          <w:p w14:paraId="6F0949BA" w14:textId="77777777" w:rsidR="006D5CB4" w:rsidRDefault="00000000">
            <w:r>
              <w:rPr>
                <w:rFonts w:ascii="Calibri" w:eastAsia="Calibri" w:hAnsi="Calibri" w:cs="Calibri"/>
                <w:sz w:val="19"/>
                <w:szCs w:val="19"/>
              </w:rPr>
              <w:t>0.00</w:t>
            </w:r>
          </w:p>
        </w:tc>
      </w:tr>
      <w:tr w:rsidR="006D5CB4" w14:paraId="5FDE676F" w14:textId="77777777">
        <w:tblPrEx>
          <w:tblCellMar>
            <w:top w:w="0" w:type="dxa"/>
            <w:bottom w:w="0" w:type="dxa"/>
          </w:tblCellMar>
        </w:tblPrEx>
        <w:tc>
          <w:tcPr>
            <w:tcW w:w="2600" w:type="dxa"/>
          </w:tcPr>
          <w:p w14:paraId="09F0D5D2" w14:textId="77777777" w:rsidR="006D5CB4" w:rsidRDefault="00000000">
            <w:r>
              <w:rPr>
                <w:rFonts w:ascii="Calibri" w:eastAsia="Calibri" w:hAnsi="Calibri" w:cs="Calibri"/>
                <w:sz w:val="19"/>
                <w:szCs w:val="19"/>
              </w:rPr>
              <w:t>Stable</w:t>
            </w:r>
          </w:p>
        </w:tc>
        <w:tc>
          <w:tcPr>
            <w:tcW w:w="1600" w:type="dxa"/>
          </w:tcPr>
          <w:p w14:paraId="77477DB3" w14:textId="77777777" w:rsidR="006D5CB4" w:rsidRDefault="00000000">
            <w:r>
              <w:rPr>
                <w:rFonts w:ascii="Calibri" w:eastAsia="Calibri" w:hAnsi="Calibri" w:cs="Calibri"/>
                <w:sz w:val="19"/>
                <w:szCs w:val="19"/>
              </w:rPr>
              <w:t>Lasso</w:t>
            </w:r>
          </w:p>
        </w:tc>
        <w:tc>
          <w:tcPr>
            <w:tcW w:w="1600" w:type="dxa"/>
          </w:tcPr>
          <w:p w14:paraId="0CAE46DF" w14:textId="77777777" w:rsidR="006D5CB4" w:rsidRDefault="00000000">
            <w:r>
              <w:rPr>
                <w:rFonts w:ascii="Calibri" w:eastAsia="Calibri" w:hAnsi="Calibri" w:cs="Calibri"/>
                <w:sz w:val="19"/>
                <w:szCs w:val="19"/>
              </w:rPr>
              <w:t>1.00</w:t>
            </w:r>
          </w:p>
        </w:tc>
        <w:tc>
          <w:tcPr>
            <w:tcW w:w="2000" w:type="dxa"/>
          </w:tcPr>
          <w:p w14:paraId="14E1A2D2" w14:textId="77777777" w:rsidR="006D5CB4" w:rsidRDefault="00000000">
            <w:r>
              <w:rPr>
                <w:rFonts w:ascii="Calibri" w:eastAsia="Calibri" w:hAnsi="Calibri" w:cs="Calibri"/>
                <w:sz w:val="19"/>
                <w:szCs w:val="19"/>
              </w:rPr>
              <w:t>0.00</w:t>
            </w:r>
          </w:p>
        </w:tc>
        <w:tc>
          <w:tcPr>
            <w:tcW w:w="1800" w:type="dxa"/>
          </w:tcPr>
          <w:p w14:paraId="2F30028B" w14:textId="77777777" w:rsidR="006D5CB4" w:rsidRDefault="00000000">
            <w:r>
              <w:rPr>
                <w:rFonts w:ascii="Calibri" w:eastAsia="Calibri" w:hAnsi="Calibri" w:cs="Calibri"/>
                <w:sz w:val="19"/>
                <w:szCs w:val="19"/>
              </w:rPr>
              <w:t>0.00</w:t>
            </w:r>
          </w:p>
        </w:tc>
      </w:tr>
      <w:tr w:rsidR="006D5CB4" w14:paraId="385266FE" w14:textId="77777777">
        <w:tblPrEx>
          <w:tblCellMar>
            <w:top w:w="0" w:type="dxa"/>
            <w:bottom w:w="0" w:type="dxa"/>
          </w:tblCellMar>
        </w:tblPrEx>
        <w:tc>
          <w:tcPr>
            <w:tcW w:w="2600" w:type="dxa"/>
          </w:tcPr>
          <w:p w14:paraId="7232FE77" w14:textId="77777777" w:rsidR="006D5CB4" w:rsidRDefault="00000000">
            <w:r>
              <w:rPr>
                <w:rFonts w:ascii="Calibri" w:eastAsia="Calibri" w:hAnsi="Calibri" w:cs="Calibri"/>
                <w:sz w:val="19"/>
                <w:szCs w:val="19"/>
              </w:rPr>
              <w:t>Near-unit-root</w:t>
            </w:r>
          </w:p>
        </w:tc>
        <w:tc>
          <w:tcPr>
            <w:tcW w:w="1600" w:type="dxa"/>
          </w:tcPr>
          <w:p w14:paraId="2958FFB6" w14:textId="77777777" w:rsidR="006D5CB4" w:rsidRDefault="00000000">
            <w:r>
              <w:rPr>
                <w:rFonts w:ascii="Calibri" w:eastAsia="Calibri" w:hAnsi="Calibri" w:cs="Calibri"/>
                <w:sz w:val="19"/>
                <w:szCs w:val="19"/>
              </w:rPr>
              <w:t>OLS</w:t>
            </w:r>
          </w:p>
        </w:tc>
        <w:tc>
          <w:tcPr>
            <w:tcW w:w="1600" w:type="dxa"/>
          </w:tcPr>
          <w:p w14:paraId="5656B2EC" w14:textId="77777777" w:rsidR="006D5CB4" w:rsidRDefault="00000000">
            <w:r>
              <w:rPr>
                <w:rFonts w:ascii="Calibri" w:eastAsia="Calibri" w:hAnsi="Calibri" w:cs="Calibri"/>
                <w:sz w:val="19"/>
                <w:szCs w:val="19"/>
              </w:rPr>
              <w:t>1.00</w:t>
            </w:r>
          </w:p>
        </w:tc>
        <w:tc>
          <w:tcPr>
            <w:tcW w:w="2000" w:type="dxa"/>
          </w:tcPr>
          <w:p w14:paraId="571ADE5A" w14:textId="77777777" w:rsidR="006D5CB4" w:rsidRDefault="00000000">
            <w:r>
              <w:rPr>
                <w:rFonts w:ascii="Calibri" w:eastAsia="Calibri" w:hAnsi="Calibri" w:cs="Calibri"/>
                <w:sz w:val="19"/>
                <w:szCs w:val="19"/>
              </w:rPr>
              <w:t>0.00</w:t>
            </w:r>
          </w:p>
        </w:tc>
        <w:tc>
          <w:tcPr>
            <w:tcW w:w="1800" w:type="dxa"/>
          </w:tcPr>
          <w:p w14:paraId="3CD0FBA3" w14:textId="77777777" w:rsidR="006D5CB4" w:rsidRDefault="00000000">
            <w:r>
              <w:rPr>
                <w:rFonts w:ascii="Calibri" w:eastAsia="Calibri" w:hAnsi="Calibri" w:cs="Calibri"/>
                <w:sz w:val="19"/>
                <w:szCs w:val="19"/>
              </w:rPr>
              <w:t>0.00</w:t>
            </w:r>
          </w:p>
        </w:tc>
      </w:tr>
      <w:tr w:rsidR="006D5CB4" w14:paraId="05C71092" w14:textId="77777777">
        <w:tblPrEx>
          <w:tblCellMar>
            <w:top w:w="0" w:type="dxa"/>
            <w:bottom w:w="0" w:type="dxa"/>
          </w:tblCellMar>
        </w:tblPrEx>
        <w:tc>
          <w:tcPr>
            <w:tcW w:w="2600" w:type="dxa"/>
          </w:tcPr>
          <w:p w14:paraId="4C4602C0" w14:textId="77777777" w:rsidR="006D5CB4" w:rsidRDefault="00000000">
            <w:r>
              <w:rPr>
                <w:rFonts w:ascii="Calibri" w:eastAsia="Calibri" w:hAnsi="Calibri" w:cs="Calibri"/>
                <w:sz w:val="19"/>
                <w:szCs w:val="19"/>
              </w:rPr>
              <w:t>Near-unit-root</w:t>
            </w:r>
          </w:p>
        </w:tc>
        <w:tc>
          <w:tcPr>
            <w:tcW w:w="1600" w:type="dxa"/>
          </w:tcPr>
          <w:p w14:paraId="34E46FD8" w14:textId="77777777" w:rsidR="006D5CB4" w:rsidRDefault="00000000">
            <w:r>
              <w:rPr>
                <w:rFonts w:ascii="Calibri" w:eastAsia="Calibri" w:hAnsi="Calibri" w:cs="Calibri"/>
                <w:sz w:val="19"/>
                <w:szCs w:val="19"/>
              </w:rPr>
              <w:t>Lasso</w:t>
            </w:r>
          </w:p>
        </w:tc>
        <w:tc>
          <w:tcPr>
            <w:tcW w:w="1600" w:type="dxa"/>
          </w:tcPr>
          <w:p w14:paraId="3AA3811E" w14:textId="77777777" w:rsidR="006D5CB4" w:rsidRDefault="00000000">
            <w:r>
              <w:rPr>
                <w:rFonts w:ascii="Calibri" w:eastAsia="Calibri" w:hAnsi="Calibri" w:cs="Calibri"/>
                <w:sz w:val="19"/>
                <w:szCs w:val="19"/>
              </w:rPr>
              <w:t>1.00</w:t>
            </w:r>
          </w:p>
        </w:tc>
        <w:tc>
          <w:tcPr>
            <w:tcW w:w="2000" w:type="dxa"/>
          </w:tcPr>
          <w:p w14:paraId="2D9D38F6" w14:textId="77777777" w:rsidR="006D5CB4" w:rsidRDefault="00000000">
            <w:r>
              <w:rPr>
                <w:rFonts w:ascii="Calibri" w:eastAsia="Calibri" w:hAnsi="Calibri" w:cs="Calibri"/>
                <w:sz w:val="19"/>
                <w:szCs w:val="19"/>
              </w:rPr>
              <w:t>0.00</w:t>
            </w:r>
          </w:p>
        </w:tc>
        <w:tc>
          <w:tcPr>
            <w:tcW w:w="1800" w:type="dxa"/>
          </w:tcPr>
          <w:p w14:paraId="039EFFC6" w14:textId="77777777" w:rsidR="006D5CB4" w:rsidRDefault="00000000">
            <w:r>
              <w:rPr>
                <w:rFonts w:ascii="Calibri" w:eastAsia="Calibri" w:hAnsi="Calibri" w:cs="Calibri"/>
                <w:sz w:val="19"/>
                <w:szCs w:val="19"/>
              </w:rPr>
              <w:t>0.00</w:t>
            </w:r>
          </w:p>
        </w:tc>
      </w:tr>
    </w:tbl>
    <w:p w14:paraId="40D36903" w14:textId="77777777" w:rsidR="006D5CB4" w:rsidRDefault="00000000">
      <w:pPr>
        <w:spacing w:after="240"/>
      </w:pPr>
      <w:r>
        <w:rPr>
          <w:rFonts w:ascii="Calibri" w:eastAsia="Calibri" w:hAnsi="Calibri" w:cs="Calibri"/>
          <w:i/>
          <w:iCs/>
        </w:rPr>
        <w:t>Table 1. Pilot Monte Carlo (10 replications per cell), N = 3, lags = 2, Student-t(5) innovations, current simulator.</w:t>
      </w:r>
    </w:p>
    <w:p w14:paraId="097065DE" w14:textId="77777777" w:rsidR="006D5CB4" w:rsidRDefault="00000000">
      <w:pPr>
        <w:spacing w:after="200"/>
      </w:pPr>
      <w:r>
        <w:rPr>
          <w:rFonts w:ascii="Calibri" w:eastAsia="Calibri" w:hAnsi="Calibri" w:cs="Calibri"/>
          <w:sz w:val="22"/>
          <w:szCs w:val="22"/>
        </w:rPr>
        <w:t>As noted in Section 4.0, both estimators classify every replication correctly in both configurations under the corrected simulator, which supersedes the previous draft's near-unit-root false-positive finding. We do not read the present table as evidence that OLS is reliable arbitrarily close to the unit-root boundary — 10 replications per cell cannot support that claim in either direction — only that the specific figure reported previously does not hold up. A dedicated, larger-scale near-unit-root study remains useful future work, but it is no longer motivated by a finding we can still stand behind.</w:t>
      </w:r>
    </w:p>
    <w:p w14:paraId="3800BDF4" w14:textId="77777777" w:rsidR="006D5CB4" w:rsidRDefault="00000000">
      <w:pPr>
        <w:pStyle w:val="Heading2"/>
        <w:spacing w:before="260" w:after="140"/>
      </w:pPr>
      <w:r>
        <w:rPr>
          <w:rFonts w:ascii="Calibri" w:eastAsia="Calibri" w:hAnsi="Calibri" w:cs="Calibri"/>
          <w:b/>
          <w:bCs/>
          <w:sz w:val="24"/>
          <w:szCs w:val="24"/>
        </w:rPr>
        <w:t>4.2. Full Grid: Stable-Root Design, 500 Replications</w:t>
      </w:r>
    </w:p>
    <w:p w14:paraId="0F841E59" w14:textId="77777777" w:rsidR="006D5CB4" w:rsidRDefault="00000000">
      <w:pPr>
        <w:spacing w:after="200"/>
      </w:pPr>
      <w:r>
        <w:rPr>
          <w:rFonts w:ascii="Calibri" w:eastAsia="Calibri" w:hAnsi="Calibri" w:cs="Calibri"/>
          <w:sz w:val="22"/>
          <w:szCs w:val="22"/>
        </w:rPr>
        <w:t>The full grid varies the sample size T ∈ {250, 500, 1000}, the innovation distribution (Gaussian versus Student-t(5)), and the estimator (OLS versus Lasso, α = 0.01), holding N = 3, lags = 2, and sparsity = 0.10 fixed, under the stable root configuration, with 500 replications per cell.</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200"/>
        <w:gridCol w:w="1400"/>
        <w:gridCol w:w="1300"/>
        <w:gridCol w:w="1300"/>
        <w:gridCol w:w="1900"/>
        <w:gridCol w:w="1200"/>
      </w:tblGrid>
      <w:tr w:rsidR="006D5CB4" w14:paraId="1A9AF394" w14:textId="77777777">
        <w:tblPrEx>
          <w:tblCellMar>
            <w:top w:w="0" w:type="dxa"/>
            <w:bottom w:w="0" w:type="dxa"/>
          </w:tblCellMar>
        </w:tblPrEx>
        <w:trPr>
          <w:tblHeader/>
        </w:trPr>
        <w:tc>
          <w:tcPr>
            <w:tcW w:w="900" w:type="dxa"/>
            <w:shd w:val="clear" w:color="auto" w:fill="D9D9D9"/>
          </w:tcPr>
          <w:p w14:paraId="5A8CF49A" w14:textId="77777777" w:rsidR="006D5CB4" w:rsidRDefault="00000000">
            <w:r>
              <w:rPr>
                <w:rFonts w:ascii="Calibri" w:eastAsia="Calibri" w:hAnsi="Calibri" w:cs="Calibri"/>
                <w:b/>
                <w:bCs/>
                <w:sz w:val="19"/>
                <w:szCs w:val="19"/>
              </w:rPr>
              <w:t>T</w:t>
            </w:r>
          </w:p>
        </w:tc>
        <w:tc>
          <w:tcPr>
            <w:tcW w:w="1400" w:type="dxa"/>
            <w:shd w:val="clear" w:color="auto" w:fill="D9D9D9"/>
          </w:tcPr>
          <w:p w14:paraId="6C90A198" w14:textId="77777777" w:rsidR="006D5CB4" w:rsidRDefault="00000000">
            <w:r>
              <w:rPr>
                <w:rFonts w:ascii="Calibri" w:eastAsia="Calibri" w:hAnsi="Calibri" w:cs="Calibri"/>
                <w:b/>
                <w:bCs/>
                <w:sz w:val="19"/>
                <w:szCs w:val="19"/>
              </w:rPr>
              <w:t>Innovation</w:t>
            </w:r>
          </w:p>
        </w:tc>
        <w:tc>
          <w:tcPr>
            <w:tcW w:w="1200" w:type="dxa"/>
            <w:shd w:val="clear" w:color="auto" w:fill="D9D9D9"/>
          </w:tcPr>
          <w:p w14:paraId="03942268" w14:textId="77777777" w:rsidR="006D5CB4" w:rsidRDefault="00000000">
            <w:r>
              <w:rPr>
                <w:rFonts w:ascii="Calibri" w:eastAsia="Calibri" w:hAnsi="Calibri" w:cs="Calibri"/>
                <w:b/>
                <w:bCs/>
                <w:sz w:val="19"/>
                <w:szCs w:val="19"/>
              </w:rPr>
              <w:t>Estimator</w:t>
            </w:r>
          </w:p>
        </w:tc>
        <w:tc>
          <w:tcPr>
            <w:tcW w:w="1400" w:type="dxa"/>
            <w:shd w:val="clear" w:color="auto" w:fill="D9D9D9"/>
          </w:tcPr>
          <w:p w14:paraId="64F8AFB1" w14:textId="77777777" w:rsidR="006D5CB4" w:rsidRDefault="00000000">
            <w:r>
              <w:rPr>
                <w:rFonts w:ascii="Calibri" w:eastAsia="Calibri" w:hAnsi="Calibri" w:cs="Calibri"/>
                <w:b/>
                <w:bCs/>
                <w:sz w:val="19"/>
                <w:szCs w:val="19"/>
              </w:rPr>
              <w:t>Exact accuracy</w:t>
            </w:r>
          </w:p>
        </w:tc>
        <w:tc>
          <w:tcPr>
            <w:tcW w:w="1300" w:type="dxa"/>
            <w:shd w:val="clear" w:color="auto" w:fill="D9D9D9"/>
          </w:tcPr>
          <w:p w14:paraId="3379172E" w14:textId="77777777" w:rsidR="006D5CB4" w:rsidRDefault="00000000">
            <w:r>
              <w:rPr>
                <w:rFonts w:ascii="Calibri" w:eastAsia="Calibri" w:hAnsi="Calibri" w:cs="Calibri"/>
                <w:b/>
                <w:bCs/>
                <w:sz w:val="19"/>
                <w:szCs w:val="19"/>
              </w:rPr>
              <w:t>False-pos. rate</w:t>
            </w:r>
          </w:p>
        </w:tc>
        <w:tc>
          <w:tcPr>
            <w:tcW w:w="1300" w:type="dxa"/>
            <w:shd w:val="clear" w:color="auto" w:fill="D9D9D9"/>
          </w:tcPr>
          <w:p w14:paraId="477B1F8B" w14:textId="77777777" w:rsidR="006D5CB4" w:rsidRDefault="00000000">
            <w:r>
              <w:rPr>
                <w:rFonts w:ascii="Calibri" w:eastAsia="Calibri" w:hAnsi="Calibri" w:cs="Calibri"/>
                <w:b/>
                <w:bCs/>
                <w:sz w:val="19"/>
                <w:szCs w:val="19"/>
              </w:rPr>
              <w:t>False-neg. rate</w:t>
            </w:r>
          </w:p>
        </w:tc>
        <w:tc>
          <w:tcPr>
            <w:tcW w:w="1900" w:type="dxa"/>
            <w:shd w:val="clear" w:color="auto" w:fill="D9D9D9"/>
          </w:tcPr>
          <w:p w14:paraId="5975FD8C" w14:textId="77777777" w:rsidR="006D5CB4" w:rsidRDefault="00000000">
            <w:r>
              <w:rPr>
                <w:rFonts w:ascii="Calibri" w:eastAsia="Calibri" w:hAnsi="Calibri" w:cs="Calibri"/>
                <w:b/>
                <w:bCs/>
                <w:sz w:val="19"/>
                <w:szCs w:val="19"/>
              </w:rPr>
              <w:t>Mean |spectral-radius error|</w:t>
            </w:r>
          </w:p>
        </w:tc>
        <w:tc>
          <w:tcPr>
            <w:tcW w:w="1200" w:type="dxa"/>
            <w:shd w:val="clear" w:color="auto" w:fill="D9D9D9"/>
          </w:tcPr>
          <w:p w14:paraId="1E8CCCD6" w14:textId="77777777" w:rsidR="006D5CB4" w:rsidRDefault="00000000">
            <w:r>
              <w:rPr>
                <w:rFonts w:ascii="Calibri" w:eastAsia="Calibri" w:hAnsi="Calibri" w:cs="Calibri"/>
                <w:b/>
                <w:bCs/>
                <w:sz w:val="19"/>
                <w:szCs w:val="19"/>
              </w:rPr>
              <w:t>Mean MSFE</w:t>
            </w:r>
          </w:p>
        </w:tc>
      </w:tr>
      <w:tr w:rsidR="006D5CB4" w14:paraId="023A3D80" w14:textId="77777777">
        <w:tblPrEx>
          <w:tblCellMar>
            <w:top w:w="0" w:type="dxa"/>
            <w:bottom w:w="0" w:type="dxa"/>
          </w:tblCellMar>
        </w:tblPrEx>
        <w:tc>
          <w:tcPr>
            <w:tcW w:w="900" w:type="dxa"/>
          </w:tcPr>
          <w:p w14:paraId="457F3355" w14:textId="77777777" w:rsidR="006D5CB4" w:rsidRDefault="00000000">
            <w:r>
              <w:rPr>
                <w:rFonts w:ascii="Calibri" w:eastAsia="Calibri" w:hAnsi="Calibri" w:cs="Calibri"/>
                <w:sz w:val="19"/>
                <w:szCs w:val="19"/>
              </w:rPr>
              <w:t>250</w:t>
            </w:r>
          </w:p>
        </w:tc>
        <w:tc>
          <w:tcPr>
            <w:tcW w:w="1400" w:type="dxa"/>
          </w:tcPr>
          <w:p w14:paraId="3BE1110E" w14:textId="77777777" w:rsidR="006D5CB4" w:rsidRDefault="00000000">
            <w:r>
              <w:rPr>
                <w:rFonts w:ascii="Calibri" w:eastAsia="Calibri" w:hAnsi="Calibri" w:cs="Calibri"/>
                <w:sz w:val="19"/>
                <w:szCs w:val="19"/>
              </w:rPr>
              <w:t>Gaussian</w:t>
            </w:r>
          </w:p>
        </w:tc>
        <w:tc>
          <w:tcPr>
            <w:tcW w:w="1200" w:type="dxa"/>
          </w:tcPr>
          <w:p w14:paraId="4458235F" w14:textId="77777777" w:rsidR="006D5CB4" w:rsidRDefault="00000000">
            <w:r>
              <w:rPr>
                <w:rFonts w:ascii="Calibri" w:eastAsia="Calibri" w:hAnsi="Calibri" w:cs="Calibri"/>
                <w:sz w:val="19"/>
                <w:szCs w:val="19"/>
              </w:rPr>
              <w:t>OLS</w:t>
            </w:r>
          </w:p>
        </w:tc>
        <w:tc>
          <w:tcPr>
            <w:tcW w:w="1400" w:type="dxa"/>
          </w:tcPr>
          <w:p w14:paraId="0451D2D3" w14:textId="77777777" w:rsidR="006D5CB4" w:rsidRDefault="00000000">
            <w:r>
              <w:rPr>
                <w:rFonts w:ascii="Calibri" w:eastAsia="Calibri" w:hAnsi="Calibri" w:cs="Calibri"/>
                <w:sz w:val="19"/>
                <w:szCs w:val="19"/>
              </w:rPr>
              <w:t>1.000</w:t>
            </w:r>
          </w:p>
        </w:tc>
        <w:tc>
          <w:tcPr>
            <w:tcW w:w="1300" w:type="dxa"/>
          </w:tcPr>
          <w:p w14:paraId="52119DED" w14:textId="77777777" w:rsidR="006D5CB4" w:rsidRDefault="00000000">
            <w:r>
              <w:rPr>
                <w:rFonts w:ascii="Calibri" w:eastAsia="Calibri" w:hAnsi="Calibri" w:cs="Calibri"/>
                <w:sz w:val="19"/>
                <w:szCs w:val="19"/>
              </w:rPr>
              <w:t>0.000</w:t>
            </w:r>
          </w:p>
        </w:tc>
        <w:tc>
          <w:tcPr>
            <w:tcW w:w="1300" w:type="dxa"/>
          </w:tcPr>
          <w:p w14:paraId="08E46C8F" w14:textId="77777777" w:rsidR="006D5CB4" w:rsidRDefault="00000000">
            <w:r>
              <w:rPr>
                <w:rFonts w:ascii="Calibri" w:eastAsia="Calibri" w:hAnsi="Calibri" w:cs="Calibri"/>
                <w:sz w:val="19"/>
                <w:szCs w:val="19"/>
              </w:rPr>
              <w:t>0.000</w:t>
            </w:r>
          </w:p>
        </w:tc>
        <w:tc>
          <w:tcPr>
            <w:tcW w:w="1900" w:type="dxa"/>
          </w:tcPr>
          <w:p w14:paraId="3E256D29" w14:textId="77777777" w:rsidR="006D5CB4" w:rsidRDefault="00000000">
            <w:r>
              <w:rPr>
                <w:rFonts w:ascii="Calibri" w:eastAsia="Calibri" w:hAnsi="Calibri" w:cs="Calibri"/>
                <w:sz w:val="19"/>
                <w:szCs w:val="19"/>
              </w:rPr>
              <w:t>0.0555</w:t>
            </w:r>
          </w:p>
        </w:tc>
        <w:tc>
          <w:tcPr>
            <w:tcW w:w="1200" w:type="dxa"/>
          </w:tcPr>
          <w:p w14:paraId="3CD9951D" w14:textId="77777777" w:rsidR="006D5CB4" w:rsidRDefault="00000000">
            <w:r>
              <w:rPr>
                <w:rFonts w:ascii="Calibri" w:eastAsia="Calibri" w:hAnsi="Calibri" w:cs="Calibri"/>
                <w:sz w:val="19"/>
                <w:szCs w:val="19"/>
              </w:rPr>
              <w:t>0.972</w:t>
            </w:r>
          </w:p>
        </w:tc>
      </w:tr>
      <w:tr w:rsidR="006D5CB4" w14:paraId="53AC8C80" w14:textId="77777777">
        <w:tblPrEx>
          <w:tblCellMar>
            <w:top w:w="0" w:type="dxa"/>
            <w:bottom w:w="0" w:type="dxa"/>
          </w:tblCellMar>
        </w:tblPrEx>
        <w:tc>
          <w:tcPr>
            <w:tcW w:w="900" w:type="dxa"/>
          </w:tcPr>
          <w:p w14:paraId="0F560150" w14:textId="77777777" w:rsidR="006D5CB4" w:rsidRDefault="00000000">
            <w:r>
              <w:rPr>
                <w:rFonts w:ascii="Calibri" w:eastAsia="Calibri" w:hAnsi="Calibri" w:cs="Calibri"/>
                <w:sz w:val="19"/>
                <w:szCs w:val="19"/>
              </w:rPr>
              <w:t>250</w:t>
            </w:r>
          </w:p>
        </w:tc>
        <w:tc>
          <w:tcPr>
            <w:tcW w:w="1400" w:type="dxa"/>
          </w:tcPr>
          <w:p w14:paraId="717D1B2D" w14:textId="77777777" w:rsidR="006D5CB4" w:rsidRDefault="00000000">
            <w:r>
              <w:rPr>
                <w:rFonts w:ascii="Calibri" w:eastAsia="Calibri" w:hAnsi="Calibri" w:cs="Calibri"/>
                <w:sz w:val="19"/>
                <w:szCs w:val="19"/>
              </w:rPr>
              <w:t>Gaussian</w:t>
            </w:r>
          </w:p>
        </w:tc>
        <w:tc>
          <w:tcPr>
            <w:tcW w:w="1200" w:type="dxa"/>
          </w:tcPr>
          <w:p w14:paraId="67887845" w14:textId="77777777" w:rsidR="006D5CB4" w:rsidRDefault="00000000">
            <w:r>
              <w:rPr>
                <w:rFonts w:ascii="Calibri" w:eastAsia="Calibri" w:hAnsi="Calibri" w:cs="Calibri"/>
                <w:sz w:val="19"/>
                <w:szCs w:val="19"/>
              </w:rPr>
              <w:t>Lasso</w:t>
            </w:r>
          </w:p>
        </w:tc>
        <w:tc>
          <w:tcPr>
            <w:tcW w:w="1400" w:type="dxa"/>
          </w:tcPr>
          <w:p w14:paraId="797AD0B2" w14:textId="77777777" w:rsidR="006D5CB4" w:rsidRDefault="00000000">
            <w:r>
              <w:rPr>
                <w:rFonts w:ascii="Calibri" w:eastAsia="Calibri" w:hAnsi="Calibri" w:cs="Calibri"/>
                <w:sz w:val="19"/>
                <w:szCs w:val="19"/>
              </w:rPr>
              <w:t>1.000</w:t>
            </w:r>
          </w:p>
        </w:tc>
        <w:tc>
          <w:tcPr>
            <w:tcW w:w="1300" w:type="dxa"/>
          </w:tcPr>
          <w:p w14:paraId="77A53080" w14:textId="77777777" w:rsidR="006D5CB4" w:rsidRDefault="00000000">
            <w:r>
              <w:rPr>
                <w:rFonts w:ascii="Calibri" w:eastAsia="Calibri" w:hAnsi="Calibri" w:cs="Calibri"/>
                <w:sz w:val="19"/>
                <w:szCs w:val="19"/>
              </w:rPr>
              <w:t>0.000</w:t>
            </w:r>
          </w:p>
        </w:tc>
        <w:tc>
          <w:tcPr>
            <w:tcW w:w="1300" w:type="dxa"/>
          </w:tcPr>
          <w:p w14:paraId="174297D0" w14:textId="77777777" w:rsidR="006D5CB4" w:rsidRDefault="00000000">
            <w:r>
              <w:rPr>
                <w:rFonts w:ascii="Calibri" w:eastAsia="Calibri" w:hAnsi="Calibri" w:cs="Calibri"/>
                <w:sz w:val="19"/>
                <w:szCs w:val="19"/>
              </w:rPr>
              <w:t>0.000</w:t>
            </w:r>
          </w:p>
        </w:tc>
        <w:tc>
          <w:tcPr>
            <w:tcW w:w="1900" w:type="dxa"/>
          </w:tcPr>
          <w:p w14:paraId="70C6BD08" w14:textId="77777777" w:rsidR="006D5CB4" w:rsidRDefault="00000000">
            <w:r>
              <w:rPr>
                <w:rFonts w:ascii="Calibri" w:eastAsia="Calibri" w:hAnsi="Calibri" w:cs="Calibri"/>
                <w:sz w:val="19"/>
                <w:szCs w:val="19"/>
              </w:rPr>
              <w:t>0.0532</w:t>
            </w:r>
          </w:p>
        </w:tc>
        <w:tc>
          <w:tcPr>
            <w:tcW w:w="1200" w:type="dxa"/>
          </w:tcPr>
          <w:p w14:paraId="134EDE22" w14:textId="77777777" w:rsidR="006D5CB4" w:rsidRDefault="00000000">
            <w:r>
              <w:rPr>
                <w:rFonts w:ascii="Calibri" w:eastAsia="Calibri" w:hAnsi="Calibri" w:cs="Calibri"/>
                <w:sz w:val="19"/>
                <w:szCs w:val="19"/>
              </w:rPr>
              <w:t>0.972</w:t>
            </w:r>
          </w:p>
        </w:tc>
      </w:tr>
      <w:tr w:rsidR="006D5CB4" w14:paraId="41AC2270" w14:textId="77777777">
        <w:tblPrEx>
          <w:tblCellMar>
            <w:top w:w="0" w:type="dxa"/>
            <w:bottom w:w="0" w:type="dxa"/>
          </w:tblCellMar>
        </w:tblPrEx>
        <w:tc>
          <w:tcPr>
            <w:tcW w:w="900" w:type="dxa"/>
          </w:tcPr>
          <w:p w14:paraId="1D96F5A6" w14:textId="77777777" w:rsidR="006D5CB4" w:rsidRDefault="00000000">
            <w:r>
              <w:rPr>
                <w:rFonts w:ascii="Calibri" w:eastAsia="Calibri" w:hAnsi="Calibri" w:cs="Calibri"/>
                <w:sz w:val="19"/>
                <w:szCs w:val="19"/>
              </w:rPr>
              <w:t>250</w:t>
            </w:r>
          </w:p>
        </w:tc>
        <w:tc>
          <w:tcPr>
            <w:tcW w:w="1400" w:type="dxa"/>
          </w:tcPr>
          <w:p w14:paraId="435AB167" w14:textId="77777777" w:rsidR="006D5CB4" w:rsidRDefault="00000000">
            <w:r>
              <w:rPr>
                <w:rFonts w:ascii="Calibri" w:eastAsia="Calibri" w:hAnsi="Calibri" w:cs="Calibri"/>
                <w:sz w:val="19"/>
                <w:szCs w:val="19"/>
              </w:rPr>
              <w:t>Student-t</w:t>
            </w:r>
          </w:p>
        </w:tc>
        <w:tc>
          <w:tcPr>
            <w:tcW w:w="1200" w:type="dxa"/>
          </w:tcPr>
          <w:p w14:paraId="09549CEE" w14:textId="77777777" w:rsidR="006D5CB4" w:rsidRDefault="00000000">
            <w:r>
              <w:rPr>
                <w:rFonts w:ascii="Calibri" w:eastAsia="Calibri" w:hAnsi="Calibri" w:cs="Calibri"/>
                <w:sz w:val="19"/>
                <w:szCs w:val="19"/>
              </w:rPr>
              <w:t>OLS</w:t>
            </w:r>
          </w:p>
        </w:tc>
        <w:tc>
          <w:tcPr>
            <w:tcW w:w="1400" w:type="dxa"/>
          </w:tcPr>
          <w:p w14:paraId="0E150824" w14:textId="77777777" w:rsidR="006D5CB4" w:rsidRDefault="00000000">
            <w:r>
              <w:rPr>
                <w:rFonts w:ascii="Calibri" w:eastAsia="Calibri" w:hAnsi="Calibri" w:cs="Calibri"/>
                <w:sz w:val="19"/>
                <w:szCs w:val="19"/>
              </w:rPr>
              <w:t>1.000</w:t>
            </w:r>
          </w:p>
        </w:tc>
        <w:tc>
          <w:tcPr>
            <w:tcW w:w="1300" w:type="dxa"/>
          </w:tcPr>
          <w:p w14:paraId="57E610F6" w14:textId="77777777" w:rsidR="006D5CB4" w:rsidRDefault="00000000">
            <w:r>
              <w:rPr>
                <w:rFonts w:ascii="Calibri" w:eastAsia="Calibri" w:hAnsi="Calibri" w:cs="Calibri"/>
                <w:sz w:val="19"/>
                <w:szCs w:val="19"/>
              </w:rPr>
              <w:t>0.000</w:t>
            </w:r>
          </w:p>
        </w:tc>
        <w:tc>
          <w:tcPr>
            <w:tcW w:w="1300" w:type="dxa"/>
          </w:tcPr>
          <w:p w14:paraId="30259CF0" w14:textId="77777777" w:rsidR="006D5CB4" w:rsidRDefault="00000000">
            <w:r>
              <w:rPr>
                <w:rFonts w:ascii="Calibri" w:eastAsia="Calibri" w:hAnsi="Calibri" w:cs="Calibri"/>
                <w:sz w:val="19"/>
                <w:szCs w:val="19"/>
              </w:rPr>
              <w:t>0.000</w:t>
            </w:r>
          </w:p>
        </w:tc>
        <w:tc>
          <w:tcPr>
            <w:tcW w:w="1900" w:type="dxa"/>
          </w:tcPr>
          <w:p w14:paraId="2E02686C" w14:textId="77777777" w:rsidR="006D5CB4" w:rsidRDefault="00000000">
            <w:r>
              <w:rPr>
                <w:rFonts w:ascii="Calibri" w:eastAsia="Calibri" w:hAnsi="Calibri" w:cs="Calibri"/>
                <w:sz w:val="19"/>
                <w:szCs w:val="19"/>
              </w:rPr>
              <w:t>0.0547</w:t>
            </w:r>
          </w:p>
        </w:tc>
        <w:tc>
          <w:tcPr>
            <w:tcW w:w="1200" w:type="dxa"/>
          </w:tcPr>
          <w:p w14:paraId="2D6CCAC8" w14:textId="77777777" w:rsidR="006D5CB4" w:rsidRDefault="00000000">
            <w:r>
              <w:rPr>
                <w:rFonts w:ascii="Calibri" w:eastAsia="Calibri" w:hAnsi="Calibri" w:cs="Calibri"/>
                <w:sz w:val="19"/>
                <w:szCs w:val="19"/>
              </w:rPr>
              <w:t>1.628</w:t>
            </w:r>
          </w:p>
        </w:tc>
      </w:tr>
      <w:tr w:rsidR="006D5CB4" w14:paraId="0C3E2963" w14:textId="77777777">
        <w:tblPrEx>
          <w:tblCellMar>
            <w:top w:w="0" w:type="dxa"/>
            <w:bottom w:w="0" w:type="dxa"/>
          </w:tblCellMar>
        </w:tblPrEx>
        <w:tc>
          <w:tcPr>
            <w:tcW w:w="900" w:type="dxa"/>
          </w:tcPr>
          <w:p w14:paraId="03B1FCFB" w14:textId="77777777" w:rsidR="006D5CB4" w:rsidRDefault="00000000">
            <w:r>
              <w:rPr>
                <w:rFonts w:ascii="Calibri" w:eastAsia="Calibri" w:hAnsi="Calibri" w:cs="Calibri"/>
                <w:sz w:val="19"/>
                <w:szCs w:val="19"/>
              </w:rPr>
              <w:t>250</w:t>
            </w:r>
          </w:p>
        </w:tc>
        <w:tc>
          <w:tcPr>
            <w:tcW w:w="1400" w:type="dxa"/>
          </w:tcPr>
          <w:p w14:paraId="5E42D7F0" w14:textId="77777777" w:rsidR="006D5CB4" w:rsidRDefault="00000000">
            <w:r>
              <w:rPr>
                <w:rFonts w:ascii="Calibri" w:eastAsia="Calibri" w:hAnsi="Calibri" w:cs="Calibri"/>
                <w:sz w:val="19"/>
                <w:szCs w:val="19"/>
              </w:rPr>
              <w:t>Student-t</w:t>
            </w:r>
          </w:p>
        </w:tc>
        <w:tc>
          <w:tcPr>
            <w:tcW w:w="1200" w:type="dxa"/>
          </w:tcPr>
          <w:p w14:paraId="4562F937" w14:textId="77777777" w:rsidR="006D5CB4" w:rsidRDefault="00000000">
            <w:r>
              <w:rPr>
                <w:rFonts w:ascii="Calibri" w:eastAsia="Calibri" w:hAnsi="Calibri" w:cs="Calibri"/>
                <w:sz w:val="19"/>
                <w:szCs w:val="19"/>
              </w:rPr>
              <w:t>Lasso</w:t>
            </w:r>
          </w:p>
        </w:tc>
        <w:tc>
          <w:tcPr>
            <w:tcW w:w="1400" w:type="dxa"/>
          </w:tcPr>
          <w:p w14:paraId="00FF8375" w14:textId="77777777" w:rsidR="006D5CB4" w:rsidRDefault="00000000">
            <w:r>
              <w:rPr>
                <w:rFonts w:ascii="Calibri" w:eastAsia="Calibri" w:hAnsi="Calibri" w:cs="Calibri"/>
                <w:sz w:val="19"/>
                <w:szCs w:val="19"/>
              </w:rPr>
              <w:t>1.000</w:t>
            </w:r>
          </w:p>
        </w:tc>
        <w:tc>
          <w:tcPr>
            <w:tcW w:w="1300" w:type="dxa"/>
          </w:tcPr>
          <w:p w14:paraId="6562D620" w14:textId="77777777" w:rsidR="006D5CB4" w:rsidRDefault="00000000">
            <w:r>
              <w:rPr>
                <w:rFonts w:ascii="Calibri" w:eastAsia="Calibri" w:hAnsi="Calibri" w:cs="Calibri"/>
                <w:sz w:val="19"/>
                <w:szCs w:val="19"/>
              </w:rPr>
              <w:t>0.000</w:t>
            </w:r>
          </w:p>
        </w:tc>
        <w:tc>
          <w:tcPr>
            <w:tcW w:w="1300" w:type="dxa"/>
          </w:tcPr>
          <w:p w14:paraId="1BBD736D" w14:textId="77777777" w:rsidR="006D5CB4" w:rsidRDefault="00000000">
            <w:r>
              <w:rPr>
                <w:rFonts w:ascii="Calibri" w:eastAsia="Calibri" w:hAnsi="Calibri" w:cs="Calibri"/>
                <w:sz w:val="19"/>
                <w:szCs w:val="19"/>
              </w:rPr>
              <w:t>0.000</w:t>
            </w:r>
          </w:p>
        </w:tc>
        <w:tc>
          <w:tcPr>
            <w:tcW w:w="1900" w:type="dxa"/>
          </w:tcPr>
          <w:p w14:paraId="4E01EDD2" w14:textId="77777777" w:rsidR="006D5CB4" w:rsidRDefault="00000000">
            <w:r>
              <w:rPr>
                <w:rFonts w:ascii="Calibri" w:eastAsia="Calibri" w:hAnsi="Calibri" w:cs="Calibri"/>
                <w:sz w:val="19"/>
                <w:szCs w:val="19"/>
              </w:rPr>
              <w:t>0.0533</w:t>
            </w:r>
          </w:p>
        </w:tc>
        <w:tc>
          <w:tcPr>
            <w:tcW w:w="1200" w:type="dxa"/>
          </w:tcPr>
          <w:p w14:paraId="3B0D673C" w14:textId="77777777" w:rsidR="006D5CB4" w:rsidRDefault="00000000">
            <w:r>
              <w:rPr>
                <w:rFonts w:ascii="Calibri" w:eastAsia="Calibri" w:hAnsi="Calibri" w:cs="Calibri"/>
                <w:sz w:val="19"/>
                <w:szCs w:val="19"/>
              </w:rPr>
              <w:t>1.628</w:t>
            </w:r>
          </w:p>
        </w:tc>
      </w:tr>
      <w:tr w:rsidR="006D5CB4" w14:paraId="1B4308AA" w14:textId="77777777">
        <w:tblPrEx>
          <w:tblCellMar>
            <w:top w:w="0" w:type="dxa"/>
            <w:bottom w:w="0" w:type="dxa"/>
          </w:tblCellMar>
        </w:tblPrEx>
        <w:tc>
          <w:tcPr>
            <w:tcW w:w="900" w:type="dxa"/>
          </w:tcPr>
          <w:p w14:paraId="47C68478" w14:textId="77777777" w:rsidR="006D5CB4" w:rsidRDefault="00000000">
            <w:r>
              <w:rPr>
                <w:rFonts w:ascii="Calibri" w:eastAsia="Calibri" w:hAnsi="Calibri" w:cs="Calibri"/>
                <w:sz w:val="19"/>
                <w:szCs w:val="19"/>
              </w:rPr>
              <w:t>500</w:t>
            </w:r>
          </w:p>
        </w:tc>
        <w:tc>
          <w:tcPr>
            <w:tcW w:w="1400" w:type="dxa"/>
          </w:tcPr>
          <w:p w14:paraId="25D4D0B4" w14:textId="77777777" w:rsidR="006D5CB4" w:rsidRDefault="00000000">
            <w:r>
              <w:rPr>
                <w:rFonts w:ascii="Calibri" w:eastAsia="Calibri" w:hAnsi="Calibri" w:cs="Calibri"/>
                <w:sz w:val="19"/>
                <w:szCs w:val="19"/>
              </w:rPr>
              <w:t>Gaussian</w:t>
            </w:r>
          </w:p>
        </w:tc>
        <w:tc>
          <w:tcPr>
            <w:tcW w:w="1200" w:type="dxa"/>
          </w:tcPr>
          <w:p w14:paraId="70574C73" w14:textId="77777777" w:rsidR="006D5CB4" w:rsidRDefault="00000000">
            <w:r>
              <w:rPr>
                <w:rFonts w:ascii="Calibri" w:eastAsia="Calibri" w:hAnsi="Calibri" w:cs="Calibri"/>
                <w:sz w:val="19"/>
                <w:szCs w:val="19"/>
              </w:rPr>
              <w:t>OLS</w:t>
            </w:r>
          </w:p>
        </w:tc>
        <w:tc>
          <w:tcPr>
            <w:tcW w:w="1400" w:type="dxa"/>
          </w:tcPr>
          <w:p w14:paraId="601CC76B" w14:textId="77777777" w:rsidR="006D5CB4" w:rsidRDefault="00000000">
            <w:r>
              <w:rPr>
                <w:rFonts w:ascii="Calibri" w:eastAsia="Calibri" w:hAnsi="Calibri" w:cs="Calibri"/>
                <w:sz w:val="19"/>
                <w:szCs w:val="19"/>
              </w:rPr>
              <w:t>1.000</w:t>
            </w:r>
          </w:p>
        </w:tc>
        <w:tc>
          <w:tcPr>
            <w:tcW w:w="1300" w:type="dxa"/>
          </w:tcPr>
          <w:p w14:paraId="4B1B4696" w14:textId="77777777" w:rsidR="006D5CB4" w:rsidRDefault="00000000">
            <w:r>
              <w:rPr>
                <w:rFonts w:ascii="Calibri" w:eastAsia="Calibri" w:hAnsi="Calibri" w:cs="Calibri"/>
                <w:sz w:val="19"/>
                <w:szCs w:val="19"/>
              </w:rPr>
              <w:t>0.000</w:t>
            </w:r>
          </w:p>
        </w:tc>
        <w:tc>
          <w:tcPr>
            <w:tcW w:w="1300" w:type="dxa"/>
          </w:tcPr>
          <w:p w14:paraId="706FC5DA" w14:textId="77777777" w:rsidR="006D5CB4" w:rsidRDefault="00000000">
            <w:r>
              <w:rPr>
                <w:rFonts w:ascii="Calibri" w:eastAsia="Calibri" w:hAnsi="Calibri" w:cs="Calibri"/>
                <w:sz w:val="19"/>
                <w:szCs w:val="19"/>
              </w:rPr>
              <w:t>0.000</w:t>
            </w:r>
          </w:p>
        </w:tc>
        <w:tc>
          <w:tcPr>
            <w:tcW w:w="1900" w:type="dxa"/>
          </w:tcPr>
          <w:p w14:paraId="0B06227A" w14:textId="77777777" w:rsidR="006D5CB4" w:rsidRDefault="00000000">
            <w:r>
              <w:rPr>
                <w:rFonts w:ascii="Calibri" w:eastAsia="Calibri" w:hAnsi="Calibri" w:cs="Calibri"/>
                <w:sz w:val="19"/>
                <w:szCs w:val="19"/>
              </w:rPr>
              <w:t>0.0385</w:t>
            </w:r>
          </w:p>
        </w:tc>
        <w:tc>
          <w:tcPr>
            <w:tcW w:w="1200" w:type="dxa"/>
          </w:tcPr>
          <w:p w14:paraId="0565538D" w14:textId="77777777" w:rsidR="006D5CB4" w:rsidRDefault="00000000">
            <w:r>
              <w:rPr>
                <w:rFonts w:ascii="Calibri" w:eastAsia="Calibri" w:hAnsi="Calibri" w:cs="Calibri"/>
                <w:sz w:val="19"/>
                <w:szCs w:val="19"/>
              </w:rPr>
              <w:t>0.989</w:t>
            </w:r>
          </w:p>
        </w:tc>
      </w:tr>
      <w:tr w:rsidR="006D5CB4" w14:paraId="5F8AB87B" w14:textId="77777777">
        <w:tblPrEx>
          <w:tblCellMar>
            <w:top w:w="0" w:type="dxa"/>
            <w:bottom w:w="0" w:type="dxa"/>
          </w:tblCellMar>
        </w:tblPrEx>
        <w:tc>
          <w:tcPr>
            <w:tcW w:w="900" w:type="dxa"/>
          </w:tcPr>
          <w:p w14:paraId="75B01D53" w14:textId="77777777" w:rsidR="006D5CB4" w:rsidRDefault="00000000">
            <w:r>
              <w:rPr>
                <w:rFonts w:ascii="Calibri" w:eastAsia="Calibri" w:hAnsi="Calibri" w:cs="Calibri"/>
                <w:sz w:val="19"/>
                <w:szCs w:val="19"/>
              </w:rPr>
              <w:lastRenderedPageBreak/>
              <w:t>500</w:t>
            </w:r>
          </w:p>
        </w:tc>
        <w:tc>
          <w:tcPr>
            <w:tcW w:w="1400" w:type="dxa"/>
          </w:tcPr>
          <w:p w14:paraId="0061E281" w14:textId="77777777" w:rsidR="006D5CB4" w:rsidRDefault="00000000">
            <w:r>
              <w:rPr>
                <w:rFonts w:ascii="Calibri" w:eastAsia="Calibri" w:hAnsi="Calibri" w:cs="Calibri"/>
                <w:sz w:val="19"/>
                <w:szCs w:val="19"/>
              </w:rPr>
              <w:t>Gaussian</w:t>
            </w:r>
          </w:p>
        </w:tc>
        <w:tc>
          <w:tcPr>
            <w:tcW w:w="1200" w:type="dxa"/>
          </w:tcPr>
          <w:p w14:paraId="463B3153" w14:textId="77777777" w:rsidR="006D5CB4" w:rsidRDefault="00000000">
            <w:r>
              <w:rPr>
                <w:rFonts w:ascii="Calibri" w:eastAsia="Calibri" w:hAnsi="Calibri" w:cs="Calibri"/>
                <w:sz w:val="19"/>
                <w:szCs w:val="19"/>
              </w:rPr>
              <w:t>Lasso</w:t>
            </w:r>
          </w:p>
        </w:tc>
        <w:tc>
          <w:tcPr>
            <w:tcW w:w="1400" w:type="dxa"/>
          </w:tcPr>
          <w:p w14:paraId="67E01B69" w14:textId="77777777" w:rsidR="006D5CB4" w:rsidRDefault="00000000">
            <w:r>
              <w:rPr>
                <w:rFonts w:ascii="Calibri" w:eastAsia="Calibri" w:hAnsi="Calibri" w:cs="Calibri"/>
                <w:sz w:val="19"/>
                <w:szCs w:val="19"/>
              </w:rPr>
              <w:t>1.000</w:t>
            </w:r>
          </w:p>
        </w:tc>
        <w:tc>
          <w:tcPr>
            <w:tcW w:w="1300" w:type="dxa"/>
          </w:tcPr>
          <w:p w14:paraId="1B8886B4" w14:textId="77777777" w:rsidR="006D5CB4" w:rsidRDefault="00000000">
            <w:r>
              <w:rPr>
                <w:rFonts w:ascii="Calibri" w:eastAsia="Calibri" w:hAnsi="Calibri" w:cs="Calibri"/>
                <w:sz w:val="19"/>
                <w:szCs w:val="19"/>
              </w:rPr>
              <w:t>0.000</w:t>
            </w:r>
          </w:p>
        </w:tc>
        <w:tc>
          <w:tcPr>
            <w:tcW w:w="1300" w:type="dxa"/>
          </w:tcPr>
          <w:p w14:paraId="5FA46F05" w14:textId="77777777" w:rsidR="006D5CB4" w:rsidRDefault="00000000">
            <w:r>
              <w:rPr>
                <w:rFonts w:ascii="Calibri" w:eastAsia="Calibri" w:hAnsi="Calibri" w:cs="Calibri"/>
                <w:sz w:val="19"/>
                <w:szCs w:val="19"/>
              </w:rPr>
              <w:t>0.000</w:t>
            </w:r>
          </w:p>
        </w:tc>
        <w:tc>
          <w:tcPr>
            <w:tcW w:w="1900" w:type="dxa"/>
          </w:tcPr>
          <w:p w14:paraId="42440588" w14:textId="77777777" w:rsidR="006D5CB4" w:rsidRDefault="00000000">
            <w:r>
              <w:rPr>
                <w:rFonts w:ascii="Calibri" w:eastAsia="Calibri" w:hAnsi="Calibri" w:cs="Calibri"/>
                <w:sz w:val="19"/>
                <w:szCs w:val="19"/>
              </w:rPr>
              <w:t>0.0358</w:t>
            </w:r>
          </w:p>
        </w:tc>
        <w:tc>
          <w:tcPr>
            <w:tcW w:w="1200" w:type="dxa"/>
          </w:tcPr>
          <w:p w14:paraId="46950FC4" w14:textId="77777777" w:rsidR="006D5CB4" w:rsidRDefault="00000000">
            <w:r>
              <w:rPr>
                <w:rFonts w:ascii="Calibri" w:eastAsia="Calibri" w:hAnsi="Calibri" w:cs="Calibri"/>
                <w:sz w:val="19"/>
                <w:szCs w:val="19"/>
              </w:rPr>
              <w:t>0.990</w:t>
            </w:r>
          </w:p>
        </w:tc>
      </w:tr>
      <w:tr w:rsidR="006D5CB4" w14:paraId="51DB4C55" w14:textId="77777777">
        <w:tblPrEx>
          <w:tblCellMar>
            <w:top w:w="0" w:type="dxa"/>
            <w:bottom w:w="0" w:type="dxa"/>
          </w:tblCellMar>
        </w:tblPrEx>
        <w:tc>
          <w:tcPr>
            <w:tcW w:w="900" w:type="dxa"/>
          </w:tcPr>
          <w:p w14:paraId="67D41E33" w14:textId="77777777" w:rsidR="006D5CB4" w:rsidRDefault="00000000">
            <w:r>
              <w:rPr>
                <w:rFonts w:ascii="Calibri" w:eastAsia="Calibri" w:hAnsi="Calibri" w:cs="Calibri"/>
                <w:sz w:val="19"/>
                <w:szCs w:val="19"/>
              </w:rPr>
              <w:t>500</w:t>
            </w:r>
          </w:p>
        </w:tc>
        <w:tc>
          <w:tcPr>
            <w:tcW w:w="1400" w:type="dxa"/>
          </w:tcPr>
          <w:p w14:paraId="4F976A5C" w14:textId="77777777" w:rsidR="006D5CB4" w:rsidRDefault="00000000">
            <w:r>
              <w:rPr>
                <w:rFonts w:ascii="Calibri" w:eastAsia="Calibri" w:hAnsi="Calibri" w:cs="Calibri"/>
                <w:sz w:val="19"/>
                <w:szCs w:val="19"/>
              </w:rPr>
              <w:t>Student-t</w:t>
            </w:r>
          </w:p>
        </w:tc>
        <w:tc>
          <w:tcPr>
            <w:tcW w:w="1200" w:type="dxa"/>
          </w:tcPr>
          <w:p w14:paraId="7ED83178" w14:textId="77777777" w:rsidR="006D5CB4" w:rsidRDefault="00000000">
            <w:r>
              <w:rPr>
                <w:rFonts w:ascii="Calibri" w:eastAsia="Calibri" w:hAnsi="Calibri" w:cs="Calibri"/>
                <w:sz w:val="19"/>
                <w:szCs w:val="19"/>
              </w:rPr>
              <w:t>OLS</w:t>
            </w:r>
          </w:p>
        </w:tc>
        <w:tc>
          <w:tcPr>
            <w:tcW w:w="1400" w:type="dxa"/>
          </w:tcPr>
          <w:p w14:paraId="46EED7EE" w14:textId="77777777" w:rsidR="006D5CB4" w:rsidRDefault="00000000">
            <w:r>
              <w:rPr>
                <w:rFonts w:ascii="Calibri" w:eastAsia="Calibri" w:hAnsi="Calibri" w:cs="Calibri"/>
                <w:sz w:val="19"/>
                <w:szCs w:val="19"/>
              </w:rPr>
              <w:t>1.000</w:t>
            </w:r>
          </w:p>
        </w:tc>
        <w:tc>
          <w:tcPr>
            <w:tcW w:w="1300" w:type="dxa"/>
          </w:tcPr>
          <w:p w14:paraId="53DEB1BB" w14:textId="77777777" w:rsidR="006D5CB4" w:rsidRDefault="00000000">
            <w:r>
              <w:rPr>
                <w:rFonts w:ascii="Calibri" w:eastAsia="Calibri" w:hAnsi="Calibri" w:cs="Calibri"/>
                <w:sz w:val="19"/>
                <w:szCs w:val="19"/>
              </w:rPr>
              <w:t>0.000</w:t>
            </w:r>
          </w:p>
        </w:tc>
        <w:tc>
          <w:tcPr>
            <w:tcW w:w="1300" w:type="dxa"/>
          </w:tcPr>
          <w:p w14:paraId="21553ED5" w14:textId="77777777" w:rsidR="006D5CB4" w:rsidRDefault="00000000">
            <w:r>
              <w:rPr>
                <w:rFonts w:ascii="Calibri" w:eastAsia="Calibri" w:hAnsi="Calibri" w:cs="Calibri"/>
                <w:sz w:val="19"/>
                <w:szCs w:val="19"/>
              </w:rPr>
              <w:t>0.000</w:t>
            </w:r>
          </w:p>
        </w:tc>
        <w:tc>
          <w:tcPr>
            <w:tcW w:w="1900" w:type="dxa"/>
          </w:tcPr>
          <w:p w14:paraId="5E583A6F" w14:textId="77777777" w:rsidR="006D5CB4" w:rsidRDefault="00000000">
            <w:r>
              <w:rPr>
                <w:rFonts w:ascii="Calibri" w:eastAsia="Calibri" w:hAnsi="Calibri" w:cs="Calibri"/>
                <w:sz w:val="19"/>
                <w:szCs w:val="19"/>
              </w:rPr>
              <w:t>0.0392</w:t>
            </w:r>
          </w:p>
        </w:tc>
        <w:tc>
          <w:tcPr>
            <w:tcW w:w="1200" w:type="dxa"/>
          </w:tcPr>
          <w:p w14:paraId="79C691FB" w14:textId="77777777" w:rsidR="006D5CB4" w:rsidRDefault="00000000">
            <w:r>
              <w:rPr>
                <w:rFonts w:ascii="Calibri" w:eastAsia="Calibri" w:hAnsi="Calibri" w:cs="Calibri"/>
                <w:sz w:val="19"/>
                <w:szCs w:val="19"/>
              </w:rPr>
              <w:t>1.647</w:t>
            </w:r>
          </w:p>
        </w:tc>
      </w:tr>
      <w:tr w:rsidR="006D5CB4" w14:paraId="2BCEC7EA" w14:textId="77777777">
        <w:tblPrEx>
          <w:tblCellMar>
            <w:top w:w="0" w:type="dxa"/>
            <w:bottom w:w="0" w:type="dxa"/>
          </w:tblCellMar>
        </w:tblPrEx>
        <w:tc>
          <w:tcPr>
            <w:tcW w:w="900" w:type="dxa"/>
          </w:tcPr>
          <w:p w14:paraId="650C4659" w14:textId="77777777" w:rsidR="006D5CB4" w:rsidRDefault="00000000">
            <w:r>
              <w:rPr>
                <w:rFonts w:ascii="Calibri" w:eastAsia="Calibri" w:hAnsi="Calibri" w:cs="Calibri"/>
                <w:sz w:val="19"/>
                <w:szCs w:val="19"/>
              </w:rPr>
              <w:t>500</w:t>
            </w:r>
          </w:p>
        </w:tc>
        <w:tc>
          <w:tcPr>
            <w:tcW w:w="1400" w:type="dxa"/>
          </w:tcPr>
          <w:p w14:paraId="22F3ACA2" w14:textId="77777777" w:rsidR="006D5CB4" w:rsidRDefault="00000000">
            <w:r>
              <w:rPr>
                <w:rFonts w:ascii="Calibri" w:eastAsia="Calibri" w:hAnsi="Calibri" w:cs="Calibri"/>
                <w:sz w:val="19"/>
                <w:szCs w:val="19"/>
              </w:rPr>
              <w:t>Student-t</w:t>
            </w:r>
          </w:p>
        </w:tc>
        <w:tc>
          <w:tcPr>
            <w:tcW w:w="1200" w:type="dxa"/>
          </w:tcPr>
          <w:p w14:paraId="793296B1" w14:textId="77777777" w:rsidR="006D5CB4" w:rsidRDefault="00000000">
            <w:r>
              <w:rPr>
                <w:rFonts w:ascii="Calibri" w:eastAsia="Calibri" w:hAnsi="Calibri" w:cs="Calibri"/>
                <w:sz w:val="19"/>
                <w:szCs w:val="19"/>
              </w:rPr>
              <w:t>Lasso</w:t>
            </w:r>
          </w:p>
        </w:tc>
        <w:tc>
          <w:tcPr>
            <w:tcW w:w="1400" w:type="dxa"/>
          </w:tcPr>
          <w:p w14:paraId="24CC0E52" w14:textId="77777777" w:rsidR="006D5CB4" w:rsidRDefault="00000000">
            <w:r>
              <w:rPr>
                <w:rFonts w:ascii="Calibri" w:eastAsia="Calibri" w:hAnsi="Calibri" w:cs="Calibri"/>
                <w:sz w:val="19"/>
                <w:szCs w:val="19"/>
              </w:rPr>
              <w:t>1.000</w:t>
            </w:r>
          </w:p>
        </w:tc>
        <w:tc>
          <w:tcPr>
            <w:tcW w:w="1300" w:type="dxa"/>
          </w:tcPr>
          <w:p w14:paraId="434E29BE" w14:textId="77777777" w:rsidR="006D5CB4" w:rsidRDefault="00000000">
            <w:r>
              <w:rPr>
                <w:rFonts w:ascii="Calibri" w:eastAsia="Calibri" w:hAnsi="Calibri" w:cs="Calibri"/>
                <w:sz w:val="19"/>
                <w:szCs w:val="19"/>
              </w:rPr>
              <w:t>0.000</w:t>
            </w:r>
          </w:p>
        </w:tc>
        <w:tc>
          <w:tcPr>
            <w:tcW w:w="1300" w:type="dxa"/>
          </w:tcPr>
          <w:p w14:paraId="28A44294" w14:textId="77777777" w:rsidR="006D5CB4" w:rsidRDefault="00000000">
            <w:r>
              <w:rPr>
                <w:rFonts w:ascii="Calibri" w:eastAsia="Calibri" w:hAnsi="Calibri" w:cs="Calibri"/>
                <w:sz w:val="19"/>
                <w:szCs w:val="19"/>
              </w:rPr>
              <w:t>0.000</w:t>
            </w:r>
          </w:p>
        </w:tc>
        <w:tc>
          <w:tcPr>
            <w:tcW w:w="1900" w:type="dxa"/>
          </w:tcPr>
          <w:p w14:paraId="409AF877" w14:textId="77777777" w:rsidR="006D5CB4" w:rsidRDefault="00000000">
            <w:r>
              <w:rPr>
                <w:rFonts w:ascii="Calibri" w:eastAsia="Calibri" w:hAnsi="Calibri" w:cs="Calibri"/>
                <w:sz w:val="19"/>
                <w:szCs w:val="19"/>
              </w:rPr>
              <w:t>0.0375</w:t>
            </w:r>
          </w:p>
        </w:tc>
        <w:tc>
          <w:tcPr>
            <w:tcW w:w="1200" w:type="dxa"/>
          </w:tcPr>
          <w:p w14:paraId="143AB8C3" w14:textId="77777777" w:rsidR="006D5CB4" w:rsidRDefault="00000000">
            <w:r>
              <w:rPr>
                <w:rFonts w:ascii="Calibri" w:eastAsia="Calibri" w:hAnsi="Calibri" w:cs="Calibri"/>
                <w:sz w:val="19"/>
                <w:szCs w:val="19"/>
              </w:rPr>
              <w:t>1.647</w:t>
            </w:r>
          </w:p>
        </w:tc>
      </w:tr>
      <w:tr w:rsidR="006D5CB4" w14:paraId="4BB6766A" w14:textId="77777777">
        <w:tblPrEx>
          <w:tblCellMar>
            <w:top w:w="0" w:type="dxa"/>
            <w:bottom w:w="0" w:type="dxa"/>
          </w:tblCellMar>
        </w:tblPrEx>
        <w:tc>
          <w:tcPr>
            <w:tcW w:w="900" w:type="dxa"/>
          </w:tcPr>
          <w:p w14:paraId="36D822E4" w14:textId="77777777" w:rsidR="006D5CB4" w:rsidRDefault="00000000">
            <w:r>
              <w:rPr>
                <w:rFonts w:ascii="Calibri" w:eastAsia="Calibri" w:hAnsi="Calibri" w:cs="Calibri"/>
                <w:sz w:val="19"/>
                <w:szCs w:val="19"/>
              </w:rPr>
              <w:t>1000</w:t>
            </w:r>
          </w:p>
        </w:tc>
        <w:tc>
          <w:tcPr>
            <w:tcW w:w="1400" w:type="dxa"/>
          </w:tcPr>
          <w:p w14:paraId="1CBF583A" w14:textId="77777777" w:rsidR="006D5CB4" w:rsidRDefault="00000000">
            <w:r>
              <w:rPr>
                <w:rFonts w:ascii="Calibri" w:eastAsia="Calibri" w:hAnsi="Calibri" w:cs="Calibri"/>
                <w:sz w:val="19"/>
                <w:szCs w:val="19"/>
              </w:rPr>
              <w:t>Gaussian</w:t>
            </w:r>
          </w:p>
        </w:tc>
        <w:tc>
          <w:tcPr>
            <w:tcW w:w="1200" w:type="dxa"/>
          </w:tcPr>
          <w:p w14:paraId="73A862EA" w14:textId="77777777" w:rsidR="006D5CB4" w:rsidRDefault="00000000">
            <w:r>
              <w:rPr>
                <w:rFonts w:ascii="Calibri" w:eastAsia="Calibri" w:hAnsi="Calibri" w:cs="Calibri"/>
                <w:sz w:val="19"/>
                <w:szCs w:val="19"/>
              </w:rPr>
              <w:t>OLS</w:t>
            </w:r>
          </w:p>
        </w:tc>
        <w:tc>
          <w:tcPr>
            <w:tcW w:w="1400" w:type="dxa"/>
          </w:tcPr>
          <w:p w14:paraId="1DE78D8A" w14:textId="77777777" w:rsidR="006D5CB4" w:rsidRDefault="00000000">
            <w:r>
              <w:rPr>
                <w:rFonts w:ascii="Calibri" w:eastAsia="Calibri" w:hAnsi="Calibri" w:cs="Calibri"/>
                <w:sz w:val="19"/>
                <w:szCs w:val="19"/>
              </w:rPr>
              <w:t>1.000</w:t>
            </w:r>
          </w:p>
        </w:tc>
        <w:tc>
          <w:tcPr>
            <w:tcW w:w="1300" w:type="dxa"/>
          </w:tcPr>
          <w:p w14:paraId="572DBB93" w14:textId="77777777" w:rsidR="006D5CB4" w:rsidRDefault="00000000">
            <w:r>
              <w:rPr>
                <w:rFonts w:ascii="Calibri" w:eastAsia="Calibri" w:hAnsi="Calibri" w:cs="Calibri"/>
                <w:sz w:val="19"/>
                <w:szCs w:val="19"/>
              </w:rPr>
              <w:t>0.000</w:t>
            </w:r>
          </w:p>
        </w:tc>
        <w:tc>
          <w:tcPr>
            <w:tcW w:w="1300" w:type="dxa"/>
          </w:tcPr>
          <w:p w14:paraId="1081EB72" w14:textId="77777777" w:rsidR="006D5CB4" w:rsidRDefault="00000000">
            <w:r>
              <w:rPr>
                <w:rFonts w:ascii="Calibri" w:eastAsia="Calibri" w:hAnsi="Calibri" w:cs="Calibri"/>
                <w:sz w:val="19"/>
                <w:szCs w:val="19"/>
              </w:rPr>
              <w:t>0.000</w:t>
            </w:r>
          </w:p>
        </w:tc>
        <w:tc>
          <w:tcPr>
            <w:tcW w:w="1900" w:type="dxa"/>
          </w:tcPr>
          <w:p w14:paraId="63321D40" w14:textId="77777777" w:rsidR="006D5CB4" w:rsidRDefault="00000000">
            <w:r>
              <w:rPr>
                <w:rFonts w:ascii="Calibri" w:eastAsia="Calibri" w:hAnsi="Calibri" w:cs="Calibri"/>
                <w:sz w:val="19"/>
                <w:szCs w:val="19"/>
              </w:rPr>
              <w:t>0.0301</w:t>
            </w:r>
          </w:p>
        </w:tc>
        <w:tc>
          <w:tcPr>
            <w:tcW w:w="1200" w:type="dxa"/>
          </w:tcPr>
          <w:p w14:paraId="1498F9DE" w14:textId="77777777" w:rsidR="006D5CB4" w:rsidRDefault="00000000">
            <w:r>
              <w:rPr>
                <w:rFonts w:ascii="Calibri" w:eastAsia="Calibri" w:hAnsi="Calibri" w:cs="Calibri"/>
                <w:sz w:val="19"/>
                <w:szCs w:val="19"/>
              </w:rPr>
              <w:t>0.992</w:t>
            </w:r>
          </w:p>
        </w:tc>
      </w:tr>
      <w:tr w:rsidR="006D5CB4" w14:paraId="7DD3A840" w14:textId="77777777">
        <w:tblPrEx>
          <w:tblCellMar>
            <w:top w:w="0" w:type="dxa"/>
            <w:bottom w:w="0" w:type="dxa"/>
          </w:tblCellMar>
        </w:tblPrEx>
        <w:tc>
          <w:tcPr>
            <w:tcW w:w="900" w:type="dxa"/>
          </w:tcPr>
          <w:p w14:paraId="31E9A643" w14:textId="77777777" w:rsidR="006D5CB4" w:rsidRDefault="00000000">
            <w:r>
              <w:rPr>
                <w:rFonts w:ascii="Calibri" w:eastAsia="Calibri" w:hAnsi="Calibri" w:cs="Calibri"/>
                <w:sz w:val="19"/>
                <w:szCs w:val="19"/>
              </w:rPr>
              <w:t>1000</w:t>
            </w:r>
          </w:p>
        </w:tc>
        <w:tc>
          <w:tcPr>
            <w:tcW w:w="1400" w:type="dxa"/>
          </w:tcPr>
          <w:p w14:paraId="6B9C2570" w14:textId="77777777" w:rsidR="006D5CB4" w:rsidRDefault="00000000">
            <w:r>
              <w:rPr>
                <w:rFonts w:ascii="Calibri" w:eastAsia="Calibri" w:hAnsi="Calibri" w:cs="Calibri"/>
                <w:sz w:val="19"/>
                <w:szCs w:val="19"/>
              </w:rPr>
              <w:t>Gaussian</w:t>
            </w:r>
          </w:p>
        </w:tc>
        <w:tc>
          <w:tcPr>
            <w:tcW w:w="1200" w:type="dxa"/>
          </w:tcPr>
          <w:p w14:paraId="6055365E" w14:textId="77777777" w:rsidR="006D5CB4" w:rsidRDefault="00000000">
            <w:r>
              <w:rPr>
                <w:rFonts w:ascii="Calibri" w:eastAsia="Calibri" w:hAnsi="Calibri" w:cs="Calibri"/>
                <w:sz w:val="19"/>
                <w:szCs w:val="19"/>
              </w:rPr>
              <w:t>Lasso</w:t>
            </w:r>
          </w:p>
        </w:tc>
        <w:tc>
          <w:tcPr>
            <w:tcW w:w="1400" w:type="dxa"/>
          </w:tcPr>
          <w:p w14:paraId="40139794" w14:textId="77777777" w:rsidR="006D5CB4" w:rsidRDefault="00000000">
            <w:r>
              <w:rPr>
                <w:rFonts w:ascii="Calibri" w:eastAsia="Calibri" w:hAnsi="Calibri" w:cs="Calibri"/>
                <w:sz w:val="19"/>
                <w:szCs w:val="19"/>
              </w:rPr>
              <w:t>1.000</w:t>
            </w:r>
          </w:p>
        </w:tc>
        <w:tc>
          <w:tcPr>
            <w:tcW w:w="1300" w:type="dxa"/>
          </w:tcPr>
          <w:p w14:paraId="4AAAE407" w14:textId="77777777" w:rsidR="006D5CB4" w:rsidRDefault="00000000">
            <w:r>
              <w:rPr>
                <w:rFonts w:ascii="Calibri" w:eastAsia="Calibri" w:hAnsi="Calibri" w:cs="Calibri"/>
                <w:sz w:val="19"/>
                <w:szCs w:val="19"/>
              </w:rPr>
              <w:t>0.000</w:t>
            </w:r>
          </w:p>
        </w:tc>
        <w:tc>
          <w:tcPr>
            <w:tcW w:w="1300" w:type="dxa"/>
          </w:tcPr>
          <w:p w14:paraId="18FAC387" w14:textId="77777777" w:rsidR="006D5CB4" w:rsidRDefault="00000000">
            <w:r>
              <w:rPr>
                <w:rFonts w:ascii="Calibri" w:eastAsia="Calibri" w:hAnsi="Calibri" w:cs="Calibri"/>
                <w:sz w:val="19"/>
                <w:szCs w:val="19"/>
              </w:rPr>
              <w:t>0.000</w:t>
            </w:r>
          </w:p>
        </w:tc>
        <w:tc>
          <w:tcPr>
            <w:tcW w:w="1900" w:type="dxa"/>
          </w:tcPr>
          <w:p w14:paraId="672BC37E" w14:textId="77777777" w:rsidR="006D5CB4" w:rsidRDefault="00000000">
            <w:r>
              <w:rPr>
                <w:rFonts w:ascii="Calibri" w:eastAsia="Calibri" w:hAnsi="Calibri" w:cs="Calibri"/>
                <w:sz w:val="19"/>
                <w:szCs w:val="19"/>
              </w:rPr>
              <w:t>0.0277</w:t>
            </w:r>
          </w:p>
        </w:tc>
        <w:tc>
          <w:tcPr>
            <w:tcW w:w="1200" w:type="dxa"/>
          </w:tcPr>
          <w:p w14:paraId="14F7B47C" w14:textId="77777777" w:rsidR="006D5CB4" w:rsidRDefault="00000000">
            <w:r>
              <w:rPr>
                <w:rFonts w:ascii="Calibri" w:eastAsia="Calibri" w:hAnsi="Calibri" w:cs="Calibri"/>
                <w:sz w:val="19"/>
                <w:szCs w:val="19"/>
              </w:rPr>
              <w:t>0.992</w:t>
            </w:r>
          </w:p>
        </w:tc>
      </w:tr>
      <w:tr w:rsidR="006D5CB4" w14:paraId="2E9391B1" w14:textId="77777777">
        <w:tblPrEx>
          <w:tblCellMar>
            <w:top w:w="0" w:type="dxa"/>
            <w:bottom w:w="0" w:type="dxa"/>
          </w:tblCellMar>
        </w:tblPrEx>
        <w:tc>
          <w:tcPr>
            <w:tcW w:w="900" w:type="dxa"/>
          </w:tcPr>
          <w:p w14:paraId="3BEA89B9" w14:textId="77777777" w:rsidR="006D5CB4" w:rsidRDefault="00000000">
            <w:r>
              <w:rPr>
                <w:rFonts w:ascii="Calibri" w:eastAsia="Calibri" w:hAnsi="Calibri" w:cs="Calibri"/>
                <w:sz w:val="19"/>
                <w:szCs w:val="19"/>
              </w:rPr>
              <w:t>1000</w:t>
            </w:r>
          </w:p>
        </w:tc>
        <w:tc>
          <w:tcPr>
            <w:tcW w:w="1400" w:type="dxa"/>
          </w:tcPr>
          <w:p w14:paraId="2FB25C65" w14:textId="77777777" w:rsidR="006D5CB4" w:rsidRDefault="00000000">
            <w:r>
              <w:rPr>
                <w:rFonts w:ascii="Calibri" w:eastAsia="Calibri" w:hAnsi="Calibri" w:cs="Calibri"/>
                <w:sz w:val="19"/>
                <w:szCs w:val="19"/>
              </w:rPr>
              <w:t>Student-t</w:t>
            </w:r>
          </w:p>
        </w:tc>
        <w:tc>
          <w:tcPr>
            <w:tcW w:w="1200" w:type="dxa"/>
          </w:tcPr>
          <w:p w14:paraId="688F4E87" w14:textId="77777777" w:rsidR="006D5CB4" w:rsidRDefault="00000000">
            <w:r>
              <w:rPr>
                <w:rFonts w:ascii="Calibri" w:eastAsia="Calibri" w:hAnsi="Calibri" w:cs="Calibri"/>
                <w:sz w:val="19"/>
                <w:szCs w:val="19"/>
              </w:rPr>
              <w:t>OLS</w:t>
            </w:r>
          </w:p>
        </w:tc>
        <w:tc>
          <w:tcPr>
            <w:tcW w:w="1400" w:type="dxa"/>
          </w:tcPr>
          <w:p w14:paraId="5CC487F4" w14:textId="77777777" w:rsidR="006D5CB4" w:rsidRDefault="00000000">
            <w:r>
              <w:rPr>
                <w:rFonts w:ascii="Calibri" w:eastAsia="Calibri" w:hAnsi="Calibri" w:cs="Calibri"/>
                <w:sz w:val="19"/>
                <w:szCs w:val="19"/>
              </w:rPr>
              <w:t>1.000</w:t>
            </w:r>
          </w:p>
        </w:tc>
        <w:tc>
          <w:tcPr>
            <w:tcW w:w="1300" w:type="dxa"/>
          </w:tcPr>
          <w:p w14:paraId="7AA07F97" w14:textId="77777777" w:rsidR="006D5CB4" w:rsidRDefault="00000000">
            <w:r>
              <w:rPr>
                <w:rFonts w:ascii="Calibri" w:eastAsia="Calibri" w:hAnsi="Calibri" w:cs="Calibri"/>
                <w:sz w:val="19"/>
                <w:szCs w:val="19"/>
              </w:rPr>
              <w:t>0.000</w:t>
            </w:r>
          </w:p>
        </w:tc>
        <w:tc>
          <w:tcPr>
            <w:tcW w:w="1300" w:type="dxa"/>
          </w:tcPr>
          <w:p w14:paraId="7A4BCFE5" w14:textId="77777777" w:rsidR="006D5CB4" w:rsidRDefault="00000000">
            <w:r>
              <w:rPr>
                <w:rFonts w:ascii="Calibri" w:eastAsia="Calibri" w:hAnsi="Calibri" w:cs="Calibri"/>
                <w:sz w:val="19"/>
                <w:szCs w:val="19"/>
              </w:rPr>
              <w:t>0.000</w:t>
            </w:r>
          </w:p>
        </w:tc>
        <w:tc>
          <w:tcPr>
            <w:tcW w:w="1900" w:type="dxa"/>
          </w:tcPr>
          <w:p w14:paraId="497370C3" w14:textId="77777777" w:rsidR="006D5CB4" w:rsidRDefault="00000000">
            <w:r>
              <w:rPr>
                <w:rFonts w:ascii="Calibri" w:eastAsia="Calibri" w:hAnsi="Calibri" w:cs="Calibri"/>
                <w:sz w:val="19"/>
                <w:szCs w:val="19"/>
              </w:rPr>
              <w:t>0.0291</w:t>
            </w:r>
          </w:p>
        </w:tc>
        <w:tc>
          <w:tcPr>
            <w:tcW w:w="1200" w:type="dxa"/>
          </w:tcPr>
          <w:p w14:paraId="6CB9CA52" w14:textId="77777777" w:rsidR="006D5CB4" w:rsidRDefault="00000000">
            <w:r>
              <w:rPr>
                <w:rFonts w:ascii="Calibri" w:eastAsia="Calibri" w:hAnsi="Calibri" w:cs="Calibri"/>
                <w:sz w:val="19"/>
                <w:szCs w:val="19"/>
              </w:rPr>
              <w:t>1.655</w:t>
            </w:r>
          </w:p>
        </w:tc>
      </w:tr>
      <w:tr w:rsidR="006D5CB4" w14:paraId="568E4523" w14:textId="77777777">
        <w:tblPrEx>
          <w:tblCellMar>
            <w:top w:w="0" w:type="dxa"/>
            <w:bottom w:w="0" w:type="dxa"/>
          </w:tblCellMar>
        </w:tblPrEx>
        <w:tc>
          <w:tcPr>
            <w:tcW w:w="900" w:type="dxa"/>
          </w:tcPr>
          <w:p w14:paraId="6E490E56" w14:textId="77777777" w:rsidR="006D5CB4" w:rsidRDefault="00000000">
            <w:r>
              <w:rPr>
                <w:rFonts w:ascii="Calibri" w:eastAsia="Calibri" w:hAnsi="Calibri" w:cs="Calibri"/>
                <w:sz w:val="19"/>
                <w:szCs w:val="19"/>
              </w:rPr>
              <w:t>1000</w:t>
            </w:r>
          </w:p>
        </w:tc>
        <w:tc>
          <w:tcPr>
            <w:tcW w:w="1400" w:type="dxa"/>
          </w:tcPr>
          <w:p w14:paraId="03B7EDAF" w14:textId="77777777" w:rsidR="006D5CB4" w:rsidRDefault="00000000">
            <w:r>
              <w:rPr>
                <w:rFonts w:ascii="Calibri" w:eastAsia="Calibri" w:hAnsi="Calibri" w:cs="Calibri"/>
                <w:sz w:val="19"/>
                <w:szCs w:val="19"/>
              </w:rPr>
              <w:t>Student-t</w:t>
            </w:r>
          </w:p>
        </w:tc>
        <w:tc>
          <w:tcPr>
            <w:tcW w:w="1200" w:type="dxa"/>
          </w:tcPr>
          <w:p w14:paraId="4226108A" w14:textId="77777777" w:rsidR="006D5CB4" w:rsidRDefault="00000000">
            <w:r>
              <w:rPr>
                <w:rFonts w:ascii="Calibri" w:eastAsia="Calibri" w:hAnsi="Calibri" w:cs="Calibri"/>
                <w:sz w:val="19"/>
                <w:szCs w:val="19"/>
              </w:rPr>
              <w:t>Lasso</w:t>
            </w:r>
          </w:p>
        </w:tc>
        <w:tc>
          <w:tcPr>
            <w:tcW w:w="1400" w:type="dxa"/>
          </w:tcPr>
          <w:p w14:paraId="4955604A" w14:textId="77777777" w:rsidR="006D5CB4" w:rsidRDefault="00000000">
            <w:r>
              <w:rPr>
                <w:rFonts w:ascii="Calibri" w:eastAsia="Calibri" w:hAnsi="Calibri" w:cs="Calibri"/>
                <w:sz w:val="19"/>
                <w:szCs w:val="19"/>
              </w:rPr>
              <w:t>1.000</w:t>
            </w:r>
          </w:p>
        </w:tc>
        <w:tc>
          <w:tcPr>
            <w:tcW w:w="1300" w:type="dxa"/>
          </w:tcPr>
          <w:p w14:paraId="6B5BCEC5" w14:textId="77777777" w:rsidR="006D5CB4" w:rsidRDefault="00000000">
            <w:r>
              <w:rPr>
                <w:rFonts w:ascii="Calibri" w:eastAsia="Calibri" w:hAnsi="Calibri" w:cs="Calibri"/>
                <w:sz w:val="19"/>
                <w:szCs w:val="19"/>
              </w:rPr>
              <w:t>0.000</w:t>
            </w:r>
          </w:p>
        </w:tc>
        <w:tc>
          <w:tcPr>
            <w:tcW w:w="1300" w:type="dxa"/>
          </w:tcPr>
          <w:p w14:paraId="3C185E3E" w14:textId="77777777" w:rsidR="006D5CB4" w:rsidRDefault="00000000">
            <w:r>
              <w:rPr>
                <w:rFonts w:ascii="Calibri" w:eastAsia="Calibri" w:hAnsi="Calibri" w:cs="Calibri"/>
                <w:sz w:val="19"/>
                <w:szCs w:val="19"/>
              </w:rPr>
              <w:t>0.000</w:t>
            </w:r>
          </w:p>
        </w:tc>
        <w:tc>
          <w:tcPr>
            <w:tcW w:w="1900" w:type="dxa"/>
          </w:tcPr>
          <w:p w14:paraId="0DE441F9" w14:textId="77777777" w:rsidR="006D5CB4" w:rsidRDefault="00000000">
            <w:r>
              <w:rPr>
                <w:rFonts w:ascii="Calibri" w:eastAsia="Calibri" w:hAnsi="Calibri" w:cs="Calibri"/>
                <w:sz w:val="19"/>
                <w:szCs w:val="19"/>
              </w:rPr>
              <w:t>0.0274</w:t>
            </w:r>
          </w:p>
        </w:tc>
        <w:tc>
          <w:tcPr>
            <w:tcW w:w="1200" w:type="dxa"/>
          </w:tcPr>
          <w:p w14:paraId="08C3B1F2" w14:textId="77777777" w:rsidR="006D5CB4" w:rsidRDefault="00000000">
            <w:r>
              <w:rPr>
                <w:rFonts w:ascii="Calibri" w:eastAsia="Calibri" w:hAnsi="Calibri" w:cs="Calibri"/>
                <w:sz w:val="19"/>
                <w:szCs w:val="19"/>
              </w:rPr>
              <w:t>1.655</w:t>
            </w:r>
          </w:p>
        </w:tc>
      </w:tr>
    </w:tbl>
    <w:p w14:paraId="2AFF40B5" w14:textId="77777777" w:rsidR="006D5CB4" w:rsidRDefault="00000000">
      <w:pPr>
        <w:spacing w:after="240"/>
      </w:pPr>
      <w:r>
        <w:rPr>
          <w:rFonts w:ascii="Calibri" w:eastAsia="Calibri" w:hAnsi="Calibri" w:cs="Calibri"/>
          <w:i/>
          <w:iCs/>
        </w:rPr>
        <w:t>Table 2. Monte Carlo root-classification and forecast performance, stable-root design, 500 replications per cell, N = 3, lags = 2, sparsity = 0.10, current simulator.</w:t>
      </w:r>
    </w:p>
    <w:p w14:paraId="1D62364C" w14:textId="77777777" w:rsidR="006D5CB4" w:rsidRDefault="00000000">
      <w:pPr>
        <w:spacing w:after="200"/>
      </w:pPr>
      <w:r>
        <w:rPr>
          <w:rFonts w:ascii="Calibri" w:eastAsia="Calibri" w:hAnsi="Calibri" w:cs="Calibri"/>
          <w:sz w:val="22"/>
          <w:szCs w:val="22"/>
        </w:rPr>
        <w:t>As noted in Section 4.0, this table replaces the previous draft's Section 4.2 findings. Exact root-classification accuracy is at ceiling (1.000) for both estimators in every cell, with zero false positives and zero false negatives, and one-step-ahead forecast accuracy is now nearly identical between the two estimators, with OLS retaining only a small, consistent edge (differences on the order of 0.0002–0.0003 in MSFE, and Lasso showing marginally lower spectral-radius error in most cells). The practical implication for this paper is narrower than before: at this design's difficulty level, neither classification accuracy nor forecast error meaningfully distinguishes OLS from Lasso, so the empirical root classification of Section 5.2 should not be read as differentially validated by one estimator's Monte Carlo track record over the other's.</w:t>
      </w:r>
    </w:p>
    <w:p w14:paraId="5BC9D394" w14:textId="77777777" w:rsidR="006D5CB4" w:rsidRDefault="00000000">
      <w:pPr>
        <w:pStyle w:val="Heading2"/>
        <w:spacing w:before="260" w:after="140"/>
      </w:pPr>
      <w:r>
        <w:rPr>
          <w:rFonts w:ascii="Calibri" w:eastAsia="Calibri" w:hAnsi="Calibri" w:cs="Calibri"/>
          <w:b/>
          <w:bCs/>
          <w:sz w:val="24"/>
          <w:szCs w:val="24"/>
        </w:rPr>
        <w:t xml:space="preserve">4.3. </w:t>
      </w:r>
      <w:proofErr w:type="spellStart"/>
      <w:r>
        <w:rPr>
          <w:rFonts w:ascii="Calibri" w:eastAsia="Calibri" w:hAnsi="Calibri" w:cs="Calibri"/>
          <w:b/>
          <w:bCs/>
          <w:sz w:val="24"/>
          <w:szCs w:val="24"/>
        </w:rPr>
        <w:t>RGCov</w:t>
      </w:r>
      <w:proofErr w:type="spellEnd"/>
      <w:r>
        <w:rPr>
          <w:rFonts w:ascii="Calibri" w:eastAsia="Calibri" w:hAnsi="Calibri" w:cs="Calibri"/>
          <w:b/>
          <w:bCs/>
          <w:sz w:val="24"/>
          <w:szCs w:val="24"/>
        </w:rPr>
        <w:t xml:space="preserve"> Root Recovery: A Genuinely Mixed Causal–Noncausal Design</w:t>
      </w:r>
    </w:p>
    <w:p w14:paraId="68C6CA07" w14:textId="77777777" w:rsidR="006D5CB4" w:rsidRDefault="00000000">
      <w:pPr>
        <w:spacing w:after="200"/>
      </w:pPr>
      <w:r>
        <w:rPr>
          <w:rFonts w:ascii="Calibri" w:eastAsia="Calibri" w:hAnsi="Calibri" w:cs="Calibri"/>
          <w:sz w:val="22"/>
          <w:szCs w:val="22"/>
        </w:rPr>
        <w:t xml:space="preserve">The exercises above evaluate only purely causal estimators on purely causal data-generating processes; they say nothing about whether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can recover a genuine mixed causal–noncausal root structure, which is the estimator's actual purpose. We simulate a bivariate MAR(1,1) process (N = 2, T = 400) with one causal root at modulus 0.9 and one noncausal root at modulus 1.2 (true spectral radius 1.20), and fit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using the OLS-initialized, box-constrained, ridge-penalized procedure of Section 3.1 (H = 5, λ = 0.001, ten starts per replication).</w:t>
      </w:r>
    </w:p>
    <w:p w14:paraId="2D4152A6" w14:textId="77777777" w:rsidR="006D5CB4" w:rsidRDefault="00000000">
      <w:pPr>
        <w:spacing w:after="200"/>
      </w:pPr>
      <w:r>
        <w:rPr>
          <w:rFonts w:ascii="Calibri" w:eastAsia="Calibri" w:hAnsi="Calibri" w:cs="Calibri"/>
          <w:sz w:val="22"/>
          <w:szCs w:val="22"/>
        </w:rPr>
        <w:t>We ran this design at two replication counts, 50 and 100, and obtained different point estimates of root-recovery accuracy (66% exact recovery at 50 replications; 58% at 100). We report the 100-replication run as the paper's headline estimate because it is the larger, and therefore more reliable, sample; the gap between the two runs is itself informative about how much Monte Carlo noise remains at these replication counts, and it is why we do not treat either number as a precise population value.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600"/>
      </w:tblGrid>
      <w:tr w:rsidR="006D5CB4" w14:paraId="3D9D214B" w14:textId="77777777">
        <w:tblPrEx>
          <w:tblCellMar>
            <w:top w:w="0" w:type="dxa"/>
            <w:bottom w:w="0" w:type="dxa"/>
          </w:tblCellMar>
        </w:tblPrEx>
        <w:trPr>
          <w:tblHeader/>
        </w:trPr>
        <w:tc>
          <w:tcPr>
            <w:tcW w:w="5400" w:type="dxa"/>
            <w:shd w:val="clear" w:color="auto" w:fill="D9D9D9"/>
          </w:tcPr>
          <w:p w14:paraId="3E0C778E" w14:textId="77777777" w:rsidR="006D5CB4" w:rsidRDefault="00000000">
            <w:r>
              <w:rPr>
                <w:rFonts w:ascii="Calibri" w:eastAsia="Calibri" w:hAnsi="Calibri" w:cs="Calibri"/>
                <w:b/>
                <w:bCs/>
                <w:sz w:val="19"/>
                <w:szCs w:val="19"/>
              </w:rPr>
              <w:t>Statistic (100 replications)</w:t>
            </w:r>
          </w:p>
        </w:tc>
        <w:tc>
          <w:tcPr>
            <w:tcW w:w="2600" w:type="dxa"/>
            <w:shd w:val="clear" w:color="auto" w:fill="D9D9D9"/>
          </w:tcPr>
          <w:p w14:paraId="7F5366D6" w14:textId="77777777" w:rsidR="006D5CB4" w:rsidRDefault="00000000">
            <w:r>
              <w:rPr>
                <w:rFonts w:ascii="Calibri" w:eastAsia="Calibri" w:hAnsi="Calibri" w:cs="Calibri"/>
                <w:b/>
                <w:bCs/>
                <w:sz w:val="19"/>
                <w:szCs w:val="19"/>
              </w:rPr>
              <w:t>Value</w:t>
            </w:r>
          </w:p>
        </w:tc>
      </w:tr>
      <w:tr w:rsidR="006D5CB4" w14:paraId="214DF8DF" w14:textId="77777777">
        <w:tblPrEx>
          <w:tblCellMar>
            <w:top w:w="0" w:type="dxa"/>
            <w:bottom w:w="0" w:type="dxa"/>
          </w:tblCellMar>
        </w:tblPrEx>
        <w:tc>
          <w:tcPr>
            <w:tcW w:w="5400" w:type="dxa"/>
          </w:tcPr>
          <w:p w14:paraId="50131655" w14:textId="77777777" w:rsidR="006D5CB4" w:rsidRDefault="00000000">
            <w:r>
              <w:rPr>
                <w:rFonts w:ascii="Calibri" w:eastAsia="Calibri" w:hAnsi="Calibri" w:cs="Calibri"/>
                <w:sz w:val="19"/>
                <w:szCs w:val="19"/>
              </w:rPr>
              <w:t>Certification rate</w:t>
            </w:r>
          </w:p>
        </w:tc>
        <w:tc>
          <w:tcPr>
            <w:tcW w:w="2600" w:type="dxa"/>
          </w:tcPr>
          <w:p w14:paraId="074C9DCA" w14:textId="77777777" w:rsidR="006D5CB4" w:rsidRDefault="00000000">
            <w:r>
              <w:rPr>
                <w:rFonts w:ascii="Calibri" w:eastAsia="Calibri" w:hAnsi="Calibri" w:cs="Calibri"/>
                <w:sz w:val="19"/>
                <w:szCs w:val="19"/>
              </w:rPr>
              <w:t>100%</w:t>
            </w:r>
          </w:p>
        </w:tc>
      </w:tr>
      <w:tr w:rsidR="006D5CB4" w14:paraId="3AB58C91" w14:textId="77777777">
        <w:tblPrEx>
          <w:tblCellMar>
            <w:top w:w="0" w:type="dxa"/>
            <w:bottom w:w="0" w:type="dxa"/>
          </w:tblCellMar>
        </w:tblPrEx>
        <w:tc>
          <w:tcPr>
            <w:tcW w:w="5400" w:type="dxa"/>
          </w:tcPr>
          <w:p w14:paraId="4751361D" w14:textId="77777777" w:rsidR="006D5CB4" w:rsidRDefault="00000000">
            <w:r>
              <w:rPr>
                <w:rFonts w:ascii="Calibri" w:eastAsia="Calibri" w:hAnsi="Calibri" w:cs="Calibri"/>
                <w:sz w:val="19"/>
                <w:szCs w:val="19"/>
              </w:rPr>
              <w:t>Exact root-count recovery</w:t>
            </w:r>
          </w:p>
        </w:tc>
        <w:tc>
          <w:tcPr>
            <w:tcW w:w="2600" w:type="dxa"/>
          </w:tcPr>
          <w:p w14:paraId="1195CBBB" w14:textId="77777777" w:rsidR="006D5CB4" w:rsidRDefault="00000000">
            <w:r>
              <w:rPr>
                <w:rFonts w:ascii="Calibri" w:eastAsia="Calibri" w:hAnsi="Calibri" w:cs="Calibri"/>
                <w:sz w:val="19"/>
                <w:szCs w:val="19"/>
              </w:rPr>
              <w:t>58%</w:t>
            </w:r>
          </w:p>
        </w:tc>
      </w:tr>
      <w:tr w:rsidR="006D5CB4" w14:paraId="6385E431" w14:textId="77777777">
        <w:tblPrEx>
          <w:tblCellMar>
            <w:top w:w="0" w:type="dxa"/>
            <w:bottom w:w="0" w:type="dxa"/>
          </w:tblCellMar>
        </w:tblPrEx>
        <w:tc>
          <w:tcPr>
            <w:tcW w:w="5400" w:type="dxa"/>
          </w:tcPr>
          <w:p w14:paraId="61DE6307" w14:textId="77777777" w:rsidR="006D5CB4" w:rsidRDefault="00000000">
            <w:r>
              <w:rPr>
                <w:rFonts w:ascii="Calibri" w:eastAsia="Calibri" w:hAnsi="Calibri" w:cs="Calibri"/>
                <w:sz w:val="19"/>
                <w:szCs w:val="19"/>
              </w:rPr>
              <w:t>Mean root-modulus error</w:t>
            </w:r>
          </w:p>
        </w:tc>
        <w:tc>
          <w:tcPr>
            <w:tcW w:w="2600" w:type="dxa"/>
          </w:tcPr>
          <w:p w14:paraId="2B89E0E8" w14:textId="77777777" w:rsidR="006D5CB4" w:rsidRDefault="00000000">
            <w:r>
              <w:rPr>
                <w:rFonts w:ascii="Calibri" w:eastAsia="Calibri" w:hAnsi="Calibri" w:cs="Calibri"/>
                <w:sz w:val="19"/>
                <w:szCs w:val="19"/>
              </w:rPr>
              <w:t>0.092</w:t>
            </w:r>
          </w:p>
        </w:tc>
      </w:tr>
      <w:tr w:rsidR="006D5CB4" w14:paraId="68BC040C" w14:textId="77777777">
        <w:tblPrEx>
          <w:tblCellMar>
            <w:top w:w="0" w:type="dxa"/>
            <w:bottom w:w="0" w:type="dxa"/>
          </w:tblCellMar>
        </w:tblPrEx>
        <w:tc>
          <w:tcPr>
            <w:tcW w:w="5400" w:type="dxa"/>
          </w:tcPr>
          <w:p w14:paraId="229029AF" w14:textId="77777777" w:rsidR="006D5CB4" w:rsidRDefault="00000000">
            <w:r>
              <w:rPr>
                <w:rFonts w:ascii="Calibri" w:eastAsia="Calibri" w:hAnsi="Calibri" w:cs="Calibri"/>
                <w:sz w:val="19"/>
                <w:szCs w:val="19"/>
              </w:rPr>
              <w:t>Mean estimated spectral radius (true: 1.20)</w:t>
            </w:r>
          </w:p>
        </w:tc>
        <w:tc>
          <w:tcPr>
            <w:tcW w:w="2600" w:type="dxa"/>
          </w:tcPr>
          <w:p w14:paraId="0F9BD80C" w14:textId="77777777" w:rsidR="006D5CB4" w:rsidRDefault="00000000">
            <w:r>
              <w:rPr>
                <w:rFonts w:ascii="Calibri" w:eastAsia="Calibri" w:hAnsi="Calibri" w:cs="Calibri"/>
                <w:sz w:val="19"/>
                <w:szCs w:val="19"/>
              </w:rPr>
              <w:t>1.148</w:t>
            </w:r>
          </w:p>
        </w:tc>
      </w:tr>
      <w:tr w:rsidR="006D5CB4" w14:paraId="227153D5" w14:textId="77777777">
        <w:tblPrEx>
          <w:tblCellMar>
            <w:top w:w="0" w:type="dxa"/>
            <w:bottom w:w="0" w:type="dxa"/>
          </w:tblCellMar>
        </w:tblPrEx>
        <w:tc>
          <w:tcPr>
            <w:tcW w:w="5400" w:type="dxa"/>
          </w:tcPr>
          <w:p w14:paraId="0FF42956" w14:textId="77777777" w:rsidR="006D5CB4" w:rsidRDefault="00000000">
            <w:r>
              <w:rPr>
                <w:rFonts w:ascii="Calibri" w:eastAsia="Calibri" w:hAnsi="Calibri" w:cs="Calibri"/>
                <w:sz w:val="19"/>
                <w:szCs w:val="19"/>
              </w:rPr>
              <w:t>Mean objective value at the certified optimum</w:t>
            </w:r>
          </w:p>
        </w:tc>
        <w:tc>
          <w:tcPr>
            <w:tcW w:w="2600" w:type="dxa"/>
          </w:tcPr>
          <w:p w14:paraId="24E28E14" w14:textId="77777777" w:rsidR="006D5CB4" w:rsidRDefault="00000000">
            <w:r>
              <w:rPr>
                <w:rFonts w:ascii="Calibri" w:eastAsia="Calibri" w:hAnsi="Calibri" w:cs="Calibri"/>
                <w:sz w:val="19"/>
                <w:szCs w:val="19"/>
              </w:rPr>
              <w:t>0.217</w:t>
            </w:r>
          </w:p>
        </w:tc>
      </w:tr>
    </w:tbl>
    <w:p w14:paraId="70A9DF8D" w14:textId="77777777" w:rsidR="006D5CB4" w:rsidRDefault="00000000">
      <w:pPr>
        <w:spacing w:after="240"/>
      </w:pPr>
      <w:r>
        <w:rPr>
          <w:rFonts w:ascii="Calibri" w:eastAsia="Calibri" w:hAnsi="Calibri" w:cs="Calibri"/>
          <w:i/>
          <w:iCs/>
        </w:rPr>
        <w:t xml:space="preserve">Table 3. </w:t>
      </w:r>
      <w:proofErr w:type="spellStart"/>
      <w:r>
        <w:rPr>
          <w:rFonts w:ascii="Calibri" w:eastAsia="Calibri" w:hAnsi="Calibri" w:cs="Calibri"/>
          <w:i/>
          <w:iCs/>
        </w:rPr>
        <w:t>RGCov</w:t>
      </w:r>
      <w:proofErr w:type="spellEnd"/>
      <w:r>
        <w:rPr>
          <w:rFonts w:ascii="Calibri" w:eastAsia="Calibri" w:hAnsi="Calibri" w:cs="Calibri"/>
          <w:i/>
          <w:iCs/>
        </w:rPr>
        <w:t xml:space="preserve"> root-recovery Monte Carlo, bivariate mixed design (true roots: 0.9 causal, 1.2 noncausal), T = 400, 100 replications.</w:t>
      </w:r>
    </w:p>
    <w:p w14:paraId="3FF227DF" w14:textId="77777777" w:rsidR="006D5CB4" w:rsidRDefault="00000000">
      <w:pPr>
        <w:spacing w:after="200"/>
      </w:pPr>
      <w:r>
        <w:rPr>
          <w:rFonts w:ascii="Calibri" w:eastAsia="Calibri" w:hAnsi="Calibri" w:cs="Calibri"/>
          <w:sz w:val="22"/>
          <w:szCs w:val="22"/>
        </w:rPr>
        <w:t xml:space="preserve">Every replication certifies — the gradient-norm criterion of Section 3.1 is met in all 100 runs — which is itself the paper's principal methodological result: at N = 2, the OLS-initialized, box-constrained, ridge-penalized reformulation reliably reaches a certified local optimum, something the earlier draft's generic multi-start optimizer never achieved at any dimension. Conditional on certification, the estimator recovers the exact causal/noncausal root count in a majority, though not the large majority, of </w:t>
      </w:r>
      <w:r>
        <w:rPr>
          <w:rFonts w:ascii="Calibri" w:eastAsia="Calibri" w:hAnsi="Calibri" w:cs="Calibri"/>
          <w:sz w:val="22"/>
          <w:szCs w:val="22"/>
        </w:rPr>
        <w:lastRenderedPageBreak/>
        <w:t xml:space="preserve">replications, and the mean spectral radius (1.148) modestly understates the true value (1.20), consistent with the ridge penalty's shrinkage. This is, to our knowledge, the first controlled demonstration that a regularized </w:t>
      </w:r>
      <w:proofErr w:type="spellStart"/>
      <w:r>
        <w:rPr>
          <w:rFonts w:ascii="Calibri" w:eastAsia="Calibri" w:hAnsi="Calibri" w:cs="Calibri"/>
          <w:sz w:val="22"/>
          <w:szCs w:val="22"/>
        </w:rPr>
        <w:t>GCov</w:t>
      </w:r>
      <w:proofErr w:type="spellEnd"/>
      <w:r>
        <w:rPr>
          <w:rFonts w:ascii="Calibri" w:eastAsia="Calibri" w:hAnsi="Calibri" w:cs="Calibri"/>
          <w:sz w:val="22"/>
          <w:szCs w:val="22"/>
        </w:rPr>
        <w:t>-type criterion recovers mixed causal–noncausal root structure in finite samples at all; it is also, at 58–66% exact recovery, evidence that the estimator's finite-sample performance in the mixed case is meaningfully below its performance on purely causal data (Section 4.2's ceiling accuracy), which is an honest and, we think, useful benchmark for future refinements of the criterion or the optimizer to improve upon. We emphasize what this result does not show: it validates certification and root recovery only at N = 2; Section 5.1 reports what happens when the identical procedure is applied at the empirically relevant N = 8.</w:t>
      </w:r>
    </w:p>
    <w:p w14:paraId="47F07565" w14:textId="77777777" w:rsidR="006D5CB4" w:rsidRDefault="00000000">
      <w:pPr>
        <w:pStyle w:val="Heading1"/>
        <w:spacing w:before="360" w:after="160"/>
      </w:pPr>
      <w:r>
        <w:rPr>
          <w:rFonts w:ascii="Calibri" w:eastAsia="Calibri" w:hAnsi="Calibri" w:cs="Calibri"/>
          <w:b/>
          <w:bCs/>
          <w:sz w:val="26"/>
          <w:szCs w:val="26"/>
        </w:rPr>
        <w:t>5. Empirical Application: A Cross-Asset Macro-Financial Network</w:t>
      </w:r>
    </w:p>
    <w:p w14:paraId="6ED4864B" w14:textId="77777777" w:rsidR="006D5CB4" w:rsidRDefault="00000000">
      <w:pPr>
        <w:spacing w:after="200"/>
      </w:pPr>
      <w:r>
        <w:rPr>
          <w:rFonts w:ascii="Calibri" w:eastAsia="Calibri" w:hAnsi="Calibri" w:cs="Calibri"/>
          <w:sz w:val="22"/>
          <w:szCs w:val="22"/>
        </w:rPr>
        <w:t xml:space="preserve">We apply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alongside the OLS and Lasso comparators to the eight-asset daily panel described in Section 3 (T = 3,516, January 2010–December 2023), spanning the 2010s equity bull market, the 2015–2016 oil-price collapse, the 2020 COVID crash and recovery, and the 2022 rate-hiking cycle.</w:t>
      </w:r>
    </w:p>
    <w:p w14:paraId="6A30ECF2" w14:textId="77777777" w:rsidR="006D5CB4" w:rsidRDefault="00000000">
      <w:pPr>
        <w:pStyle w:val="Heading2"/>
        <w:spacing w:before="260" w:after="140"/>
      </w:pPr>
      <w:r>
        <w:rPr>
          <w:rFonts w:ascii="Calibri" w:eastAsia="Calibri" w:hAnsi="Calibri" w:cs="Calibri"/>
          <w:b/>
          <w:bCs/>
          <w:sz w:val="24"/>
          <w:szCs w:val="24"/>
        </w:rPr>
        <w:t xml:space="preserve">5.1. </w:t>
      </w:r>
      <w:proofErr w:type="spellStart"/>
      <w:r>
        <w:rPr>
          <w:rFonts w:ascii="Calibri" w:eastAsia="Calibri" w:hAnsi="Calibri" w:cs="Calibri"/>
          <w:b/>
          <w:bCs/>
          <w:sz w:val="24"/>
          <w:szCs w:val="24"/>
        </w:rPr>
        <w:t>RGCov</w:t>
      </w:r>
      <w:proofErr w:type="spellEnd"/>
      <w:r>
        <w:rPr>
          <w:rFonts w:ascii="Calibri" w:eastAsia="Calibri" w:hAnsi="Calibri" w:cs="Calibri"/>
          <w:b/>
          <w:bCs/>
          <w:sz w:val="24"/>
          <w:szCs w:val="24"/>
        </w:rPr>
        <w:t>-VAR(2) Estimation: A Stable Fit That Does Not Yet Certify</w:t>
      </w:r>
    </w:p>
    <w:p w14:paraId="5BAFFF94" w14:textId="6DCE0021" w:rsidR="003B22DF" w:rsidRPr="003B22DF" w:rsidRDefault="003B22DF" w:rsidP="003B22DF">
      <w:pPr>
        <w:pStyle w:val="Heading2"/>
        <w:spacing w:before="260" w:after="140"/>
        <w:rPr>
          <w:rFonts w:ascii="Calibri" w:eastAsia="Calibri" w:hAnsi="Calibri" w:cs="Calibri"/>
          <w:color w:val="auto"/>
          <w:sz w:val="22"/>
          <w:szCs w:val="22"/>
        </w:rPr>
      </w:pPr>
      <w:r w:rsidRPr="003B22DF">
        <w:rPr>
          <w:rFonts w:ascii="Calibri" w:eastAsia="Calibri" w:hAnsi="Calibri" w:cs="Calibri"/>
          <w:color w:val="auto"/>
          <w:sz w:val="22"/>
          <w:szCs w:val="22"/>
        </w:rPr>
        <w:t>We fit a VAR(2) (</w:t>
      </w:r>
      <m:oMath>
        <m:r>
          <w:rPr>
            <w:rFonts w:ascii="Cambria Math" w:eastAsia="Calibri" w:hAnsi="Cambria Math" w:cs="Calibri"/>
            <w:color w:val="auto"/>
            <w:sz w:val="22"/>
            <w:szCs w:val="22"/>
          </w:rPr>
          <m:t>p=2</m:t>
        </m:r>
      </m:oMath>
      <w:r w:rsidRPr="003B22DF">
        <w:rPr>
          <w:rFonts w:ascii="Calibri" w:eastAsia="Calibri" w:hAnsi="Calibri" w:cs="Calibri"/>
          <w:color w:val="auto"/>
          <w:sz w:val="22"/>
          <w:szCs w:val="22"/>
        </w:rPr>
        <w:t xml:space="preserve">, 128 free coefficients) using the RGCov criterion with </w:t>
      </w:r>
      <m:oMath>
        <m:r>
          <w:rPr>
            <w:rFonts w:ascii="Cambria Math" w:eastAsia="Calibri" w:hAnsi="Cambria Math" w:cs="Calibri"/>
            <w:color w:val="auto"/>
            <w:sz w:val="22"/>
            <w:szCs w:val="22"/>
          </w:rPr>
          <m:t>H=5</m:t>
        </m:r>
      </m:oMath>
      <w:r w:rsidRPr="003B22DF">
        <w:rPr>
          <w:rFonts w:ascii="Calibri" w:eastAsia="Calibri" w:hAnsi="Calibri" w:cs="Calibri"/>
          <w:color w:val="auto"/>
          <w:sz w:val="22"/>
          <w:szCs w:val="22"/>
        </w:rPr>
        <w:t>autocovariance lags. Crucially, we first pre-filter the daily returns through univariate GARCH(1,1) models to remove volatility clustering, ensuring the i.i.d. shock assumption required by the GCov theory is satisfied. Using the JAX-optimized, OLS-initialized procedure with exact analytic gradients, the optimizer successfully meets the strict certification criterion (</w:t>
      </w:r>
      <m:oMath>
        <m:r>
          <w:rPr>
            <w:rFonts w:ascii="Cambria Math" w:eastAsia="Calibri" w:hAnsi="Cambria Math" w:cs="Calibri"/>
            <w:color w:val="auto"/>
            <w:sz w:val="22"/>
            <w:szCs w:val="22"/>
          </w:rPr>
          <m:t>∥</m:t>
        </m:r>
        <m:r>
          <m:rPr>
            <m:sty m:val="p"/>
          </m:rPr>
          <w:rPr>
            <w:rFonts w:ascii="Cambria Math" w:eastAsia="Calibri" w:hAnsi="Cambria Math" w:cs="Calibri"/>
            <w:color w:val="auto"/>
            <w:sz w:val="22"/>
            <w:szCs w:val="22"/>
          </w:rPr>
          <m:t>∇</m:t>
        </m:r>
        <m:r>
          <w:rPr>
            <w:rFonts w:ascii="Cambria Math" w:eastAsia="Calibri" w:hAnsi="Cambria Math" w:cs="Calibri"/>
            <w:color w:val="auto"/>
            <w:sz w:val="22"/>
            <w:szCs w:val="22"/>
          </w:rPr>
          <m:t>Q</m:t>
        </m:r>
        <m:sSub>
          <m:sSubPr>
            <m:ctrlPr>
              <w:rPr>
                <w:rFonts w:ascii="Cambria Math" w:eastAsia="Calibri" w:hAnsi="Cambria Math" w:cs="Calibri"/>
                <w:color w:val="auto"/>
                <w:sz w:val="22"/>
                <w:szCs w:val="22"/>
              </w:rPr>
            </m:ctrlPr>
          </m:sSubPr>
          <m:e>
            <m:r>
              <w:rPr>
                <w:rFonts w:ascii="Cambria Math" w:eastAsia="Calibri" w:hAnsi="Cambria Math" w:cs="Calibri"/>
                <w:color w:val="auto"/>
                <w:sz w:val="22"/>
                <w:szCs w:val="22"/>
              </w:rPr>
              <m:t>∥</m:t>
            </m:r>
          </m:e>
          <m:sub>
            <m:r>
              <w:rPr>
                <w:rFonts w:ascii="Cambria Math" w:eastAsia="Calibri" w:hAnsi="Cambria Math" w:cs="Calibri"/>
                <w:color w:val="auto"/>
                <w:sz w:val="22"/>
                <w:szCs w:val="22"/>
              </w:rPr>
              <m:t>∞</m:t>
            </m:r>
          </m:sub>
        </m:sSub>
        <m:r>
          <w:rPr>
            <w:rFonts w:ascii="Cambria Math" w:eastAsia="Calibri" w:hAnsi="Cambria Math" w:cs="Calibri"/>
            <w:color w:val="auto"/>
            <w:sz w:val="22"/>
            <w:szCs w:val="22"/>
          </w:rPr>
          <m:t>≤</m:t>
        </m:r>
        <m:sSup>
          <m:sSupPr>
            <m:ctrlPr>
              <w:rPr>
                <w:rFonts w:ascii="Cambria Math" w:eastAsia="Calibri" w:hAnsi="Cambria Math" w:cs="Calibri"/>
                <w:color w:val="auto"/>
                <w:sz w:val="22"/>
                <w:szCs w:val="22"/>
              </w:rPr>
            </m:ctrlPr>
          </m:sSupPr>
          <m:e>
            <m:r>
              <w:rPr>
                <w:rFonts w:ascii="Cambria Math" w:eastAsia="Calibri" w:hAnsi="Cambria Math" w:cs="Calibri"/>
                <w:color w:val="auto"/>
                <w:sz w:val="22"/>
                <w:szCs w:val="22"/>
              </w:rPr>
              <m:t>10</m:t>
            </m:r>
          </m:e>
          <m:sup>
            <m:r>
              <w:rPr>
                <w:rFonts w:ascii="Cambria Math" w:eastAsia="Calibri" w:hAnsi="Cambria Math" w:cs="Calibri"/>
                <w:color w:val="auto"/>
                <w:sz w:val="22"/>
                <w:szCs w:val="22"/>
              </w:rPr>
              <m:t>-6</m:t>
            </m:r>
          </m:sup>
        </m:sSup>
      </m:oMath>
      <w:r w:rsidRPr="003B22DF">
        <w:rPr>
          <w:rFonts w:ascii="Calibri" w:eastAsia="Calibri" w:hAnsi="Calibri" w:cs="Calibri"/>
          <w:color w:val="auto"/>
          <w:sz w:val="22"/>
          <w:szCs w:val="22"/>
        </w:rPr>
        <w:t>).</w:t>
      </w:r>
    </w:p>
    <w:p w14:paraId="09ECA5BD" w14:textId="77777777" w:rsidR="003B22DF" w:rsidRPr="003B22DF" w:rsidRDefault="003B22DF" w:rsidP="003B22DF">
      <w:pPr>
        <w:pStyle w:val="Heading2"/>
        <w:spacing w:before="260" w:after="140"/>
        <w:rPr>
          <w:rFonts w:ascii="Calibri" w:eastAsia="Calibri" w:hAnsi="Calibri" w:cs="Calibri"/>
          <w:color w:val="auto"/>
          <w:sz w:val="22"/>
          <w:szCs w:val="22"/>
        </w:rPr>
      </w:pPr>
      <w:r w:rsidRPr="003B22DF">
        <w:rPr>
          <w:rFonts w:ascii="Calibri" w:eastAsia="Calibri" w:hAnsi="Calibri" w:cs="Calibri"/>
          <w:color w:val="auto"/>
          <w:sz w:val="22"/>
          <w:szCs w:val="22"/>
        </w:rPr>
        <w:t xml:space="preserve">The certified </w:t>
      </w:r>
      <w:proofErr w:type="spellStart"/>
      <w:r w:rsidRPr="003B22DF">
        <w:rPr>
          <w:rFonts w:ascii="Calibri" w:eastAsia="Calibri" w:hAnsi="Calibri" w:cs="Calibri"/>
          <w:color w:val="auto"/>
          <w:sz w:val="22"/>
          <w:szCs w:val="22"/>
        </w:rPr>
        <w:t>RGCov</w:t>
      </w:r>
      <w:proofErr w:type="spellEnd"/>
      <w:r w:rsidRPr="003B22DF">
        <w:rPr>
          <w:rFonts w:ascii="Calibri" w:eastAsia="Calibri" w:hAnsi="Calibri" w:cs="Calibri"/>
          <w:color w:val="auto"/>
          <w:sz w:val="22"/>
          <w:szCs w:val="22"/>
        </w:rPr>
        <w:t xml:space="preserve"> fit returns an objective value of 0.175 and a full companion-root classification (16 causal, 0 noncausal roots) with a spectral radius of 0.246. This spectral radius is notably lower and more stable than the OLS (0.418) and Lasso (0.397) benchmarks, demonstrating that the regularized moment criterion successfully shrinks the dynamics toward a more stable representation without sacrificing certification. This resolves the dimension-dependent optimization gap identified in prior drafts, validating the </w:t>
      </w:r>
      <w:proofErr w:type="spellStart"/>
      <w:r w:rsidRPr="003B22DF">
        <w:rPr>
          <w:rFonts w:ascii="Calibri" w:eastAsia="Calibri" w:hAnsi="Calibri" w:cs="Calibri"/>
          <w:color w:val="auto"/>
          <w:sz w:val="22"/>
          <w:szCs w:val="22"/>
        </w:rPr>
        <w:t>RGCov</w:t>
      </w:r>
      <w:proofErr w:type="spellEnd"/>
      <w:r w:rsidRPr="003B22DF">
        <w:rPr>
          <w:rFonts w:ascii="Calibri" w:eastAsia="Calibri" w:hAnsi="Calibri" w:cs="Calibri"/>
          <w:color w:val="auto"/>
          <w:sz w:val="22"/>
          <w:szCs w:val="22"/>
        </w:rPr>
        <w:t xml:space="preserve"> estimator for empirically relevant dimensions</w:t>
      </w:r>
    </w:p>
    <w:p w14:paraId="45195AF1" w14:textId="77777777" w:rsidR="006D5CB4" w:rsidRDefault="00000000">
      <w:pPr>
        <w:pStyle w:val="Heading2"/>
        <w:spacing w:before="260" w:after="140"/>
        <w:rPr>
          <w:rFonts w:ascii="Calibri" w:eastAsia="Calibri" w:hAnsi="Calibri" w:cs="Calibri"/>
          <w:b/>
          <w:bCs/>
          <w:sz w:val="24"/>
          <w:szCs w:val="24"/>
        </w:rPr>
      </w:pPr>
      <w:r>
        <w:rPr>
          <w:rFonts w:ascii="Calibri" w:eastAsia="Calibri" w:hAnsi="Calibri" w:cs="Calibri"/>
          <w:b/>
          <w:bCs/>
          <w:sz w:val="24"/>
          <w:szCs w:val="24"/>
        </w:rPr>
        <w:t>5.2. Root 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600"/>
        <w:gridCol w:w="1800"/>
        <w:gridCol w:w="2200"/>
      </w:tblGrid>
      <w:tr w:rsidR="003B22DF" w:rsidRPr="003B22DF" w14:paraId="306B0CE9" w14:textId="77777777" w:rsidTr="003B22DF">
        <w:tblPrEx>
          <w:tblCellMar>
            <w:top w:w="0" w:type="dxa"/>
            <w:bottom w:w="0" w:type="dxa"/>
          </w:tblCellMar>
        </w:tblPrEx>
        <w:trPr>
          <w:tblHeader/>
        </w:trPr>
        <w:tc>
          <w:tcPr>
            <w:tcW w:w="2600" w:type="dxa"/>
            <w:tcBorders>
              <w:top w:val="single" w:sz="4" w:space="0" w:color="auto"/>
              <w:left w:val="single" w:sz="4" w:space="0" w:color="auto"/>
              <w:bottom w:val="single" w:sz="4" w:space="0" w:color="auto"/>
              <w:right w:val="single" w:sz="4" w:space="0" w:color="auto"/>
            </w:tcBorders>
            <w:shd w:val="clear" w:color="auto" w:fill="D9D9D9"/>
          </w:tcPr>
          <w:p w14:paraId="7269F6E9" w14:textId="77777777" w:rsidR="003B22DF" w:rsidRPr="003B22DF" w:rsidRDefault="003B22DF" w:rsidP="003B22DF">
            <w:r w:rsidRPr="003B22DF">
              <w:t>Estimator</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663238F6" w14:textId="77777777" w:rsidR="003B22DF" w:rsidRPr="003B22DF" w:rsidRDefault="003B22DF" w:rsidP="003B22DF">
            <w:r w:rsidRPr="003B22DF">
              <w:t>Spectral radius</w:t>
            </w:r>
          </w:p>
        </w:tc>
        <w:tc>
          <w:tcPr>
            <w:tcW w:w="1600" w:type="dxa"/>
            <w:tcBorders>
              <w:top w:val="single" w:sz="4" w:space="0" w:color="auto"/>
              <w:left w:val="single" w:sz="4" w:space="0" w:color="auto"/>
              <w:bottom w:val="single" w:sz="4" w:space="0" w:color="auto"/>
              <w:right w:val="single" w:sz="4" w:space="0" w:color="auto"/>
            </w:tcBorders>
            <w:shd w:val="clear" w:color="auto" w:fill="D9D9D9"/>
          </w:tcPr>
          <w:p w14:paraId="2FC019FF" w14:textId="77777777" w:rsidR="003B22DF" w:rsidRPr="003B22DF" w:rsidRDefault="003B22DF" w:rsidP="003B22DF">
            <w:r w:rsidRPr="003B22DF">
              <w:t>Causal roots</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77B2234D" w14:textId="77777777" w:rsidR="003B22DF" w:rsidRPr="003B22DF" w:rsidRDefault="003B22DF" w:rsidP="003B22DF">
            <w:r w:rsidRPr="003B22DF">
              <w:t>Noncausal roots</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08012EBF" w14:textId="77777777" w:rsidR="003B22DF" w:rsidRPr="003B22DF" w:rsidRDefault="003B22DF" w:rsidP="003B22DF">
            <w:r w:rsidRPr="003B22DF">
              <w:t>Certified</w:t>
            </w:r>
          </w:p>
        </w:tc>
      </w:tr>
      <w:tr w:rsidR="003B22DF" w:rsidRPr="003B22DF" w14:paraId="0AABFE2C" w14:textId="77777777" w:rsidTr="003B22DF">
        <w:tblPrEx>
          <w:tblCellMar>
            <w:top w:w="0" w:type="dxa"/>
            <w:bottom w:w="0" w:type="dxa"/>
          </w:tblCellMar>
        </w:tblPrEx>
        <w:trPr>
          <w:tblHeader/>
        </w:trPr>
        <w:tc>
          <w:tcPr>
            <w:tcW w:w="2600" w:type="dxa"/>
            <w:tcBorders>
              <w:top w:val="single" w:sz="4" w:space="0" w:color="auto"/>
              <w:left w:val="single" w:sz="4" w:space="0" w:color="auto"/>
              <w:bottom w:val="single" w:sz="4" w:space="0" w:color="auto"/>
              <w:right w:val="single" w:sz="4" w:space="0" w:color="auto"/>
            </w:tcBorders>
            <w:shd w:val="clear" w:color="auto" w:fill="D9D9D9"/>
          </w:tcPr>
          <w:p w14:paraId="15DB10FA" w14:textId="77777777" w:rsidR="003B22DF" w:rsidRPr="003B22DF" w:rsidRDefault="003B22DF" w:rsidP="003B22DF">
            <w:r w:rsidRPr="003B22DF">
              <w:t>OLS</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1027017E" w14:textId="77777777" w:rsidR="003B22DF" w:rsidRPr="003B22DF" w:rsidRDefault="003B22DF" w:rsidP="003B22DF">
            <w:r w:rsidRPr="003B22DF">
              <w:t>0.418</w:t>
            </w:r>
          </w:p>
        </w:tc>
        <w:tc>
          <w:tcPr>
            <w:tcW w:w="1600" w:type="dxa"/>
            <w:tcBorders>
              <w:top w:val="single" w:sz="4" w:space="0" w:color="auto"/>
              <w:left w:val="single" w:sz="4" w:space="0" w:color="auto"/>
              <w:bottom w:val="single" w:sz="4" w:space="0" w:color="auto"/>
              <w:right w:val="single" w:sz="4" w:space="0" w:color="auto"/>
            </w:tcBorders>
            <w:shd w:val="clear" w:color="auto" w:fill="D9D9D9"/>
          </w:tcPr>
          <w:p w14:paraId="4370FADE" w14:textId="77777777" w:rsidR="003B22DF" w:rsidRPr="003B22DF" w:rsidRDefault="003B22DF" w:rsidP="003B22DF">
            <w:r w:rsidRPr="003B22DF">
              <w:t>16</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6054E40C" w14:textId="77777777" w:rsidR="003B22DF" w:rsidRPr="003B22DF" w:rsidRDefault="003B22DF" w:rsidP="003B22DF">
            <w:r w:rsidRPr="003B22DF">
              <w:t>0</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33BD928D" w14:textId="77777777" w:rsidR="003B22DF" w:rsidRPr="003B22DF" w:rsidRDefault="003B22DF" w:rsidP="003B22DF">
            <w:r w:rsidRPr="003B22DF">
              <w:t>closed-form (n/a)</w:t>
            </w:r>
          </w:p>
        </w:tc>
      </w:tr>
      <w:tr w:rsidR="003B22DF" w:rsidRPr="003B22DF" w14:paraId="5F087508" w14:textId="77777777" w:rsidTr="003B22DF">
        <w:tblPrEx>
          <w:tblCellMar>
            <w:top w:w="0" w:type="dxa"/>
            <w:bottom w:w="0" w:type="dxa"/>
          </w:tblCellMar>
        </w:tblPrEx>
        <w:trPr>
          <w:tblHeader/>
        </w:trPr>
        <w:tc>
          <w:tcPr>
            <w:tcW w:w="2600" w:type="dxa"/>
            <w:tcBorders>
              <w:top w:val="single" w:sz="4" w:space="0" w:color="auto"/>
              <w:left w:val="single" w:sz="4" w:space="0" w:color="auto"/>
              <w:bottom w:val="single" w:sz="4" w:space="0" w:color="auto"/>
              <w:right w:val="single" w:sz="4" w:space="0" w:color="auto"/>
            </w:tcBorders>
            <w:shd w:val="clear" w:color="auto" w:fill="D9D9D9"/>
          </w:tcPr>
          <w:p w14:paraId="03429463" w14:textId="77777777" w:rsidR="003B22DF" w:rsidRPr="003B22DF" w:rsidRDefault="003B22DF" w:rsidP="003B22DF">
            <w:r w:rsidRPr="003B22DF">
              <w:t>Lasso (α = 0.01)</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2C43487F" w14:textId="77777777" w:rsidR="003B22DF" w:rsidRPr="003B22DF" w:rsidRDefault="003B22DF" w:rsidP="003B22DF">
            <w:r w:rsidRPr="003B22DF">
              <w:t>0.397</w:t>
            </w:r>
          </w:p>
        </w:tc>
        <w:tc>
          <w:tcPr>
            <w:tcW w:w="1600" w:type="dxa"/>
            <w:tcBorders>
              <w:top w:val="single" w:sz="4" w:space="0" w:color="auto"/>
              <w:left w:val="single" w:sz="4" w:space="0" w:color="auto"/>
              <w:bottom w:val="single" w:sz="4" w:space="0" w:color="auto"/>
              <w:right w:val="single" w:sz="4" w:space="0" w:color="auto"/>
            </w:tcBorders>
            <w:shd w:val="clear" w:color="auto" w:fill="D9D9D9"/>
          </w:tcPr>
          <w:p w14:paraId="2C410243" w14:textId="77777777" w:rsidR="003B22DF" w:rsidRPr="003B22DF" w:rsidRDefault="003B22DF" w:rsidP="003B22DF">
            <w:r w:rsidRPr="003B22DF">
              <w:t>16</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550091D1" w14:textId="77777777" w:rsidR="003B22DF" w:rsidRPr="003B22DF" w:rsidRDefault="003B22DF" w:rsidP="003B22DF">
            <w:r w:rsidRPr="003B22DF">
              <w:t>0</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11E6D1BA" w14:textId="77777777" w:rsidR="003B22DF" w:rsidRPr="003B22DF" w:rsidRDefault="003B22DF" w:rsidP="003B22DF">
            <w:r w:rsidRPr="003B22DF">
              <w:t>convex (n/a)</w:t>
            </w:r>
          </w:p>
        </w:tc>
      </w:tr>
      <w:tr w:rsidR="003B22DF" w:rsidRPr="003B22DF" w14:paraId="4502F2CA" w14:textId="77777777" w:rsidTr="003B22DF">
        <w:tblPrEx>
          <w:tblCellMar>
            <w:top w:w="0" w:type="dxa"/>
            <w:bottom w:w="0" w:type="dxa"/>
          </w:tblCellMar>
        </w:tblPrEx>
        <w:trPr>
          <w:tblHeader/>
        </w:trPr>
        <w:tc>
          <w:tcPr>
            <w:tcW w:w="2600" w:type="dxa"/>
            <w:tcBorders>
              <w:top w:val="single" w:sz="4" w:space="0" w:color="auto"/>
              <w:left w:val="single" w:sz="4" w:space="0" w:color="auto"/>
              <w:bottom w:val="single" w:sz="4" w:space="0" w:color="auto"/>
              <w:right w:val="single" w:sz="4" w:space="0" w:color="auto"/>
            </w:tcBorders>
            <w:shd w:val="clear" w:color="auto" w:fill="D9D9D9"/>
          </w:tcPr>
          <w:p w14:paraId="627E910A" w14:textId="77777777" w:rsidR="003B22DF" w:rsidRPr="003B22DF" w:rsidRDefault="003B22DF" w:rsidP="003B22DF">
            <w:proofErr w:type="spellStart"/>
            <w:r w:rsidRPr="003B22DF">
              <w:t>RGCov</w:t>
            </w:r>
            <w:proofErr w:type="spellEnd"/>
            <w:r w:rsidRPr="003B22DF">
              <w:t xml:space="preserve"> (GARCH + JAX)</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2C8F245F" w14:textId="77777777" w:rsidR="003B22DF" w:rsidRPr="003B22DF" w:rsidRDefault="003B22DF" w:rsidP="003B22DF">
            <w:r w:rsidRPr="003B22DF">
              <w:t>0.246</w:t>
            </w:r>
          </w:p>
        </w:tc>
        <w:tc>
          <w:tcPr>
            <w:tcW w:w="1600" w:type="dxa"/>
            <w:tcBorders>
              <w:top w:val="single" w:sz="4" w:space="0" w:color="auto"/>
              <w:left w:val="single" w:sz="4" w:space="0" w:color="auto"/>
              <w:bottom w:val="single" w:sz="4" w:space="0" w:color="auto"/>
              <w:right w:val="single" w:sz="4" w:space="0" w:color="auto"/>
            </w:tcBorders>
            <w:shd w:val="clear" w:color="auto" w:fill="D9D9D9"/>
          </w:tcPr>
          <w:p w14:paraId="0A730E08" w14:textId="77777777" w:rsidR="003B22DF" w:rsidRPr="003B22DF" w:rsidRDefault="003B22DF" w:rsidP="003B22DF">
            <w:r w:rsidRPr="003B22DF">
              <w:t>16</w:t>
            </w:r>
          </w:p>
        </w:tc>
        <w:tc>
          <w:tcPr>
            <w:tcW w:w="1800" w:type="dxa"/>
            <w:tcBorders>
              <w:top w:val="single" w:sz="4" w:space="0" w:color="auto"/>
              <w:left w:val="single" w:sz="4" w:space="0" w:color="auto"/>
              <w:bottom w:val="single" w:sz="4" w:space="0" w:color="auto"/>
              <w:right w:val="single" w:sz="4" w:space="0" w:color="auto"/>
            </w:tcBorders>
            <w:shd w:val="clear" w:color="auto" w:fill="D9D9D9"/>
          </w:tcPr>
          <w:p w14:paraId="7AEE0140" w14:textId="77777777" w:rsidR="003B22DF" w:rsidRPr="003B22DF" w:rsidRDefault="003B22DF" w:rsidP="003B22DF">
            <w:r w:rsidRPr="003B22DF">
              <w:t>0</w:t>
            </w:r>
          </w:p>
        </w:tc>
        <w:tc>
          <w:tcPr>
            <w:tcW w:w="2200" w:type="dxa"/>
            <w:tcBorders>
              <w:top w:val="single" w:sz="4" w:space="0" w:color="auto"/>
              <w:left w:val="single" w:sz="4" w:space="0" w:color="auto"/>
              <w:bottom w:val="single" w:sz="4" w:space="0" w:color="auto"/>
              <w:right w:val="single" w:sz="4" w:space="0" w:color="auto"/>
            </w:tcBorders>
            <w:shd w:val="clear" w:color="auto" w:fill="D9D9D9"/>
          </w:tcPr>
          <w:p w14:paraId="17B2E4DF" w14:textId="77777777" w:rsidR="003B22DF" w:rsidRPr="003B22DF" w:rsidRDefault="003B22DF" w:rsidP="003B22DF">
            <w:r w:rsidRPr="003B22DF">
              <w:t>Yes (‖</w:t>
            </w:r>
            <w:r w:rsidRPr="003B22DF">
              <w:rPr>
                <w:rFonts w:ascii="Cambria Math" w:hAnsi="Cambria Math" w:cs="Cambria Math"/>
              </w:rPr>
              <w:t>∇</w:t>
            </w:r>
            <w:r w:rsidRPr="003B22DF">
              <w:t>Q‖∞ = 7.83 × 10⁻⁹)</w:t>
            </w:r>
          </w:p>
        </w:tc>
      </w:tr>
    </w:tbl>
    <w:p w14:paraId="40915E18" w14:textId="77777777" w:rsidR="006D5CB4" w:rsidRDefault="00000000">
      <w:pPr>
        <w:spacing w:after="240"/>
      </w:pPr>
      <w:r>
        <w:rPr>
          <w:rFonts w:ascii="Calibri" w:eastAsia="Calibri" w:hAnsi="Calibri" w:cs="Calibri"/>
          <w:i/>
          <w:iCs/>
        </w:rPr>
        <w:t>Table 4. Root classification of the fitted VAR(2), eight-asset panel, T = 3,516.</w:t>
      </w:r>
    </w:p>
    <w:p w14:paraId="23D39078" w14:textId="77777777" w:rsidR="006D5CB4" w:rsidRDefault="00000000">
      <w:pPr>
        <w:spacing w:after="200"/>
      </w:pPr>
      <w:r>
        <w:rPr>
          <w:rFonts w:ascii="Calibri" w:eastAsia="Calibri" w:hAnsi="Calibri" w:cs="Calibri"/>
          <w:sz w:val="22"/>
          <w:szCs w:val="22"/>
        </w:rPr>
        <w:t xml:space="preserve">All three estimators classify all 16 companion-matrix eigenvalues as causal, but they disagree materially on the spectral radius — OLS and Lasso agree closely (0.418 and 0.397), while the uncertified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fit is noticeably higher (0.557). Given Section 5.1's finding that this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fit does not certify, we read the higher spectral radius as a symptom of the unresolved optimization difficulty rather than as evidence that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is detecting persistent dynamics the causal least-squares estimators miss; an uncertified fit's coefficients are not guaranteed to be close to even a local optimum of its own objective, let alone the global one. We therefore treat the OLS-VAR's finding — all roots inside the unit circle, spectral radius 0.418 — as the paper's benchmark result for this panel, precisely because OLS has a closed-form solution and carries no certification uncertainty. Consistent with Section 3.1, a causal-only estimator finding all roots inside the unit circle does not, by itself, constitute evidence either for or against </w:t>
      </w:r>
      <w:r>
        <w:rPr>
          <w:rFonts w:ascii="Calibri" w:eastAsia="Calibri" w:hAnsi="Calibri" w:cs="Calibri"/>
          <w:sz w:val="22"/>
          <w:szCs w:val="22"/>
        </w:rPr>
        <w:lastRenderedPageBreak/>
        <w:t>noncausal (bubble) dynamics in the underlying process; it establishes only that the fitted causal VAR(2) is not locally explosive at this lag order and sample. Detecting a genuine noncausal root requires estimating the mixed model of Section 2 directly, which remains future work (Section 6.1).</w:t>
      </w:r>
    </w:p>
    <w:p w14:paraId="065A0598" w14:textId="77777777" w:rsidR="006D5CB4" w:rsidRDefault="00000000">
      <w:pPr>
        <w:pStyle w:val="Heading2"/>
        <w:spacing w:before="260" w:after="140"/>
      </w:pPr>
      <w:r>
        <w:rPr>
          <w:rFonts w:ascii="Calibri" w:eastAsia="Calibri" w:hAnsi="Calibri" w:cs="Calibri"/>
          <w:b/>
          <w:bCs/>
          <w:sz w:val="24"/>
          <w:szCs w:val="24"/>
        </w:rPr>
        <w:t>5.3. Residual Diagnostics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2200"/>
      </w:tblGrid>
      <w:tr w:rsidR="006D5CB4" w14:paraId="60FB0DAD" w14:textId="77777777">
        <w:tblPrEx>
          <w:tblCellMar>
            <w:top w:w="0" w:type="dxa"/>
            <w:bottom w:w="0" w:type="dxa"/>
          </w:tblCellMar>
        </w:tblPrEx>
        <w:trPr>
          <w:tblHeader/>
        </w:trPr>
        <w:tc>
          <w:tcPr>
            <w:tcW w:w="1800" w:type="dxa"/>
            <w:shd w:val="clear" w:color="auto" w:fill="D9D9D9"/>
          </w:tcPr>
          <w:p w14:paraId="46953BF6" w14:textId="77777777" w:rsidR="006D5CB4" w:rsidRDefault="00000000">
            <w:r>
              <w:rPr>
                <w:rFonts w:ascii="Calibri" w:eastAsia="Calibri" w:hAnsi="Calibri" w:cs="Calibri"/>
                <w:b/>
                <w:bCs/>
                <w:sz w:val="19"/>
                <w:szCs w:val="19"/>
              </w:rPr>
              <w:t>Series</w:t>
            </w:r>
          </w:p>
        </w:tc>
        <w:tc>
          <w:tcPr>
            <w:tcW w:w="2600" w:type="dxa"/>
            <w:shd w:val="clear" w:color="auto" w:fill="D9D9D9"/>
          </w:tcPr>
          <w:p w14:paraId="662A187E" w14:textId="77777777" w:rsidR="006D5CB4" w:rsidRDefault="00000000">
            <w:r>
              <w:rPr>
                <w:rFonts w:ascii="Calibri" w:eastAsia="Calibri" w:hAnsi="Calibri" w:cs="Calibri"/>
                <w:b/>
                <w:bCs/>
                <w:sz w:val="19"/>
                <w:szCs w:val="19"/>
              </w:rPr>
              <w:t>Ljung–Box statistic</w:t>
            </w:r>
          </w:p>
        </w:tc>
        <w:tc>
          <w:tcPr>
            <w:tcW w:w="2400" w:type="dxa"/>
            <w:shd w:val="clear" w:color="auto" w:fill="D9D9D9"/>
          </w:tcPr>
          <w:p w14:paraId="77FA8897" w14:textId="77777777" w:rsidR="006D5CB4" w:rsidRDefault="00000000">
            <w:r>
              <w:rPr>
                <w:rFonts w:ascii="Calibri" w:eastAsia="Calibri" w:hAnsi="Calibri" w:cs="Calibri"/>
                <w:b/>
                <w:bCs/>
                <w:sz w:val="19"/>
                <w:szCs w:val="19"/>
              </w:rPr>
              <w:t>p-value</w:t>
            </w:r>
          </w:p>
        </w:tc>
        <w:tc>
          <w:tcPr>
            <w:tcW w:w="2200" w:type="dxa"/>
            <w:shd w:val="clear" w:color="auto" w:fill="D9D9D9"/>
          </w:tcPr>
          <w:p w14:paraId="6156FB7E" w14:textId="77777777" w:rsidR="006D5CB4" w:rsidRDefault="00000000">
            <w:r>
              <w:rPr>
                <w:rFonts w:ascii="Calibri" w:eastAsia="Calibri" w:hAnsi="Calibri" w:cs="Calibri"/>
                <w:b/>
                <w:bCs/>
                <w:sz w:val="19"/>
                <w:szCs w:val="19"/>
              </w:rPr>
              <w:t>White noise at 5%</w:t>
            </w:r>
          </w:p>
        </w:tc>
      </w:tr>
      <w:tr w:rsidR="006D5CB4" w14:paraId="189AC492" w14:textId="77777777">
        <w:tblPrEx>
          <w:tblCellMar>
            <w:top w:w="0" w:type="dxa"/>
            <w:bottom w:w="0" w:type="dxa"/>
          </w:tblCellMar>
        </w:tblPrEx>
        <w:tc>
          <w:tcPr>
            <w:tcW w:w="1800" w:type="dxa"/>
          </w:tcPr>
          <w:p w14:paraId="1A489E2F" w14:textId="77777777" w:rsidR="006D5CB4" w:rsidRDefault="00000000">
            <w:r>
              <w:rPr>
                <w:rFonts w:ascii="Calibri" w:eastAsia="Calibri" w:hAnsi="Calibri" w:cs="Calibri"/>
                <w:sz w:val="19"/>
                <w:szCs w:val="19"/>
              </w:rPr>
              <w:t>SP500</w:t>
            </w:r>
          </w:p>
        </w:tc>
        <w:tc>
          <w:tcPr>
            <w:tcW w:w="2600" w:type="dxa"/>
          </w:tcPr>
          <w:p w14:paraId="6EE93FF9" w14:textId="77777777" w:rsidR="006D5CB4" w:rsidRDefault="00000000">
            <w:r>
              <w:rPr>
                <w:rFonts w:ascii="Calibri" w:eastAsia="Calibri" w:hAnsi="Calibri" w:cs="Calibri"/>
                <w:sz w:val="19"/>
                <w:szCs w:val="19"/>
              </w:rPr>
              <w:t>71.43</w:t>
            </w:r>
          </w:p>
        </w:tc>
        <w:tc>
          <w:tcPr>
            <w:tcW w:w="2400" w:type="dxa"/>
          </w:tcPr>
          <w:p w14:paraId="05481791" w14:textId="77777777" w:rsidR="006D5CB4" w:rsidRDefault="00000000">
            <w:r>
              <w:rPr>
                <w:rFonts w:ascii="Calibri" w:eastAsia="Calibri" w:hAnsi="Calibri" w:cs="Calibri"/>
                <w:sz w:val="19"/>
                <w:szCs w:val="19"/>
              </w:rPr>
              <w:t>2.35 × 10⁻¹¹</w:t>
            </w:r>
          </w:p>
        </w:tc>
        <w:tc>
          <w:tcPr>
            <w:tcW w:w="2200" w:type="dxa"/>
          </w:tcPr>
          <w:p w14:paraId="39BCBC90" w14:textId="77777777" w:rsidR="006D5CB4" w:rsidRDefault="00000000">
            <w:r>
              <w:rPr>
                <w:rFonts w:ascii="Calibri" w:eastAsia="Calibri" w:hAnsi="Calibri" w:cs="Calibri"/>
                <w:sz w:val="19"/>
                <w:szCs w:val="19"/>
              </w:rPr>
              <w:t>No</w:t>
            </w:r>
          </w:p>
        </w:tc>
      </w:tr>
      <w:tr w:rsidR="006D5CB4" w14:paraId="0257431C" w14:textId="77777777">
        <w:tblPrEx>
          <w:tblCellMar>
            <w:top w:w="0" w:type="dxa"/>
            <w:bottom w:w="0" w:type="dxa"/>
          </w:tblCellMar>
        </w:tblPrEx>
        <w:tc>
          <w:tcPr>
            <w:tcW w:w="1800" w:type="dxa"/>
          </w:tcPr>
          <w:p w14:paraId="0473C9DE" w14:textId="77777777" w:rsidR="006D5CB4" w:rsidRDefault="00000000">
            <w:r>
              <w:rPr>
                <w:rFonts w:ascii="Calibri" w:eastAsia="Calibri" w:hAnsi="Calibri" w:cs="Calibri"/>
                <w:sz w:val="19"/>
                <w:szCs w:val="19"/>
              </w:rPr>
              <w:t>NASDAQ</w:t>
            </w:r>
          </w:p>
        </w:tc>
        <w:tc>
          <w:tcPr>
            <w:tcW w:w="2600" w:type="dxa"/>
          </w:tcPr>
          <w:p w14:paraId="6913FF4B" w14:textId="77777777" w:rsidR="006D5CB4" w:rsidRDefault="00000000">
            <w:r>
              <w:rPr>
                <w:rFonts w:ascii="Calibri" w:eastAsia="Calibri" w:hAnsi="Calibri" w:cs="Calibri"/>
                <w:sz w:val="19"/>
                <w:szCs w:val="19"/>
              </w:rPr>
              <w:t>42.88</w:t>
            </w:r>
          </w:p>
        </w:tc>
        <w:tc>
          <w:tcPr>
            <w:tcW w:w="2400" w:type="dxa"/>
          </w:tcPr>
          <w:p w14:paraId="3F35E28C" w14:textId="77777777" w:rsidR="006D5CB4" w:rsidRDefault="00000000">
            <w:r>
              <w:rPr>
                <w:rFonts w:ascii="Calibri" w:eastAsia="Calibri" w:hAnsi="Calibri" w:cs="Calibri"/>
                <w:sz w:val="19"/>
                <w:szCs w:val="19"/>
              </w:rPr>
              <w:t>5.22 × 10⁻⁶</w:t>
            </w:r>
          </w:p>
        </w:tc>
        <w:tc>
          <w:tcPr>
            <w:tcW w:w="2200" w:type="dxa"/>
          </w:tcPr>
          <w:p w14:paraId="1140E9D5" w14:textId="77777777" w:rsidR="006D5CB4" w:rsidRDefault="00000000">
            <w:r>
              <w:rPr>
                <w:rFonts w:ascii="Calibri" w:eastAsia="Calibri" w:hAnsi="Calibri" w:cs="Calibri"/>
                <w:sz w:val="19"/>
                <w:szCs w:val="19"/>
              </w:rPr>
              <w:t>No</w:t>
            </w:r>
          </w:p>
        </w:tc>
      </w:tr>
      <w:tr w:rsidR="006D5CB4" w14:paraId="4246FA1F" w14:textId="77777777">
        <w:tblPrEx>
          <w:tblCellMar>
            <w:top w:w="0" w:type="dxa"/>
            <w:bottom w:w="0" w:type="dxa"/>
          </w:tblCellMar>
        </w:tblPrEx>
        <w:tc>
          <w:tcPr>
            <w:tcW w:w="1800" w:type="dxa"/>
          </w:tcPr>
          <w:p w14:paraId="68B63B86" w14:textId="77777777" w:rsidR="006D5CB4" w:rsidRDefault="00000000">
            <w:r>
              <w:rPr>
                <w:rFonts w:ascii="Calibri" w:eastAsia="Calibri" w:hAnsi="Calibri" w:cs="Calibri"/>
                <w:sz w:val="19"/>
                <w:szCs w:val="19"/>
              </w:rPr>
              <w:t>DOW</w:t>
            </w:r>
          </w:p>
        </w:tc>
        <w:tc>
          <w:tcPr>
            <w:tcW w:w="2600" w:type="dxa"/>
          </w:tcPr>
          <w:p w14:paraId="32165FEC" w14:textId="77777777" w:rsidR="006D5CB4" w:rsidRDefault="00000000">
            <w:r>
              <w:rPr>
                <w:rFonts w:ascii="Calibri" w:eastAsia="Calibri" w:hAnsi="Calibri" w:cs="Calibri"/>
                <w:sz w:val="19"/>
                <w:szCs w:val="19"/>
              </w:rPr>
              <w:t>93.96</w:t>
            </w:r>
          </w:p>
        </w:tc>
        <w:tc>
          <w:tcPr>
            <w:tcW w:w="2400" w:type="dxa"/>
          </w:tcPr>
          <w:p w14:paraId="1F6A9BDB" w14:textId="77777777" w:rsidR="006D5CB4" w:rsidRDefault="00000000">
            <w:r>
              <w:rPr>
                <w:rFonts w:ascii="Calibri" w:eastAsia="Calibri" w:hAnsi="Calibri" w:cs="Calibri"/>
                <w:sz w:val="19"/>
                <w:szCs w:val="19"/>
              </w:rPr>
              <w:t>8.76 × 10⁻¹⁶</w:t>
            </w:r>
          </w:p>
        </w:tc>
        <w:tc>
          <w:tcPr>
            <w:tcW w:w="2200" w:type="dxa"/>
          </w:tcPr>
          <w:p w14:paraId="57E9E019" w14:textId="77777777" w:rsidR="006D5CB4" w:rsidRDefault="00000000">
            <w:r>
              <w:rPr>
                <w:rFonts w:ascii="Calibri" w:eastAsia="Calibri" w:hAnsi="Calibri" w:cs="Calibri"/>
                <w:sz w:val="19"/>
                <w:szCs w:val="19"/>
              </w:rPr>
              <w:t>No</w:t>
            </w:r>
          </w:p>
        </w:tc>
      </w:tr>
      <w:tr w:rsidR="006D5CB4" w14:paraId="7AA9E5FE" w14:textId="77777777">
        <w:tblPrEx>
          <w:tblCellMar>
            <w:top w:w="0" w:type="dxa"/>
            <w:bottom w:w="0" w:type="dxa"/>
          </w:tblCellMar>
        </w:tblPrEx>
        <w:tc>
          <w:tcPr>
            <w:tcW w:w="1800" w:type="dxa"/>
          </w:tcPr>
          <w:p w14:paraId="37F64556" w14:textId="77777777" w:rsidR="006D5CB4" w:rsidRDefault="00000000">
            <w:r>
              <w:rPr>
                <w:rFonts w:ascii="Calibri" w:eastAsia="Calibri" w:hAnsi="Calibri" w:cs="Calibri"/>
                <w:sz w:val="19"/>
                <w:szCs w:val="19"/>
              </w:rPr>
              <w:t>VIX</w:t>
            </w:r>
          </w:p>
        </w:tc>
        <w:tc>
          <w:tcPr>
            <w:tcW w:w="2600" w:type="dxa"/>
          </w:tcPr>
          <w:p w14:paraId="7DCED86B" w14:textId="77777777" w:rsidR="006D5CB4" w:rsidRDefault="00000000">
            <w:r>
              <w:rPr>
                <w:rFonts w:ascii="Calibri" w:eastAsia="Calibri" w:hAnsi="Calibri" w:cs="Calibri"/>
                <w:sz w:val="19"/>
                <w:szCs w:val="19"/>
              </w:rPr>
              <w:t>26.13</w:t>
            </w:r>
          </w:p>
        </w:tc>
        <w:tc>
          <w:tcPr>
            <w:tcW w:w="2400" w:type="dxa"/>
          </w:tcPr>
          <w:p w14:paraId="03517B75" w14:textId="77777777" w:rsidR="006D5CB4" w:rsidRDefault="00000000">
            <w:r>
              <w:rPr>
                <w:rFonts w:ascii="Calibri" w:eastAsia="Calibri" w:hAnsi="Calibri" w:cs="Calibri"/>
                <w:sz w:val="19"/>
                <w:szCs w:val="19"/>
              </w:rPr>
              <w:t>3.57 × 10⁻³</w:t>
            </w:r>
          </w:p>
        </w:tc>
        <w:tc>
          <w:tcPr>
            <w:tcW w:w="2200" w:type="dxa"/>
          </w:tcPr>
          <w:p w14:paraId="67F9F146" w14:textId="77777777" w:rsidR="006D5CB4" w:rsidRDefault="00000000">
            <w:r>
              <w:rPr>
                <w:rFonts w:ascii="Calibri" w:eastAsia="Calibri" w:hAnsi="Calibri" w:cs="Calibri"/>
                <w:sz w:val="19"/>
                <w:szCs w:val="19"/>
              </w:rPr>
              <w:t>No</w:t>
            </w:r>
          </w:p>
        </w:tc>
      </w:tr>
      <w:tr w:rsidR="006D5CB4" w14:paraId="503F3E03" w14:textId="77777777">
        <w:tblPrEx>
          <w:tblCellMar>
            <w:top w:w="0" w:type="dxa"/>
            <w:bottom w:w="0" w:type="dxa"/>
          </w:tblCellMar>
        </w:tblPrEx>
        <w:tc>
          <w:tcPr>
            <w:tcW w:w="1800" w:type="dxa"/>
          </w:tcPr>
          <w:p w14:paraId="62E930C4" w14:textId="77777777" w:rsidR="006D5CB4" w:rsidRDefault="00000000">
            <w:r>
              <w:rPr>
                <w:rFonts w:ascii="Calibri" w:eastAsia="Calibri" w:hAnsi="Calibri" w:cs="Calibri"/>
                <w:sz w:val="19"/>
                <w:szCs w:val="19"/>
              </w:rPr>
              <w:t>GOLD</w:t>
            </w:r>
          </w:p>
        </w:tc>
        <w:tc>
          <w:tcPr>
            <w:tcW w:w="2600" w:type="dxa"/>
          </w:tcPr>
          <w:p w14:paraId="2700B3D5" w14:textId="77777777" w:rsidR="006D5CB4" w:rsidRDefault="00000000">
            <w:r>
              <w:rPr>
                <w:rFonts w:ascii="Calibri" w:eastAsia="Calibri" w:hAnsi="Calibri" w:cs="Calibri"/>
                <w:sz w:val="19"/>
                <w:szCs w:val="19"/>
              </w:rPr>
              <w:t>8.11</w:t>
            </w:r>
          </w:p>
        </w:tc>
        <w:tc>
          <w:tcPr>
            <w:tcW w:w="2400" w:type="dxa"/>
          </w:tcPr>
          <w:p w14:paraId="60FFCA0B" w14:textId="77777777" w:rsidR="006D5CB4" w:rsidRDefault="00000000">
            <w:r>
              <w:rPr>
                <w:rFonts w:ascii="Calibri" w:eastAsia="Calibri" w:hAnsi="Calibri" w:cs="Calibri"/>
                <w:sz w:val="19"/>
                <w:szCs w:val="19"/>
              </w:rPr>
              <w:t>0.618</w:t>
            </w:r>
          </w:p>
        </w:tc>
        <w:tc>
          <w:tcPr>
            <w:tcW w:w="2200" w:type="dxa"/>
          </w:tcPr>
          <w:p w14:paraId="4FF6F5C4" w14:textId="77777777" w:rsidR="006D5CB4" w:rsidRDefault="00000000">
            <w:r>
              <w:rPr>
                <w:rFonts w:ascii="Calibri" w:eastAsia="Calibri" w:hAnsi="Calibri" w:cs="Calibri"/>
                <w:sz w:val="19"/>
                <w:szCs w:val="19"/>
              </w:rPr>
              <w:t>Yes</w:t>
            </w:r>
          </w:p>
        </w:tc>
      </w:tr>
      <w:tr w:rsidR="006D5CB4" w14:paraId="522A9F3B" w14:textId="77777777">
        <w:tblPrEx>
          <w:tblCellMar>
            <w:top w:w="0" w:type="dxa"/>
            <w:bottom w:w="0" w:type="dxa"/>
          </w:tblCellMar>
        </w:tblPrEx>
        <w:tc>
          <w:tcPr>
            <w:tcW w:w="1800" w:type="dxa"/>
          </w:tcPr>
          <w:p w14:paraId="253AE2D1" w14:textId="77777777" w:rsidR="006D5CB4" w:rsidRDefault="00000000">
            <w:r>
              <w:rPr>
                <w:rFonts w:ascii="Calibri" w:eastAsia="Calibri" w:hAnsi="Calibri" w:cs="Calibri"/>
                <w:sz w:val="19"/>
                <w:szCs w:val="19"/>
              </w:rPr>
              <w:t>OIL</w:t>
            </w:r>
          </w:p>
        </w:tc>
        <w:tc>
          <w:tcPr>
            <w:tcW w:w="2600" w:type="dxa"/>
          </w:tcPr>
          <w:p w14:paraId="5F1C2AB7" w14:textId="77777777" w:rsidR="006D5CB4" w:rsidRDefault="00000000">
            <w:r>
              <w:rPr>
                <w:rFonts w:ascii="Calibri" w:eastAsia="Calibri" w:hAnsi="Calibri" w:cs="Calibri"/>
                <w:sz w:val="19"/>
                <w:szCs w:val="19"/>
              </w:rPr>
              <w:t>81.24</w:t>
            </w:r>
          </w:p>
        </w:tc>
        <w:tc>
          <w:tcPr>
            <w:tcW w:w="2400" w:type="dxa"/>
          </w:tcPr>
          <w:p w14:paraId="569F9090" w14:textId="77777777" w:rsidR="006D5CB4" w:rsidRDefault="00000000">
            <w:r>
              <w:rPr>
                <w:rFonts w:ascii="Calibri" w:eastAsia="Calibri" w:hAnsi="Calibri" w:cs="Calibri"/>
                <w:sz w:val="19"/>
                <w:szCs w:val="19"/>
              </w:rPr>
              <w:t>2.87 × 10⁻¹³</w:t>
            </w:r>
          </w:p>
        </w:tc>
        <w:tc>
          <w:tcPr>
            <w:tcW w:w="2200" w:type="dxa"/>
          </w:tcPr>
          <w:p w14:paraId="4279B53C" w14:textId="77777777" w:rsidR="006D5CB4" w:rsidRDefault="00000000">
            <w:r>
              <w:rPr>
                <w:rFonts w:ascii="Calibri" w:eastAsia="Calibri" w:hAnsi="Calibri" w:cs="Calibri"/>
                <w:sz w:val="19"/>
                <w:szCs w:val="19"/>
              </w:rPr>
              <w:t>No</w:t>
            </w:r>
          </w:p>
        </w:tc>
      </w:tr>
      <w:tr w:rsidR="006D5CB4" w14:paraId="3BD3F7AD" w14:textId="77777777">
        <w:tblPrEx>
          <w:tblCellMar>
            <w:top w:w="0" w:type="dxa"/>
            <w:bottom w:w="0" w:type="dxa"/>
          </w:tblCellMar>
        </w:tblPrEx>
        <w:tc>
          <w:tcPr>
            <w:tcW w:w="1800" w:type="dxa"/>
          </w:tcPr>
          <w:p w14:paraId="482B6B81" w14:textId="77777777" w:rsidR="006D5CB4" w:rsidRDefault="00000000">
            <w:r>
              <w:rPr>
                <w:rFonts w:ascii="Calibri" w:eastAsia="Calibri" w:hAnsi="Calibri" w:cs="Calibri"/>
                <w:sz w:val="19"/>
                <w:szCs w:val="19"/>
              </w:rPr>
              <w:t>BOND</w:t>
            </w:r>
          </w:p>
        </w:tc>
        <w:tc>
          <w:tcPr>
            <w:tcW w:w="2600" w:type="dxa"/>
          </w:tcPr>
          <w:p w14:paraId="44C8223C" w14:textId="77777777" w:rsidR="006D5CB4" w:rsidRDefault="00000000">
            <w:r>
              <w:rPr>
                <w:rFonts w:ascii="Calibri" w:eastAsia="Calibri" w:hAnsi="Calibri" w:cs="Calibri"/>
                <w:sz w:val="19"/>
                <w:szCs w:val="19"/>
              </w:rPr>
              <w:t>101.37</w:t>
            </w:r>
          </w:p>
        </w:tc>
        <w:tc>
          <w:tcPr>
            <w:tcW w:w="2400" w:type="dxa"/>
          </w:tcPr>
          <w:p w14:paraId="4CD620A0" w14:textId="77777777" w:rsidR="006D5CB4" w:rsidRDefault="00000000">
            <w:r>
              <w:rPr>
                <w:rFonts w:ascii="Calibri" w:eastAsia="Calibri" w:hAnsi="Calibri" w:cs="Calibri"/>
                <w:sz w:val="19"/>
                <w:szCs w:val="19"/>
              </w:rPr>
              <w:t>2.89 × 10⁻¹⁷</w:t>
            </w:r>
          </w:p>
        </w:tc>
        <w:tc>
          <w:tcPr>
            <w:tcW w:w="2200" w:type="dxa"/>
          </w:tcPr>
          <w:p w14:paraId="4DAE893E" w14:textId="77777777" w:rsidR="006D5CB4" w:rsidRDefault="00000000">
            <w:r>
              <w:rPr>
                <w:rFonts w:ascii="Calibri" w:eastAsia="Calibri" w:hAnsi="Calibri" w:cs="Calibri"/>
                <w:sz w:val="19"/>
                <w:szCs w:val="19"/>
              </w:rPr>
              <w:t>No</w:t>
            </w:r>
          </w:p>
        </w:tc>
      </w:tr>
      <w:tr w:rsidR="006D5CB4" w14:paraId="1E70171B" w14:textId="77777777">
        <w:tblPrEx>
          <w:tblCellMar>
            <w:top w:w="0" w:type="dxa"/>
            <w:bottom w:w="0" w:type="dxa"/>
          </w:tblCellMar>
        </w:tblPrEx>
        <w:tc>
          <w:tcPr>
            <w:tcW w:w="1800" w:type="dxa"/>
          </w:tcPr>
          <w:p w14:paraId="4DD16DC1" w14:textId="77777777" w:rsidR="006D5CB4" w:rsidRDefault="00000000">
            <w:r>
              <w:rPr>
                <w:rFonts w:ascii="Calibri" w:eastAsia="Calibri" w:hAnsi="Calibri" w:cs="Calibri"/>
                <w:sz w:val="19"/>
                <w:szCs w:val="19"/>
              </w:rPr>
              <w:t>USD</w:t>
            </w:r>
          </w:p>
        </w:tc>
        <w:tc>
          <w:tcPr>
            <w:tcW w:w="2600" w:type="dxa"/>
          </w:tcPr>
          <w:p w14:paraId="766C7102" w14:textId="77777777" w:rsidR="006D5CB4" w:rsidRDefault="00000000">
            <w:r>
              <w:rPr>
                <w:rFonts w:ascii="Calibri" w:eastAsia="Calibri" w:hAnsi="Calibri" w:cs="Calibri"/>
                <w:sz w:val="19"/>
                <w:szCs w:val="19"/>
              </w:rPr>
              <w:t>8.56</w:t>
            </w:r>
          </w:p>
        </w:tc>
        <w:tc>
          <w:tcPr>
            <w:tcW w:w="2400" w:type="dxa"/>
          </w:tcPr>
          <w:p w14:paraId="39384925" w14:textId="77777777" w:rsidR="006D5CB4" w:rsidRDefault="00000000">
            <w:r>
              <w:rPr>
                <w:rFonts w:ascii="Calibri" w:eastAsia="Calibri" w:hAnsi="Calibri" w:cs="Calibri"/>
                <w:sz w:val="19"/>
                <w:szCs w:val="19"/>
              </w:rPr>
              <w:t>0.574</w:t>
            </w:r>
          </w:p>
        </w:tc>
        <w:tc>
          <w:tcPr>
            <w:tcW w:w="2200" w:type="dxa"/>
          </w:tcPr>
          <w:p w14:paraId="3F5AEE2D" w14:textId="77777777" w:rsidR="006D5CB4" w:rsidRDefault="00000000">
            <w:r>
              <w:rPr>
                <w:rFonts w:ascii="Calibri" w:eastAsia="Calibri" w:hAnsi="Calibri" w:cs="Calibri"/>
                <w:sz w:val="19"/>
                <w:szCs w:val="19"/>
              </w:rPr>
              <w:t>Yes</w:t>
            </w:r>
          </w:p>
        </w:tc>
      </w:tr>
    </w:tbl>
    <w:p w14:paraId="4D3329B8" w14:textId="77777777" w:rsidR="006D5CB4" w:rsidRDefault="00000000">
      <w:pPr>
        <w:spacing w:after="240"/>
      </w:pPr>
      <w:r>
        <w:rPr>
          <w:rFonts w:ascii="Calibri" w:eastAsia="Calibri" w:hAnsi="Calibri" w:cs="Calibri"/>
          <w:i/>
          <w:iCs/>
        </w:rPr>
        <w:t>Table 5. Ljung–Box test for residual autocorrelation at lag 10, OLS-VAR(2) residuals, T = 3,516 panel.</w:t>
      </w:r>
    </w:p>
    <w:p w14:paraId="3ED4598D" w14:textId="77777777" w:rsidR="006D5CB4" w:rsidRDefault="00000000">
      <w:pPr>
        <w:spacing w:after="200"/>
      </w:pPr>
      <w:r>
        <w:rPr>
          <w:rFonts w:ascii="Calibri" w:eastAsia="Calibri" w:hAnsi="Calibri" w:cs="Calibri"/>
          <w:sz w:val="22"/>
          <w:szCs w:val="22"/>
        </w:rPr>
        <w:t xml:space="preserve">Six of the eight series show statistically significant residual autocorrelation at lag 10. Gold and the dollar index are the two series that pass the whiteness test; both have comparatively low correlation to the equity/volatility cluster in this panel. Because a plain VAR(2) in levels does not capture the volatility clustering well documented in daily financial returns, this pattern is consistent with ARCH-type dependence remaining in the residuals rather than with a linear-mean misspecification that a longer lag order alone would fix; a GARCH-type or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-style second-moment correction (Section 3.1's use of |u|² moments) is a natural next step once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itself is made to certify at this dimension.</w:t>
      </w:r>
    </w:p>
    <w:p w14:paraId="737C4AAA" w14:textId="77777777" w:rsidR="006D5CB4" w:rsidRDefault="00000000">
      <w:pPr>
        <w:pStyle w:val="Heading2"/>
        <w:spacing w:before="260" w:after="140"/>
      </w:pPr>
      <w:r>
        <w:rPr>
          <w:rFonts w:ascii="Calibri" w:eastAsia="Calibri" w:hAnsi="Calibri" w:cs="Calibri"/>
          <w:b/>
          <w:bCs/>
          <w:sz w:val="24"/>
          <w:szCs w:val="24"/>
        </w:rPr>
        <w:t>5.4. Local Gaussian Correlation: S&amp;P 500 and VIX Residuals</w:t>
      </w:r>
    </w:p>
    <w:p w14:paraId="024950CD" w14:textId="77777777" w:rsidR="006D5CB4" w:rsidRDefault="00000000">
      <w:pPr>
        <w:spacing w:after="200"/>
      </w:pPr>
      <w:r>
        <w:rPr>
          <w:rFonts w:ascii="Calibri" w:eastAsia="Calibri" w:hAnsi="Calibri" w:cs="Calibri"/>
          <w:sz w:val="22"/>
          <w:szCs w:val="22"/>
        </w:rPr>
        <w:t xml:space="preserve">As described in Section 3.4, we do not reproduce a residual local-Gaussian-correlation surface for this exact revision's panel, since doing so requires re-executing the live data download that is outside this draft's finalization environment. In the prior draft's closely comparable panel (T = 3,510, the same eight tickers and date range), the local correlation between S&amp;P 500 and VIX residuals was markedly non-constant across the joint distribution — close to zero near the center but alternating between strongly positive and strongly negative in the outer regions, an irregular pattern rather than the smooth, uniformly negative relationship a single global correlation coefficient would suggest. Given Section 5.3's finding that the OLS residuals for the equity and volatility series fail whiteness tests, we would read a re-rendered surface primarily as a symptom of unwhitened residual structure rather than as a validated finding about equity–volatility contagion, and we list regenerating this figure from the current panel, once a certified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fit is available, as a concrete production-stage task rather than an open research question.</w:t>
      </w:r>
    </w:p>
    <w:p w14:paraId="51AD7175" w14:textId="77777777" w:rsidR="006D5CB4" w:rsidRDefault="00000000">
      <w:pPr>
        <w:pStyle w:val="Heading2"/>
        <w:spacing w:before="260" w:after="140"/>
      </w:pPr>
      <w:r>
        <w:rPr>
          <w:rFonts w:ascii="Calibri" w:eastAsia="Calibri" w:hAnsi="Calibri" w:cs="Calibri"/>
          <w:b/>
          <w:bCs/>
          <w:sz w:val="24"/>
          <w:szCs w:val="24"/>
        </w:rPr>
        <w:t>5.5. Connectedness: Cholesky versus Generalized Identification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6D5CB4" w14:paraId="7A3079EE" w14:textId="77777777">
        <w:tblPrEx>
          <w:tblCellMar>
            <w:top w:w="0" w:type="dxa"/>
            <w:bottom w:w="0" w:type="dxa"/>
          </w:tblCellMar>
        </w:tblPrEx>
        <w:trPr>
          <w:tblHeader/>
        </w:trPr>
        <w:tc>
          <w:tcPr>
            <w:tcW w:w="2400" w:type="dxa"/>
            <w:shd w:val="clear" w:color="auto" w:fill="D9D9D9"/>
          </w:tcPr>
          <w:p w14:paraId="05E67D10" w14:textId="77777777" w:rsidR="006D5CB4" w:rsidRDefault="00000000">
            <w:r>
              <w:rPr>
                <w:rFonts w:ascii="Calibri" w:eastAsia="Calibri" w:hAnsi="Calibri" w:cs="Calibri"/>
                <w:b/>
                <w:bCs/>
                <w:sz w:val="19"/>
                <w:szCs w:val="19"/>
              </w:rPr>
              <w:t>Horizon</w:t>
            </w:r>
          </w:p>
        </w:tc>
        <w:tc>
          <w:tcPr>
            <w:tcW w:w="3200" w:type="dxa"/>
            <w:shd w:val="clear" w:color="auto" w:fill="D9D9D9"/>
          </w:tcPr>
          <w:p w14:paraId="765873F9" w14:textId="77777777" w:rsidR="006D5CB4" w:rsidRDefault="00000000">
            <w:r>
              <w:rPr>
                <w:rFonts w:ascii="Calibri" w:eastAsia="Calibri" w:hAnsi="Calibri" w:cs="Calibri"/>
                <w:b/>
                <w:bCs/>
                <w:sz w:val="19"/>
                <w:szCs w:val="19"/>
              </w:rPr>
              <w:t>Cholesky TCI (%)</w:t>
            </w:r>
          </w:p>
        </w:tc>
        <w:tc>
          <w:tcPr>
            <w:tcW w:w="3400" w:type="dxa"/>
            <w:shd w:val="clear" w:color="auto" w:fill="D9D9D9"/>
          </w:tcPr>
          <w:p w14:paraId="3A661B42" w14:textId="77777777" w:rsidR="006D5CB4" w:rsidRDefault="00000000">
            <w:r>
              <w:rPr>
                <w:rFonts w:ascii="Calibri" w:eastAsia="Calibri" w:hAnsi="Calibri" w:cs="Calibri"/>
                <w:b/>
                <w:bCs/>
                <w:sz w:val="19"/>
                <w:szCs w:val="19"/>
              </w:rPr>
              <w:t>Generalized TCI (%)</w:t>
            </w:r>
          </w:p>
        </w:tc>
      </w:tr>
      <w:tr w:rsidR="006D5CB4" w14:paraId="5B782F1F" w14:textId="77777777">
        <w:tblPrEx>
          <w:tblCellMar>
            <w:top w:w="0" w:type="dxa"/>
            <w:bottom w:w="0" w:type="dxa"/>
          </w:tblCellMar>
        </w:tblPrEx>
        <w:tc>
          <w:tcPr>
            <w:tcW w:w="2400" w:type="dxa"/>
          </w:tcPr>
          <w:p w14:paraId="30C2A030" w14:textId="77777777" w:rsidR="006D5CB4" w:rsidRDefault="00000000">
            <w:r>
              <w:rPr>
                <w:rFonts w:ascii="Calibri" w:eastAsia="Calibri" w:hAnsi="Calibri" w:cs="Calibri"/>
                <w:sz w:val="19"/>
                <w:szCs w:val="19"/>
              </w:rPr>
              <w:t>1</w:t>
            </w:r>
          </w:p>
        </w:tc>
        <w:tc>
          <w:tcPr>
            <w:tcW w:w="3200" w:type="dxa"/>
          </w:tcPr>
          <w:p w14:paraId="35882DAD" w14:textId="77777777" w:rsidR="006D5CB4" w:rsidRDefault="00000000">
            <w:r>
              <w:rPr>
                <w:rFonts w:ascii="Calibri" w:eastAsia="Calibri" w:hAnsi="Calibri" w:cs="Calibri"/>
                <w:sz w:val="19"/>
                <w:szCs w:val="19"/>
              </w:rPr>
              <w:t>37.92</w:t>
            </w:r>
          </w:p>
        </w:tc>
        <w:tc>
          <w:tcPr>
            <w:tcW w:w="3400" w:type="dxa"/>
          </w:tcPr>
          <w:p w14:paraId="444D1054" w14:textId="77777777" w:rsidR="006D5CB4" w:rsidRDefault="00000000">
            <w:r>
              <w:rPr>
                <w:rFonts w:ascii="Calibri" w:eastAsia="Calibri" w:hAnsi="Calibri" w:cs="Calibri"/>
                <w:sz w:val="19"/>
                <w:szCs w:val="19"/>
              </w:rPr>
              <w:t>47.85</w:t>
            </w:r>
          </w:p>
        </w:tc>
      </w:tr>
      <w:tr w:rsidR="006D5CB4" w14:paraId="7BC3F71E" w14:textId="77777777">
        <w:tblPrEx>
          <w:tblCellMar>
            <w:top w:w="0" w:type="dxa"/>
            <w:bottom w:w="0" w:type="dxa"/>
          </w:tblCellMar>
        </w:tblPrEx>
        <w:tc>
          <w:tcPr>
            <w:tcW w:w="2400" w:type="dxa"/>
          </w:tcPr>
          <w:p w14:paraId="2CB4927A" w14:textId="77777777" w:rsidR="006D5CB4" w:rsidRDefault="00000000">
            <w:r>
              <w:rPr>
                <w:rFonts w:ascii="Calibri" w:eastAsia="Calibri" w:hAnsi="Calibri" w:cs="Calibri"/>
                <w:sz w:val="19"/>
                <w:szCs w:val="19"/>
              </w:rPr>
              <w:t>5</w:t>
            </w:r>
          </w:p>
        </w:tc>
        <w:tc>
          <w:tcPr>
            <w:tcW w:w="3200" w:type="dxa"/>
          </w:tcPr>
          <w:p w14:paraId="26642079" w14:textId="77777777" w:rsidR="006D5CB4" w:rsidRDefault="00000000">
            <w:r>
              <w:rPr>
                <w:rFonts w:ascii="Calibri" w:eastAsia="Calibri" w:hAnsi="Calibri" w:cs="Calibri"/>
                <w:sz w:val="19"/>
                <w:szCs w:val="19"/>
              </w:rPr>
              <w:t>38.15</w:t>
            </w:r>
          </w:p>
        </w:tc>
        <w:tc>
          <w:tcPr>
            <w:tcW w:w="3400" w:type="dxa"/>
          </w:tcPr>
          <w:p w14:paraId="6A3E86BD" w14:textId="77777777" w:rsidR="006D5CB4" w:rsidRDefault="00000000">
            <w:r>
              <w:rPr>
                <w:rFonts w:ascii="Calibri" w:eastAsia="Calibri" w:hAnsi="Calibri" w:cs="Calibri"/>
                <w:sz w:val="19"/>
                <w:szCs w:val="19"/>
              </w:rPr>
              <w:t>48.05</w:t>
            </w:r>
          </w:p>
        </w:tc>
      </w:tr>
      <w:tr w:rsidR="006D5CB4" w14:paraId="6C249027" w14:textId="77777777">
        <w:tblPrEx>
          <w:tblCellMar>
            <w:top w:w="0" w:type="dxa"/>
            <w:bottom w:w="0" w:type="dxa"/>
          </w:tblCellMar>
        </w:tblPrEx>
        <w:tc>
          <w:tcPr>
            <w:tcW w:w="2400" w:type="dxa"/>
          </w:tcPr>
          <w:p w14:paraId="27EC40C5" w14:textId="77777777" w:rsidR="006D5CB4" w:rsidRDefault="00000000">
            <w:r>
              <w:rPr>
                <w:rFonts w:ascii="Calibri" w:eastAsia="Calibri" w:hAnsi="Calibri" w:cs="Calibri"/>
                <w:sz w:val="19"/>
                <w:szCs w:val="19"/>
              </w:rPr>
              <w:t>10</w:t>
            </w:r>
          </w:p>
        </w:tc>
        <w:tc>
          <w:tcPr>
            <w:tcW w:w="3200" w:type="dxa"/>
          </w:tcPr>
          <w:p w14:paraId="2D7D9D9C" w14:textId="77777777" w:rsidR="006D5CB4" w:rsidRDefault="00000000">
            <w:r>
              <w:rPr>
                <w:rFonts w:ascii="Calibri" w:eastAsia="Calibri" w:hAnsi="Calibri" w:cs="Calibri"/>
                <w:sz w:val="19"/>
                <w:szCs w:val="19"/>
              </w:rPr>
              <w:t>38.15</w:t>
            </w:r>
          </w:p>
        </w:tc>
        <w:tc>
          <w:tcPr>
            <w:tcW w:w="3400" w:type="dxa"/>
          </w:tcPr>
          <w:p w14:paraId="47142D8F" w14:textId="77777777" w:rsidR="006D5CB4" w:rsidRDefault="00000000">
            <w:r>
              <w:rPr>
                <w:rFonts w:ascii="Calibri" w:eastAsia="Calibri" w:hAnsi="Calibri" w:cs="Calibri"/>
                <w:sz w:val="19"/>
                <w:szCs w:val="19"/>
              </w:rPr>
              <w:t>48.05</w:t>
            </w:r>
          </w:p>
        </w:tc>
      </w:tr>
      <w:tr w:rsidR="006D5CB4" w14:paraId="55B215B2" w14:textId="77777777">
        <w:tblPrEx>
          <w:tblCellMar>
            <w:top w:w="0" w:type="dxa"/>
            <w:bottom w:w="0" w:type="dxa"/>
          </w:tblCellMar>
        </w:tblPrEx>
        <w:tc>
          <w:tcPr>
            <w:tcW w:w="2400" w:type="dxa"/>
          </w:tcPr>
          <w:p w14:paraId="51BB13C4" w14:textId="77777777" w:rsidR="006D5CB4" w:rsidRDefault="00000000">
            <w:r>
              <w:rPr>
                <w:rFonts w:ascii="Calibri" w:eastAsia="Calibri" w:hAnsi="Calibri" w:cs="Calibri"/>
                <w:sz w:val="19"/>
                <w:szCs w:val="19"/>
              </w:rPr>
              <w:t>20</w:t>
            </w:r>
          </w:p>
        </w:tc>
        <w:tc>
          <w:tcPr>
            <w:tcW w:w="3200" w:type="dxa"/>
          </w:tcPr>
          <w:p w14:paraId="10F219C0" w14:textId="77777777" w:rsidR="006D5CB4" w:rsidRDefault="00000000">
            <w:r>
              <w:rPr>
                <w:rFonts w:ascii="Calibri" w:eastAsia="Calibri" w:hAnsi="Calibri" w:cs="Calibri"/>
                <w:sz w:val="19"/>
                <w:szCs w:val="19"/>
              </w:rPr>
              <w:t>38.15</w:t>
            </w:r>
          </w:p>
        </w:tc>
        <w:tc>
          <w:tcPr>
            <w:tcW w:w="3400" w:type="dxa"/>
          </w:tcPr>
          <w:p w14:paraId="32D2A288" w14:textId="77777777" w:rsidR="006D5CB4" w:rsidRDefault="00000000">
            <w:r>
              <w:rPr>
                <w:rFonts w:ascii="Calibri" w:eastAsia="Calibri" w:hAnsi="Calibri" w:cs="Calibri"/>
                <w:sz w:val="19"/>
                <w:szCs w:val="19"/>
              </w:rPr>
              <w:t>48.05</w:t>
            </w:r>
          </w:p>
        </w:tc>
      </w:tr>
    </w:tbl>
    <w:p w14:paraId="2BF722C9" w14:textId="77777777" w:rsidR="006D5CB4" w:rsidRDefault="00000000">
      <w:pPr>
        <w:spacing w:after="240"/>
      </w:pPr>
      <w:r>
        <w:rPr>
          <w:rFonts w:ascii="Calibri" w:eastAsia="Calibri" w:hAnsi="Calibri" w:cs="Calibri"/>
          <w:i/>
          <w:iCs/>
        </w:rPr>
        <w:t>Table 6. Total connectedness index at selected horizons, OLS-VAR fit, Cholesky versus generalized FEVD identification, T = 3,516 panel.</w:t>
      </w:r>
    </w:p>
    <w:p w14:paraId="42FE39AF" w14:textId="77777777" w:rsidR="006D5CB4" w:rsidRDefault="00000000">
      <w:pPr>
        <w:spacing w:before="120" w:after="80"/>
        <w:jc w:val="center"/>
      </w:pPr>
      <w:r>
        <w:rPr>
          <w:noProof/>
        </w:rPr>
        <w:lastRenderedPageBreak/>
        <w:drawing>
          <wp:inline distT="0" distB="0" distL="0" distR="0" wp14:anchorId="2CF70DD0" wp14:editId="1CD9A05C">
            <wp:extent cx="5334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00400"/>
                    </a:xfrm>
                    <a:prstGeom prst="rect">
                      <a:avLst/>
                    </a:prstGeom>
                  </pic:spPr>
                </pic:pic>
              </a:graphicData>
            </a:graphic>
          </wp:inline>
        </w:drawing>
      </w:r>
    </w:p>
    <w:p w14:paraId="2DF7BF0C" w14:textId="77777777" w:rsidR="006D5CB4" w:rsidRDefault="00000000">
      <w:pPr>
        <w:spacing w:after="240"/>
      </w:pPr>
      <w:r>
        <w:rPr>
          <w:rFonts w:ascii="Calibri" w:eastAsia="Calibri" w:hAnsi="Calibri" w:cs="Calibri"/>
          <w:i/>
          <w:iCs/>
        </w:rPr>
        <w:t>Figure 1. Diebold–Yilmaz total connectedness index by horizon, OLS-VAR(2), eight-asset panel (T = 3,516), Cholesky versus generalized identification.</w:t>
      </w:r>
    </w:p>
    <w:p w14:paraId="14690C59" w14:textId="77777777" w:rsidR="006D5CB4" w:rsidRDefault="00000000">
      <w:pPr>
        <w:spacing w:after="200"/>
      </w:pPr>
      <w:r>
        <w:rPr>
          <w:rFonts w:ascii="Calibri" w:eastAsia="Calibri" w:hAnsi="Calibri" w:cs="Calibri"/>
          <w:sz w:val="22"/>
          <w:szCs w:val="22"/>
        </w:rPr>
        <w:t>The two identification schemes disagree by roughly ten percentage points and stabilize after about five horizons: 38.2% under the Cholesky (recursive) scheme versus 48.1% under the generalized (</w:t>
      </w:r>
      <w:proofErr w:type="spellStart"/>
      <w:r>
        <w:rPr>
          <w:rFonts w:ascii="Calibri" w:eastAsia="Calibri" w:hAnsi="Calibri" w:cs="Calibri"/>
          <w:sz w:val="22"/>
          <w:szCs w:val="22"/>
        </w:rPr>
        <w:t>Pesaran</w:t>
      </w:r>
      <w:proofErr w:type="spellEnd"/>
      <w:r>
        <w:rPr>
          <w:rFonts w:ascii="Calibri" w:eastAsia="Calibri" w:hAnsi="Calibri" w:cs="Calibri"/>
          <w:sz w:val="22"/>
          <w:szCs w:val="22"/>
        </w:rPr>
        <w:t>–Shin) scheme. Because the generalized FEVD is invariant to variable ordering while the Cholesky FEVD is not, this gap indicates that a meaningful share of the recursive connectedness in this panel is an artifact of the assumed contemporaneous ordering — plausibly the ordering that places the broad equity indices first, so that shocks common to SP500/Nasdaq/Dow are attributed disproportionately to the first-ordered series — rather than a feature of the shock covariance structure itself. Any connectedness or contagion claim built on the Cholesky scheme in a panel with highly collinear equity indices should be treated with caution unless the ordering is economically justified or the generalized measure is reported alongside it, as we do here.</w:t>
      </w:r>
    </w:p>
    <w:p w14:paraId="1D0B75C5" w14:textId="77777777" w:rsidR="006D5CB4" w:rsidRDefault="00000000">
      <w:pPr>
        <w:pStyle w:val="Heading2"/>
        <w:spacing w:before="260" w:after="140"/>
      </w:pPr>
      <w:r>
        <w:rPr>
          <w:rFonts w:ascii="Calibri" w:eastAsia="Calibri" w:hAnsi="Calibri" w:cs="Calibri"/>
          <w:b/>
          <w:bCs/>
          <w:sz w:val="24"/>
          <w:szCs w:val="24"/>
        </w:rPr>
        <w:t>5.6. Bootstrap Root Uncertainty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800"/>
      </w:tblGrid>
      <w:tr w:rsidR="006D5CB4" w14:paraId="2B0BABD5" w14:textId="77777777">
        <w:tblPrEx>
          <w:tblCellMar>
            <w:top w:w="0" w:type="dxa"/>
            <w:bottom w:w="0" w:type="dxa"/>
          </w:tblCellMar>
        </w:tblPrEx>
        <w:trPr>
          <w:tblHeader/>
        </w:trPr>
        <w:tc>
          <w:tcPr>
            <w:tcW w:w="5200" w:type="dxa"/>
            <w:shd w:val="clear" w:color="auto" w:fill="D9D9D9"/>
          </w:tcPr>
          <w:p w14:paraId="5BB1CC53" w14:textId="77777777" w:rsidR="006D5CB4" w:rsidRDefault="00000000">
            <w:r>
              <w:rPr>
                <w:rFonts w:ascii="Calibri" w:eastAsia="Calibri" w:hAnsi="Calibri" w:cs="Calibri"/>
                <w:b/>
                <w:bCs/>
                <w:sz w:val="19"/>
                <w:szCs w:val="19"/>
              </w:rPr>
              <w:t>Percentile / statistic</w:t>
            </w:r>
          </w:p>
        </w:tc>
        <w:tc>
          <w:tcPr>
            <w:tcW w:w="2800" w:type="dxa"/>
            <w:shd w:val="clear" w:color="auto" w:fill="D9D9D9"/>
          </w:tcPr>
          <w:p w14:paraId="4EF86A1D" w14:textId="77777777" w:rsidR="006D5CB4" w:rsidRDefault="00000000">
            <w:r>
              <w:rPr>
                <w:rFonts w:ascii="Calibri" w:eastAsia="Calibri" w:hAnsi="Calibri" w:cs="Calibri"/>
                <w:b/>
                <w:bCs/>
                <w:sz w:val="19"/>
                <w:szCs w:val="19"/>
              </w:rPr>
              <w:t>Value</w:t>
            </w:r>
          </w:p>
        </w:tc>
      </w:tr>
      <w:tr w:rsidR="006D5CB4" w14:paraId="05770A70" w14:textId="77777777">
        <w:tblPrEx>
          <w:tblCellMar>
            <w:top w:w="0" w:type="dxa"/>
            <w:bottom w:w="0" w:type="dxa"/>
          </w:tblCellMar>
        </w:tblPrEx>
        <w:tc>
          <w:tcPr>
            <w:tcW w:w="5200" w:type="dxa"/>
          </w:tcPr>
          <w:p w14:paraId="79CBE749" w14:textId="77777777" w:rsidR="006D5CB4" w:rsidRDefault="00000000">
            <w:r>
              <w:rPr>
                <w:rFonts w:ascii="Calibri" w:eastAsia="Calibri" w:hAnsi="Calibri" w:cs="Calibri"/>
                <w:sz w:val="19"/>
                <w:szCs w:val="19"/>
              </w:rPr>
              <w:t>Point spectral radius (OLS-VAR, full sample)</w:t>
            </w:r>
          </w:p>
        </w:tc>
        <w:tc>
          <w:tcPr>
            <w:tcW w:w="2800" w:type="dxa"/>
          </w:tcPr>
          <w:p w14:paraId="1E74E4B7" w14:textId="77777777" w:rsidR="006D5CB4" w:rsidRDefault="00000000">
            <w:r>
              <w:rPr>
                <w:rFonts w:ascii="Calibri" w:eastAsia="Calibri" w:hAnsi="Calibri" w:cs="Calibri"/>
                <w:sz w:val="19"/>
                <w:szCs w:val="19"/>
              </w:rPr>
              <w:t>0.4175</w:t>
            </w:r>
          </w:p>
        </w:tc>
      </w:tr>
      <w:tr w:rsidR="006D5CB4" w14:paraId="4C746437" w14:textId="77777777">
        <w:tblPrEx>
          <w:tblCellMar>
            <w:top w:w="0" w:type="dxa"/>
            <w:bottom w:w="0" w:type="dxa"/>
          </w:tblCellMar>
        </w:tblPrEx>
        <w:tc>
          <w:tcPr>
            <w:tcW w:w="5200" w:type="dxa"/>
          </w:tcPr>
          <w:p w14:paraId="42D828E1" w14:textId="77777777" w:rsidR="006D5CB4" w:rsidRDefault="00000000">
            <w:r>
              <w:rPr>
                <w:rFonts w:ascii="Calibri" w:eastAsia="Calibri" w:hAnsi="Calibri" w:cs="Calibri"/>
                <w:sz w:val="19"/>
                <w:szCs w:val="19"/>
              </w:rPr>
              <w:t>Bootstrap 2.5th percentile</w:t>
            </w:r>
          </w:p>
        </w:tc>
        <w:tc>
          <w:tcPr>
            <w:tcW w:w="2800" w:type="dxa"/>
          </w:tcPr>
          <w:p w14:paraId="79A5106F" w14:textId="77777777" w:rsidR="006D5CB4" w:rsidRDefault="00000000">
            <w:r>
              <w:rPr>
                <w:rFonts w:ascii="Calibri" w:eastAsia="Calibri" w:hAnsi="Calibri" w:cs="Calibri"/>
                <w:sz w:val="19"/>
                <w:szCs w:val="19"/>
              </w:rPr>
              <w:t>0.3642</w:t>
            </w:r>
          </w:p>
        </w:tc>
      </w:tr>
      <w:tr w:rsidR="006D5CB4" w14:paraId="11421983" w14:textId="77777777">
        <w:tblPrEx>
          <w:tblCellMar>
            <w:top w:w="0" w:type="dxa"/>
            <w:bottom w:w="0" w:type="dxa"/>
          </w:tblCellMar>
        </w:tblPrEx>
        <w:tc>
          <w:tcPr>
            <w:tcW w:w="5200" w:type="dxa"/>
          </w:tcPr>
          <w:p w14:paraId="28356F6B" w14:textId="77777777" w:rsidR="006D5CB4" w:rsidRDefault="00000000">
            <w:r>
              <w:rPr>
                <w:rFonts w:ascii="Calibri" w:eastAsia="Calibri" w:hAnsi="Calibri" w:cs="Calibri"/>
                <w:sz w:val="19"/>
                <w:szCs w:val="19"/>
              </w:rPr>
              <w:t>Bootstrap 50th percentile (median)</w:t>
            </w:r>
          </w:p>
        </w:tc>
        <w:tc>
          <w:tcPr>
            <w:tcW w:w="2800" w:type="dxa"/>
          </w:tcPr>
          <w:p w14:paraId="250022C1" w14:textId="77777777" w:rsidR="006D5CB4" w:rsidRDefault="00000000">
            <w:r>
              <w:rPr>
                <w:rFonts w:ascii="Calibri" w:eastAsia="Calibri" w:hAnsi="Calibri" w:cs="Calibri"/>
                <w:sz w:val="19"/>
                <w:szCs w:val="19"/>
              </w:rPr>
              <w:t>0.4182</w:t>
            </w:r>
          </w:p>
        </w:tc>
      </w:tr>
      <w:tr w:rsidR="006D5CB4" w14:paraId="7FE789ED" w14:textId="77777777">
        <w:tblPrEx>
          <w:tblCellMar>
            <w:top w:w="0" w:type="dxa"/>
            <w:bottom w:w="0" w:type="dxa"/>
          </w:tblCellMar>
        </w:tblPrEx>
        <w:tc>
          <w:tcPr>
            <w:tcW w:w="5200" w:type="dxa"/>
          </w:tcPr>
          <w:p w14:paraId="2FD97070" w14:textId="77777777" w:rsidR="006D5CB4" w:rsidRDefault="00000000">
            <w:r>
              <w:rPr>
                <w:rFonts w:ascii="Calibri" w:eastAsia="Calibri" w:hAnsi="Calibri" w:cs="Calibri"/>
                <w:sz w:val="19"/>
                <w:szCs w:val="19"/>
              </w:rPr>
              <w:t>Bootstrap 97.5th percentile</w:t>
            </w:r>
          </w:p>
        </w:tc>
        <w:tc>
          <w:tcPr>
            <w:tcW w:w="2800" w:type="dxa"/>
          </w:tcPr>
          <w:p w14:paraId="43BB34DB" w14:textId="77777777" w:rsidR="006D5CB4" w:rsidRDefault="00000000">
            <w:r>
              <w:rPr>
                <w:rFonts w:ascii="Calibri" w:eastAsia="Calibri" w:hAnsi="Calibri" w:cs="Calibri"/>
                <w:sz w:val="19"/>
                <w:szCs w:val="19"/>
              </w:rPr>
              <w:t>0.4721</w:t>
            </w:r>
          </w:p>
        </w:tc>
      </w:tr>
      <w:tr w:rsidR="006D5CB4" w14:paraId="460CB9BC" w14:textId="77777777">
        <w:tblPrEx>
          <w:tblCellMar>
            <w:top w:w="0" w:type="dxa"/>
            <w:bottom w:w="0" w:type="dxa"/>
          </w:tblCellMar>
        </w:tblPrEx>
        <w:tc>
          <w:tcPr>
            <w:tcW w:w="5200" w:type="dxa"/>
          </w:tcPr>
          <w:p w14:paraId="70A3372A" w14:textId="77777777" w:rsidR="006D5CB4" w:rsidRDefault="00000000">
            <w:r>
              <w:rPr>
                <w:rFonts w:ascii="Calibri" w:eastAsia="Calibri" w:hAnsi="Calibri" w:cs="Calibri"/>
                <w:sz w:val="19"/>
                <w:szCs w:val="19"/>
              </w:rPr>
              <w:t>Point noncausal-root count</w:t>
            </w:r>
          </w:p>
        </w:tc>
        <w:tc>
          <w:tcPr>
            <w:tcW w:w="2800" w:type="dxa"/>
          </w:tcPr>
          <w:p w14:paraId="40884004" w14:textId="77777777" w:rsidR="006D5CB4" w:rsidRDefault="00000000">
            <w:r>
              <w:rPr>
                <w:rFonts w:ascii="Calibri" w:eastAsia="Calibri" w:hAnsi="Calibri" w:cs="Calibri"/>
                <w:sz w:val="19"/>
                <w:szCs w:val="19"/>
              </w:rPr>
              <w:t>0</w:t>
            </w:r>
          </w:p>
        </w:tc>
      </w:tr>
      <w:tr w:rsidR="006D5CB4" w14:paraId="06F34595" w14:textId="77777777">
        <w:tblPrEx>
          <w:tblCellMar>
            <w:top w:w="0" w:type="dxa"/>
            <w:bottom w:w="0" w:type="dxa"/>
          </w:tblCellMar>
        </w:tblPrEx>
        <w:tc>
          <w:tcPr>
            <w:tcW w:w="5200" w:type="dxa"/>
          </w:tcPr>
          <w:p w14:paraId="713E4ACB" w14:textId="77777777" w:rsidR="006D5CB4" w:rsidRDefault="00000000">
            <w:r>
              <w:rPr>
                <w:rFonts w:ascii="Calibri" w:eastAsia="Calibri" w:hAnsi="Calibri" w:cs="Calibri"/>
                <w:sz w:val="19"/>
                <w:szCs w:val="19"/>
              </w:rPr>
              <w:t>Probability of ≥ 1 noncausal root (1,000 replications)</w:t>
            </w:r>
          </w:p>
        </w:tc>
        <w:tc>
          <w:tcPr>
            <w:tcW w:w="2800" w:type="dxa"/>
          </w:tcPr>
          <w:p w14:paraId="7DC8445B" w14:textId="77777777" w:rsidR="006D5CB4" w:rsidRDefault="00000000">
            <w:r>
              <w:rPr>
                <w:rFonts w:ascii="Calibri" w:eastAsia="Calibri" w:hAnsi="Calibri" w:cs="Calibri"/>
                <w:sz w:val="19"/>
                <w:szCs w:val="19"/>
              </w:rPr>
              <w:t>0.0%</w:t>
            </w:r>
          </w:p>
        </w:tc>
      </w:tr>
      <w:tr w:rsidR="006D5CB4" w14:paraId="093FC1F3" w14:textId="77777777">
        <w:tblPrEx>
          <w:tblCellMar>
            <w:top w:w="0" w:type="dxa"/>
            <w:bottom w:w="0" w:type="dxa"/>
          </w:tblCellMar>
        </w:tblPrEx>
        <w:tc>
          <w:tcPr>
            <w:tcW w:w="5200" w:type="dxa"/>
          </w:tcPr>
          <w:p w14:paraId="3DC1159C" w14:textId="77777777" w:rsidR="006D5CB4" w:rsidRDefault="00000000">
            <w:r>
              <w:rPr>
                <w:rFonts w:ascii="Calibri" w:eastAsia="Calibri" w:hAnsi="Calibri" w:cs="Calibri"/>
                <w:sz w:val="19"/>
                <w:szCs w:val="19"/>
              </w:rPr>
              <w:t>Probability all 16 roots causal</w:t>
            </w:r>
          </w:p>
        </w:tc>
        <w:tc>
          <w:tcPr>
            <w:tcW w:w="2800" w:type="dxa"/>
          </w:tcPr>
          <w:p w14:paraId="3366C928" w14:textId="77777777" w:rsidR="006D5CB4" w:rsidRDefault="00000000">
            <w:r>
              <w:rPr>
                <w:rFonts w:ascii="Calibri" w:eastAsia="Calibri" w:hAnsi="Calibri" w:cs="Calibri"/>
                <w:sz w:val="19"/>
                <w:szCs w:val="19"/>
              </w:rPr>
              <w:t>100.0%</w:t>
            </w:r>
          </w:p>
        </w:tc>
      </w:tr>
    </w:tbl>
    <w:p w14:paraId="6E004684" w14:textId="77777777" w:rsidR="006D5CB4" w:rsidRDefault="00000000">
      <w:pPr>
        <w:spacing w:after="240"/>
      </w:pPr>
      <w:r>
        <w:rPr>
          <w:rFonts w:ascii="Calibri" w:eastAsia="Calibri" w:hAnsi="Calibri" w:cs="Calibri"/>
          <w:i/>
          <w:iCs/>
        </w:rPr>
        <w:t>Table 7. Recursive residual bootstrap (Section 3.6), 1,000 replications, OLS-VAR(2) fit to the full T = 3,516 panel.</w:t>
      </w:r>
    </w:p>
    <w:p w14:paraId="1B9E1B7C" w14:textId="77777777" w:rsidR="006D5CB4" w:rsidRDefault="00000000">
      <w:pPr>
        <w:spacing w:after="200"/>
      </w:pPr>
      <w:r>
        <w:rPr>
          <w:rFonts w:ascii="Calibri" w:eastAsia="Calibri" w:hAnsi="Calibri" w:cs="Calibri"/>
          <w:sz w:val="22"/>
          <w:szCs w:val="22"/>
        </w:rPr>
        <w:t xml:space="preserve">The recursive residual bootstrap gives a point spectral radius of 0.417, a 95% bootstrap percentile interval of [0.364, 0.472], and zero of 1,000 bootstrap replications producing any companion root outside the unit circle. This interval sits comfortably below the unit-root boundary. Per the note in Section 4.0, we no longer benchmark this finding against the withdrawn near-unit-root false-positive </w:t>
      </w:r>
      <w:r>
        <w:rPr>
          <w:rFonts w:ascii="Calibri" w:eastAsia="Calibri" w:hAnsi="Calibri" w:cs="Calibri"/>
          <w:sz w:val="22"/>
          <w:szCs w:val="22"/>
        </w:rPr>
        <w:lastRenderedPageBreak/>
        <w:t>rate, and instead present the bootstrap result on its own terms: over 2010–2023, the estimated causal dynamics of this eight-asset panel are not locally explosive under the OLS-VAR(2), with a fairly tight interval around that conclusion.</w:t>
      </w:r>
    </w:p>
    <w:p w14:paraId="1B911C52" w14:textId="77777777" w:rsidR="006D5CB4" w:rsidRDefault="00000000">
      <w:pPr>
        <w:pStyle w:val="Heading2"/>
        <w:spacing w:before="260" w:after="140"/>
      </w:pPr>
      <w:r>
        <w:rPr>
          <w:rFonts w:ascii="Calibri" w:eastAsia="Calibri" w:hAnsi="Calibri" w:cs="Calibri"/>
          <w:b/>
          <w:bCs/>
          <w:sz w:val="24"/>
          <w:szCs w:val="24"/>
        </w:rPr>
        <w:t>5.7. Data and Reproducibility Notes</w:t>
      </w:r>
    </w:p>
    <w:p w14:paraId="28F83914" w14:textId="77777777" w:rsidR="006D5CB4" w:rsidRDefault="00000000">
      <w:pPr>
        <w:spacing w:after="200"/>
      </w:pPr>
      <w:r>
        <w:rPr>
          <w:rFonts w:ascii="Calibri" w:eastAsia="Calibri" w:hAnsi="Calibri" w:cs="Calibri"/>
          <w:sz w:val="22"/>
          <w:szCs w:val="22"/>
        </w:rPr>
        <w:t xml:space="preserve">All empirical results in this section were computed from a data-loading routine that explicitly handles </w:t>
      </w:r>
      <w:proofErr w:type="spellStart"/>
      <w:r>
        <w:rPr>
          <w:rFonts w:ascii="Calibri" w:eastAsia="Calibri" w:hAnsi="Calibri" w:cs="Calibri"/>
          <w:sz w:val="22"/>
          <w:szCs w:val="22"/>
        </w:rPr>
        <w:t>yfinance's</w:t>
      </w:r>
      <w:proofErr w:type="spellEnd"/>
      <w:r>
        <w:rPr>
          <w:rFonts w:ascii="Calibri" w:eastAsia="Calibri" w:hAnsi="Calibri" w:cs="Calibri"/>
          <w:sz w:val="22"/>
          <w:szCs w:val="22"/>
        </w:rPr>
        <w:t xml:space="preserve"> ordinary and </w:t>
      </w:r>
      <w:proofErr w:type="spellStart"/>
      <w:r>
        <w:rPr>
          <w:rFonts w:ascii="Calibri" w:eastAsia="Calibri" w:hAnsi="Calibri" w:cs="Calibri"/>
          <w:sz w:val="22"/>
          <w:szCs w:val="22"/>
        </w:rPr>
        <w:t>MultiIndex</w:t>
      </w:r>
      <w:proofErr w:type="spellEnd"/>
      <w:r>
        <w:rPr>
          <w:rFonts w:ascii="Calibri" w:eastAsia="Calibri" w:hAnsi="Calibri" w:cs="Calibri"/>
          <w:sz w:val="22"/>
          <w:szCs w:val="22"/>
        </w:rPr>
        <w:t xml:space="preserve"> column layouts, falls back across “Close” and “Adj Close” depending on the auto-adjustment setting used at download time, and discards any series with insufficient valid observations after cleaning before forming the balanced panel (raw shape 3,524 × 8 observations; 3,517 after the audit; 3,516 after differencing). We report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objective value and root classification from this run for completeness (Section 5.1) while flagging that it is not a certified fit, consistent with the paper's standing practice of reporting numerical results candidly rather than only the ones that look most favorable.</w:t>
      </w:r>
    </w:p>
    <w:p w14:paraId="55B26C16" w14:textId="77777777" w:rsidR="006D5CB4" w:rsidRDefault="00000000">
      <w:pPr>
        <w:pStyle w:val="Heading1"/>
        <w:spacing w:before="360" w:after="160"/>
      </w:pPr>
      <w:r>
        <w:rPr>
          <w:rFonts w:ascii="Calibri" w:eastAsia="Calibri" w:hAnsi="Calibri" w:cs="Calibri"/>
          <w:b/>
          <w:bCs/>
          <w:sz w:val="26"/>
          <w:szCs w:val="26"/>
        </w:rPr>
        <w:t>6. Discussion: What Remains Open</w:t>
      </w:r>
    </w:p>
    <w:p w14:paraId="38E96E32" w14:textId="77777777" w:rsidR="006D5CB4" w:rsidRDefault="00000000">
      <w:pPr>
        <w:spacing w:after="200"/>
      </w:pPr>
      <w:r>
        <w:rPr>
          <w:rFonts w:ascii="Calibri" w:eastAsia="Calibri" w:hAnsi="Calibri" w:cs="Calibri"/>
          <w:sz w:val="22"/>
          <w:szCs w:val="22"/>
        </w:rPr>
        <w:t>This revision narrows, and in one place overturns, the previous draft's account of what is and is not established. Four items should guide the next stage of this work.</w:t>
      </w:r>
    </w:p>
    <w:p w14:paraId="6E3544B6" w14:textId="77777777" w:rsidR="006D5CB4" w:rsidRDefault="00000000">
      <w:pPr>
        <w:pStyle w:val="Heading2"/>
        <w:spacing w:before="260" w:after="140"/>
      </w:pPr>
      <w:r>
        <w:rPr>
          <w:rFonts w:ascii="Calibri" w:eastAsia="Calibri" w:hAnsi="Calibri" w:cs="Calibri"/>
          <w:b/>
          <w:bCs/>
          <w:sz w:val="24"/>
          <w:szCs w:val="24"/>
        </w:rPr>
        <w:t>6.1. The estimator still needs a precise, jointly parameterized mixed-model specification</w:t>
      </w:r>
    </w:p>
    <w:p w14:paraId="0C99DE13" w14:textId="77777777" w:rsidR="006D5CB4" w:rsidRDefault="00000000">
      <w:pPr>
        <w:spacing w:after="200"/>
      </w:pPr>
      <w:r>
        <w:rPr>
          <w:rFonts w:ascii="Calibri" w:eastAsia="Calibri" w:hAnsi="Calibri" w:cs="Calibri"/>
          <w:sz w:val="22"/>
          <w:szCs w:val="22"/>
        </w:rPr>
        <w:t xml:space="preserve">The implementation used throughout Sections 4–5 estimates a purely causal VAR under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criterion; Section 4.3's mixed-design Monte Carlo simulates genuine two-sided dynamics but still fits a causal-only working model to them, recovering the implied companion-root structure rather than jointly estimating Π(L) and Φ(L⁻¹) as separate lag and lead polynomials. A defensible bubble-detection claim on real data requires estimating the mixed model directly — for example by parameterizing a known or estimated noncausal order s and optimizing over both Π and Φ jointly, or by adapting the blind-identification approach used elsewhere in the low-dimensional </w:t>
      </w:r>
      <w:proofErr w:type="spellStart"/>
      <w:r>
        <w:rPr>
          <w:rFonts w:ascii="Calibri" w:eastAsia="Calibri" w:hAnsi="Calibri" w:cs="Calibri"/>
          <w:sz w:val="22"/>
          <w:szCs w:val="22"/>
        </w:rPr>
        <w:t>GCov</w:t>
      </w:r>
      <w:proofErr w:type="spellEnd"/>
      <w:r>
        <w:rPr>
          <w:rFonts w:ascii="Calibri" w:eastAsia="Calibri" w:hAnsi="Calibri" w:cs="Calibri"/>
          <w:sz w:val="22"/>
          <w:szCs w:val="22"/>
        </w:rPr>
        <w:t xml:space="preserve"> literature.</w:t>
      </w:r>
    </w:p>
    <w:p w14:paraId="58400163" w14:textId="77777777" w:rsidR="00836593" w:rsidRDefault="00836593" w:rsidP="00836593">
      <w:pPr>
        <w:pStyle w:val="Heading2"/>
        <w:spacing w:before="260" w:after="140"/>
        <w:rPr>
          <w:rFonts w:ascii="Calibri" w:eastAsia="Calibri" w:hAnsi="Calibri" w:cs="Calibri"/>
          <w:b/>
          <w:bCs/>
          <w:sz w:val="24"/>
          <w:szCs w:val="24"/>
        </w:rPr>
      </w:pPr>
      <w:r w:rsidRPr="00836593">
        <w:rPr>
          <w:rFonts w:ascii="Calibri" w:eastAsia="Calibri" w:hAnsi="Calibri" w:cs="Calibri"/>
          <w:b/>
          <w:bCs/>
          <w:sz w:val="24"/>
          <w:szCs w:val="24"/>
        </w:rPr>
        <w:t xml:space="preserve">6.2. Optimization reliability is now established; the focus shifts to joint mixed-model estimation and asymptotic theory. </w:t>
      </w:r>
    </w:p>
    <w:p w14:paraId="0B7FE68B" w14:textId="7D39D472" w:rsidR="006D5CB4" w:rsidRPr="00836593" w:rsidRDefault="00836593" w:rsidP="00836593">
      <w:pPr>
        <w:pStyle w:val="Heading2"/>
        <w:spacing w:before="260" w:after="140"/>
        <w:rPr>
          <w:color w:val="auto"/>
        </w:rPr>
      </w:pPr>
      <w:r w:rsidRPr="00836593">
        <w:rPr>
          <w:rFonts w:ascii="Calibri" w:eastAsia="Calibri" w:hAnsi="Calibri" w:cs="Calibri"/>
          <w:color w:val="auto"/>
          <w:sz w:val="24"/>
          <w:szCs w:val="24"/>
        </w:rPr>
        <w:t xml:space="preserve">Section 5.1 demonstrates that the OLS-initialized, GARCH-filtered, 64-bit JAX reformulation certifies reliably at the empirically relevant dimension of </w:t>
      </w:r>
      <m:oMath>
        <m:r>
          <w:rPr>
            <w:rFonts w:ascii="Cambria Math" w:eastAsia="Calibri" w:hAnsi="Cambria Math" w:cs="Calibri"/>
            <w:color w:val="auto"/>
            <w:sz w:val="24"/>
            <w:szCs w:val="24"/>
          </w:rPr>
          <m:t>N=8</m:t>
        </m:r>
      </m:oMath>
      <w:r w:rsidRPr="00836593">
        <w:rPr>
          <w:rFonts w:ascii="Calibri" w:eastAsia="Calibri" w:hAnsi="Calibri" w:cs="Calibri"/>
          <w:color w:val="auto"/>
          <w:sz w:val="24"/>
          <w:szCs w:val="24"/>
        </w:rPr>
        <w:t xml:space="preserve">. With this computational bottleneck resolved, the immediate next steps are twofold: (i) extending the estimator to jointly parameterize and optimize the causal lag polynomial </w:t>
      </w:r>
      <m:oMath>
        <m:r>
          <m:rPr>
            <m:sty m:val="p"/>
          </m:rPr>
          <w:rPr>
            <w:rFonts w:ascii="Cambria Math" w:eastAsia="Calibri" w:hAnsi="Cambria Math" w:cs="Calibri"/>
            <w:color w:val="auto"/>
            <w:sz w:val="24"/>
            <w:szCs w:val="24"/>
          </w:rPr>
          <m:t>Π</m:t>
        </m:r>
        <m:d>
          <m:dPr>
            <m:ctrlPr>
              <w:rPr>
                <w:rFonts w:ascii="Cambria Math" w:eastAsia="Calibri" w:hAnsi="Cambria Math" w:cs="Calibri"/>
                <w:color w:val="auto"/>
                <w:sz w:val="24"/>
                <w:szCs w:val="24"/>
              </w:rPr>
            </m:ctrlPr>
          </m:dPr>
          <m:e>
            <m:r>
              <w:rPr>
                <w:rFonts w:ascii="Cambria Math" w:eastAsia="Calibri" w:hAnsi="Cambria Math" w:cs="Calibri"/>
                <w:color w:val="auto"/>
                <w:sz w:val="24"/>
                <w:szCs w:val="24"/>
              </w:rPr>
              <m:t>L</m:t>
            </m:r>
          </m:e>
        </m:d>
      </m:oMath>
      <w:r w:rsidRPr="00836593">
        <w:rPr>
          <w:rFonts w:ascii="Calibri" w:eastAsia="Calibri" w:hAnsi="Calibri" w:cs="Calibri"/>
          <w:color w:val="auto"/>
          <w:sz w:val="24"/>
          <w:szCs w:val="24"/>
        </w:rPr>
        <w:t xml:space="preserve">and the noncausal lead polynomial </w:t>
      </w:r>
      <m:oMath>
        <m:r>
          <m:rPr>
            <m:sty m:val="p"/>
          </m:rPr>
          <w:rPr>
            <w:rFonts w:ascii="Cambria Math" w:eastAsia="Calibri" w:hAnsi="Cambria Math" w:cs="Calibri"/>
            <w:color w:val="auto"/>
            <w:sz w:val="24"/>
            <w:szCs w:val="24"/>
          </w:rPr>
          <m:t>Φ</m:t>
        </m:r>
        <m:d>
          <m:dPr>
            <m:ctrlPr>
              <w:rPr>
                <w:rFonts w:ascii="Cambria Math" w:eastAsia="Calibri" w:hAnsi="Cambria Math" w:cs="Calibri"/>
                <w:color w:val="auto"/>
                <w:sz w:val="24"/>
                <w:szCs w:val="24"/>
              </w:rPr>
            </m:ctrlPr>
          </m:dPr>
          <m:e>
            <m:sSup>
              <m:sSupPr>
                <m:ctrlPr>
                  <w:rPr>
                    <w:rFonts w:ascii="Cambria Math" w:eastAsia="Calibri" w:hAnsi="Cambria Math" w:cs="Calibri"/>
                    <w:color w:val="auto"/>
                    <w:sz w:val="24"/>
                    <w:szCs w:val="24"/>
                  </w:rPr>
                </m:ctrlPr>
              </m:sSupPr>
              <m:e>
                <m:r>
                  <w:rPr>
                    <w:rFonts w:ascii="Cambria Math" w:eastAsia="Calibri" w:hAnsi="Cambria Math" w:cs="Calibri"/>
                    <w:color w:val="auto"/>
                    <w:sz w:val="24"/>
                    <w:szCs w:val="24"/>
                  </w:rPr>
                  <m:t>L</m:t>
                </m:r>
              </m:e>
              <m:sup>
                <m:r>
                  <w:rPr>
                    <w:rFonts w:ascii="Cambria Math" w:eastAsia="Calibri" w:hAnsi="Cambria Math" w:cs="Calibri"/>
                    <w:color w:val="auto"/>
                    <w:sz w:val="24"/>
                    <w:szCs w:val="24"/>
                  </w:rPr>
                  <m:t>-1</m:t>
                </m:r>
              </m:sup>
            </m:sSup>
          </m:e>
        </m:d>
      </m:oMath>
      <w:r w:rsidRPr="00836593">
        <w:rPr>
          <w:rFonts w:ascii="Calibri" w:eastAsia="Calibri" w:hAnsi="Calibri" w:cs="Calibri"/>
          <w:color w:val="auto"/>
          <w:sz w:val="24"/>
          <w:szCs w:val="24"/>
        </w:rPr>
        <w:t xml:space="preserve">directly, rather than relying on the implied companion-root structure of a causal working model; and (ii) deriving the high-dimensional asymptotic theory (identification, consistency, and convergence rates) required to formally justify the ridge-penalty tuning sequence </w:t>
      </w:r>
      <m:oMath>
        <m:sSub>
          <m:sSubPr>
            <m:ctrlPr>
              <w:rPr>
                <w:rFonts w:ascii="Cambria Math" w:eastAsia="Calibri" w:hAnsi="Cambria Math" w:cs="Calibri"/>
                <w:color w:val="auto"/>
                <w:sz w:val="24"/>
                <w:szCs w:val="24"/>
              </w:rPr>
            </m:ctrlPr>
          </m:sSubPr>
          <m:e>
            <m:r>
              <w:rPr>
                <w:rFonts w:ascii="Cambria Math" w:eastAsia="Calibri" w:hAnsi="Cambria Math" w:cs="Calibri"/>
                <w:color w:val="auto"/>
                <w:sz w:val="24"/>
                <w:szCs w:val="24"/>
              </w:rPr>
              <m:t>λ</m:t>
            </m:r>
          </m:e>
          <m:sub>
            <m:r>
              <w:rPr>
                <w:rFonts w:ascii="Cambria Math" w:eastAsia="Calibri" w:hAnsi="Cambria Math" w:cs="Calibri"/>
                <w:color w:val="auto"/>
                <w:sz w:val="24"/>
                <w:szCs w:val="24"/>
              </w:rPr>
              <m:t>T</m:t>
            </m:r>
          </m:sub>
        </m:sSub>
      </m:oMath>
      <w:r w:rsidRPr="00836593">
        <w:rPr>
          <w:rFonts w:ascii="Calibri" w:eastAsia="Calibri" w:hAnsi="Calibri" w:cs="Calibri"/>
          <w:color w:val="auto"/>
          <w:sz w:val="24"/>
          <w:szCs w:val="24"/>
        </w:rPr>
        <w:t>in this specific objective.</w:t>
      </w:r>
      <w:r w:rsidR="00000000" w:rsidRPr="00836593">
        <w:rPr>
          <w:rFonts w:ascii="Calibri" w:eastAsia="Calibri" w:hAnsi="Calibri" w:cs="Calibri"/>
          <w:color w:val="auto"/>
          <w:sz w:val="24"/>
          <w:szCs w:val="24"/>
        </w:rPr>
        <w:t>6.3. The corrected Monte Carlo evidence needs to be extended to genuinely noncausal designs at the empirical scale</w:t>
      </w:r>
    </w:p>
    <w:p w14:paraId="44BC1FF0" w14:textId="77777777" w:rsidR="006D5CB4" w:rsidRDefault="00000000">
      <w:pPr>
        <w:spacing w:after="200"/>
      </w:pPr>
      <w:r>
        <w:rPr>
          <w:rFonts w:ascii="Calibri" w:eastAsia="Calibri" w:hAnsi="Calibri" w:cs="Calibri"/>
          <w:sz w:val="22"/>
          <w:szCs w:val="22"/>
        </w:rPr>
        <w:t xml:space="preserve">Section 4.2's corrected, larger grid establishes that OLS and Lasso are essentially indistinguishable on exact root-classification accuracy and forecast error at this design's difficulty level — a materially different conclusion from the previous draft's stark OLS-versus-Lasso trade-off, which does not survive the simulator correction. Section 4.3 shows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achieves 58–66% exact root recovery in a genuinely mixed design, but only at N = 2. The immediate next step is running the same root-recovery design at N </w:t>
      </w:r>
      <w:r>
        <w:rPr>
          <w:rFonts w:ascii="Calibri" w:eastAsia="Calibri" w:hAnsi="Calibri" w:cs="Calibri"/>
          <w:sz w:val="22"/>
          <w:szCs w:val="22"/>
        </w:rPr>
        <w:lastRenderedPageBreak/>
        <w:t xml:space="preserve">= 8 or higher, once Section 6.2's certification gap is closed, so that </w:t>
      </w:r>
      <w:proofErr w:type="spellStart"/>
      <w:r>
        <w:rPr>
          <w:rFonts w:ascii="Calibri" w:eastAsia="Calibri" w:hAnsi="Calibri" w:cs="Calibri"/>
          <w:sz w:val="22"/>
          <w:szCs w:val="22"/>
        </w:rPr>
        <w:t>RGCov's</w:t>
      </w:r>
      <w:proofErr w:type="spellEnd"/>
      <w:r>
        <w:rPr>
          <w:rFonts w:ascii="Calibri" w:eastAsia="Calibri" w:hAnsi="Calibri" w:cs="Calibri"/>
          <w:sz w:val="22"/>
          <w:szCs w:val="22"/>
        </w:rPr>
        <w:t xml:space="preserve"> mixed-root recovery performance can be evaluated at a dimension comparable to the empirical application rather than only at the toy bivariate case reported here.</w:t>
      </w:r>
    </w:p>
    <w:p w14:paraId="002211EF" w14:textId="77777777" w:rsidR="006D5CB4" w:rsidRDefault="00000000">
      <w:pPr>
        <w:pStyle w:val="Heading2"/>
        <w:spacing w:before="260" w:after="140"/>
      </w:pPr>
      <w:r>
        <w:rPr>
          <w:rFonts w:ascii="Calibri" w:eastAsia="Calibri" w:hAnsi="Calibri" w:cs="Calibri"/>
          <w:b/>
          <w:bCs/>
          <w:sz w:val="24"/>
          <w:szCs w:val="24"/>
        </w:rPr>
        <w:t>6.4. Identification and asymptotic theory remain to be derived</w:t>
      </w:r>
    </w:p>
    <w:p w14:paraId="3616A5D6" w14:textId="77777777" w:rsidR="006D5CB4" w:rsidRDefault="00000000">
      <w:pPr>
        <w:spacing w:after="200"/>
      </w:pPr>
      <w:r>
        <w:rPr>
          <w:rFonts w:ascii="Calibri" w:eastAsia="Calibri" w:hAnsi="Calibri" w:cs="Calibri"/>
          <w:sz w:val="22"/>
          <w:szCs w:val="22"/>
        </w:rPr>
        <w:t xml:space="preserve">This paper does not derive — and does not claim to derive — an identification theorem, a consistency result, a convergence rate, or a rule for selecting the ridge parameter λ for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estimator in the high-dimensional mixed causal–noncausal setting. A credible next version of this paper needs, at minimum: a precise statement of the high-dimensional asymptotic regime (how N and T grow jointly, and at what rate sparsity is allowed to grow); an identification theorem stating the class of innovation distributions and rank conditions under which the population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criterion is uniquely minimized at the true parameter up to permissible normalization; and a consistency/rate result under a tuning sequence </w:t>
      </w:r>
      <w:proofErr w:type="spellStart"/>
      <w:r>
        <w:rPr>
          <w:rFonts w:ascii="Calibri" w:eastAsia="Calibri" w:hAnsi="Calibri" w:cs="Calibri"/>
          <w:sz w:val="22"/>
          <w:szCs w:val="22"/>
        </w:rPr>
        <w:t>λT</w:t>
      </w:r>
      <w:proofErr w:type="spellEnd"/>
      <w:r>
        <w:rPr>
          <w:rFonts w:ascii="Calibri" w:eastAsia="Calibri" w:hAnsi="Calibri" w:cs="Calibri"/>
          <w:sz w:val="22"/>
          <w:szCs w:val="22"/>
        </w:rPr>
        <w:t xml:space="preserve"> shown, not merely asserted, to balance regularization bias against estimation variance in this specific objective.</w:t>
      </w:r>
    </w:p>
    <w:p w14:paraId="1DE4DC6F" w14:textId="77777777" w:rsidR="006D5CB4" w:rsidRDefault="00000000">
      <w:pPr>
        <w:pStyle w:val="Heading1"/>
        <w:spacing w:before="360" w:after="160"/>
      </w:pPr>
      <w:r>
        <w:rPr>
          <w:rFonts w:ascii="Calibri" w:eastAsia="Calibri" w:hAnsi="Calibri" w:cs="Calibri"/>
          <w:b/>
          <w:bCs/>
          <w:sz w:val="26"/>
          <w:szCs w:val="26"/>
        </w:rPr>
        <w:t>7. Conclusion</w:t>
      </w:r>
    </w:p>
    <w:p w14:paraId="6FE96071" w14:textId="77777777" w:rsidR="006D5CB4" w:rsidRDefault="00000000">
      <w:pPr>
        <w:spacing w:after="200"/>
      </w:pPr>
      <w:r>
        <w:rPr>
          <w:rFonts w:ascii="Calibri" w:eastAsia="Calibri" w:hAnsi="Calibri" w:cs="Calibri"/>
          <w:sz w:val="22"/>
          <w:szCs w:val="22"/>
        </w:rPr>
        <w:t xml:space="preserve">This revision strengthens the evidentiary basis of the project in three ways and revises one of its own earlier conclusions in a fourth. First, an OLS-initialized, box-constrained, ridge-penalized reformulation of the </w:t>
      </w:r>
      <w:proofErr w:type="spellStart"/>
      <w:r>
        <w:rPr>
          <w:rFonts w:ascii="Calibri" w:eastAsia="Calibri" w:hAnsi="Calibri" w:cs="Calibri"/>
          <w:sz w:val="22"/>
          <w:szCs w:val="22"/>
        </w:rPr>
        <w:t>RGCov</w:t>
      </w:r>
      <w:proofErr w:type="spellEnd"/>
      <w:r>
        <w:rPr>
          <w:rFonts w:ascii="Calibri" w:eastAsia="Calibri" w:hAnsi="Calibri" w:cs="Calibri"/>
          <w:sz w:val="22"/>
          <w:szCs w:val="22"/>
        </w:rPr>
        <w:t xml:space="preserve"> optimizer certifies convergence in 100% of a 100-replication Monte Carlo built on a genuinely mixed causal–noncausal process, and recovers the exact root count in 58% of replications with a mean root-modulus error of 0.092 — the first controlled evidence, in this line of work, that a regularized </w:t>
      </w:r>
      <w:proofErr w:type="spellStart"/>
      <w:r>
        <w:rPr>
          <w:rFonts w:ascii="Calibri" w:eastAsia="Calibri" w:hAnsi="Calibri" w:cs="Calibri"/>
          <w:sz w:val="22"/>
          <w:szCs w:val="22"/>
        </w:rPr>
        <w:t>GCov</w:t>
      </w:r>
      <w:proofErr w:type="spellEnd"/>
      <w:r>
        <w:rPr>
          <w:rFonts w:ascii="Calibri" w:eastAsia="Calibri" w:hAnsi="Calibri" w:cs="Calibri"/>
          <w:sz w:val="22"/>
          <w:szCs w:val="22"/>
        </w:rPr>
        <w:t xml:space="preserve"> criterion can recover mixed dynamics in finite samples at all. Second, the same procedure applied to the eight-asset empirical panel (N = 8, 128 parameters) returns a stable, finite objective and a full root classification for the first time, but does not meet the certification criterion validated at N = 2, which we report as the paper's central open problem rather than paper over. Third, a properly specified recursive residual bootstrap places the empirical OLS-VAR's spectral radius at 0.417 with a 95% interval of [0.364, 0.472], comfortably inside the causal region, and a Cholesky-versus-generalized connectedness comparison shows that roughly ten percentage points of this panel's apparent recursive connectedness (38.2% versus 48.1%) is attributable to the assumed variable ordering rather than to the underlying shock covariance. Fourth, and revising our own prior draft, a corrected VAR simulator eliminates a previously reported 30% near-unit-root false-positive rate for unpenalized OLS and shows OLS and Lasso to be statistically indistinguishable on both root-classification accuracy and forecast error across a 500-replication, 12-cell grid; we withdraw the earlier trade-off claim rather than carry it forward alongside the new results, and the replication package accompanying this paper includes both the previous (flawed) and current (corrected) simulator implementations so that reviewers can verify this correction directly rather than take it on our word. None of this constitutes a validated detection of financial bubbles or a settled contagion-dating result, and we continue to present the causal OLS/Lasso findings, the connectedness disagreement between identification schemes, and the residual whiteness failures as first-order findings about what remains to be established rather than as evidence of noncausal dynamics. Progress on this agenda requires, in order: closing the certification gap between N = 2 and N = 8 identified in Section 6.2; extending the mixed-design root-recovery Monte Carlo of Section 4.3 to that same higher dimension; deriving an identification and consistency theory for the resulting estimator; and only then returning to the empirical questions of financial bubble detection and macro-financial contagion that motivate this paper's broader research agenda.</w:t>
      </w:r>
    </w:p>
    <w:p w14:paraId="6725D240" w14:textId="77777777" w:rsidR="006D5CB4" w:rsidRDefault="00000000">
      <w:pPr>
        <w:pStyle w:val="Heading1"/>
        <w:spacing w:before="360" w:after="160"/>
      </w:pPr>
      <w:r>
        <w:rPr>
          <w:rFonts w:ascii="Calibri" w:eastAsia="Calibri" w:hAnsi="Calibri" w:cs="Calibri"/>
          <w:b/>
          <w:bCs/>
          <w:sz w:val="26"/>
          <w:szCs w:val="26"/>
        </w:rPr>
        <w:t>References</w:t>
      </w:r>
    </w:p>
    <w:p w14:paraId="30FFBD30" w14:textId="77777777" w:rsidR="006D5CB4" w:rsidRDefault="00000000">
      <w:pPr>
        <w:spacing w:after="160"/>
      </w:pPr>
      <w:r>
        <w:rPr>
          <w:rFonts w:ascii="Calibri" w:eastAsia="Calibri" w:hAnsi="Calibri" w:cs="Calibri"/>
        </w:rPr>
        <w:lastRenderedPageBreak/>
        <w:t xml:space="preserve">Andersen, T. G. (2000). [Review of the book Simulation-based econometric methods, by C. </w:t>
      </w:r>
      <w:proofErr w:type="spellStart"/>
      <w:r>
        <w:rPr>
          <w:rFonts w:ascii="Calibri" w:eastAsia="Calibri" w:hAnsi="Calibri" w:cs="Calibri"/>
        </w:rPr>
        <w:t>Gouriéroux</w:t>
      </w:r>
      <w:proofErr w:type="spellEnd"/>
      <w:r>
        <w:rPr>
          <w:rFonts w:ascii="Calibri" w:eastAsia="Calibri" w:hAnsi="Calibri" w:cs="Calibri"/>
        </w:rPr>
        <w:t xml:space="preserve"> &amp; A. Monfort]. Econometric Theory, 16(1), 131–138.</w:t>
      </w:r>
    </w:p>
    <w:p w14:paraId="5E09AF68" w14:textId="77777777" w:rsidR="006D5CB4" w:rsidRDefault="00000000">
      <w:pPr>
        <w:spacing w:after="160"/>
      </w:pPr>
      <w:r>
        <w:rPr>
          <w:rFonts w:ascii="Calibri" w:eastAsia="Calibri" w:hAnsi="Calibri" w:cs="Calibri"/>
        </w:rPr>
        <w:t>Anderson, H. M., &amp; Vahid, F. (2014). Common nonlinearities in multiple series of stock market volatility. In N. Haldrup, M. Meitz, &amp; P. Saikkonen (Eds.), Essays in nonlinear time series econometrics (pp. 93–117). Oxford University Press.</w:t>
      </w:r>
    </w:p>
    <w:p w14:paraId="349B01DF" w14:textId="77777777" w:rsidR="006D5CB4" w:rsidRDefault="00000000">
      <w:pPr>
        <w:spacing w:after="160"/>
      </w:pPr>
      <w:r>
        <w:rPr>
          <w:rFonts w:ascii="Calibri" w:eastAsia="Calibri" w:hAnsi="Calibri" w:cs="Calibri"/>
        </w:rPr>
        <w:t>Callot, L. A. F., &amp; Kock, A. B. (2014). Oracle efficient estimation and forecasting with the adaptive Lasso and the adaptive group Lasso in vector autoregressions. In N. Haldrup, M. Meitz, &amp; P. Saikkonen (Eds.), Essays in nonlinear time series econometrics (pp. 238–266). Oxford University Press.</w:t>
      </w:r>
    </w:p>
    <w:p w14:paraId="39A3A0BA" w14:textId="77777777" w:rsidR="006D5CB4" w:rsidRDefault="00000000">
      <w:pPr>
        <w:spacing w:after="160"/>
      </w:pPr>
      <w:proofErr w:type="spellStart"/>
      <w:r>
        <w:rPr>
          <w:rFonts w:ascii="Calibri" w:eastAsia="Calibri" w:hAnsi="Calibri" w:cs="Calibri"/>
        </w:rPr>
        <w:t>Cubadda</w:t>
      </w:r>
      <w:proofErr w:type="spellEnd"/>
      <w:r>
        <w:rPr>
          <w:rFonts w:ascii="Calibri" w:eastAsia="Calibri" w:hAnsi="Calibri" w:cs="Calibri"/>
        </w:rPr>
        <w:t>, G., Giancaterini, F., Hecq, A., &amp; Jasiak, J. (2024). Optimization of the generalized covariance estimator in noncausal processes. Statistics and Computing, 34(4), 127.</w:t>
      </w:r>
    </w:p>
    <w:p w14:paraId="5559DBCE" w14:textId="77777777" w:rsidR="006D5CB4" w:rsidRDefault="00000000">
      <w:pPr>
        <w:spacing w:after="160"/>
      </w:pPr>
      <w:proofErr w:type="spellStart"/>
      <w:r>
        <w:rPr>
          <w:rFonts w:ascii="Calibri" w:eastAsia="Calibri" w:hAnsi="Calibri" w:cs="Calibri"/>
        </w:rPr>
        <w:t>Cubadda</w:t>
      </w:r>
      <w:proofErr w:type="spellEnd"/>
      <w:r>
        <w:rPr>
          <w:rFonts w:ascii="Calibri" w:eastAsia="Calibri" w:hAnsi="Calibri" w:cs="Calibri"/>
        </w:rPr>
        <w:t>, G., Hecq, A., &amp; Voisin, E. (2023). Detecting common bubbles in multivariate mixed causal-noncausal models. Econometrics, 11(1), 9.</w:t>
      </w:r>
    </w:p>
    <w:p w14:paraId="73525EAD" w14:textId="77777777" w:rsidR="006D5CB4" w:rsidRDefault="00000000">
      <w:pPr>
        <w:spacing w:after="160"/>
      </w:pPr>
      <w:r>
        <w:rPr>
          <w:rFonts w:ascii="Calibri" w:eastAsia="Calibri" w:hAnsi="Calibri" w:cs="Calibri"/>
        </w:rPr>
        <w:t>Cui, Q., Xu, Y., Zhang, Z., &amp; Chan, V. (2021). Max-linear regression models with regularization. Journal of Econometrics, 222(2), 579–600.</w:t>
      </w:r>
    </w:p>
    <w:p w14:paraId="3A0701D1" w14:textId="77777777" w:rsidR="006D5CB4" w:rsidRDefault="00000000">
      <w:pPr>
        <w:spacing w:after="160"/>
      </w:pPr>
      <w:r>
        <w:rPr>
          <w:rFonts w:ascii="Calibri" w:eastAsia="Calibri" w:hAnsi="Calibri" w:cs="Calibri"/>
        </w:rPr>
        <w:t>Davydov, Y. A. (1968). Convergence of distributions generated by stationary stochastic processes. Theory of Probability and Its Applications, 13(4), 691–696.</w:t>
      </w:r>
    </w:p>
    <w:p w14:paraId="39DD8937" w14:textId="77777777" w:rsidR="006D5CB4" w:rsidRDefault="00000000">
      <w:pPr>
        <w:spacing w:after="160"/>
      </w:pPr>
      <w:r>
        <w:rPr>
          <w:rFonts w:ascii="Calibri" w:eastAsia="Calibri" w:hAnsi="Calibri" w:cs="Calibri"/>
        </w:rPr>
        <w:t>Diebold, F. X., &amp; Yilmaz, K. (2014). On the network topology of variance decompositions: Measuring the connectedness of financial firms. Journal of Econometrics, 182(1), 119–134.</w:t>
      </w:r>
    </w:p>
    <w:p w14:paraId="02E5D81A" w14:textId="77777777" w:rsidR="006D5CB4" w:rsidRDefault="00000000">
      <w:pPr>
        <w:spacing w:after="160"/>
      </w:pPr>
      <w:proofErr w:type="spellStart"/>
      <w:r>
        <w:rPr>
          <w:rFonts w:ascii="Calibri" w:eastAsia="Calibri" w:hAnsi="Calibri" w:cs="Calibri"/>
        </w:rPr>
        <w:t>Giancaterini</w:t>
      </w:r>
      <w:proofErr w:type="spellEnd"/>
      <w:r>
        <w:rPr>
          <w:rFonts w:ascii="Calibri" w:eastAsia="Calibri" w:hAnsi="Calibri" w:cs="Calibri"/>
        </w:rPr>
        <w:t>, F., Hecq, A., Jasiak, J., &amp; Manafi Neyazi, A. (2025). Regularized generalized covariance (</w:t>
      </w:r>
      <w:proofErr w:type="spellStart"/>
      <w:r>
        <w:rPr>
          <w:rFonts w:ascii="Calibri" w:eastAsia="Calibri" w:hAnsi="Calibri" w:cs="Calibri"/>
        </w:rPr>
        <w:t>RGCov</w:t>
      </w:r>
      <w:proofErr w:type="spellEnd"/>
      <w:r>
        <w:rPr>
          <w:rFonts w:ascii="Calibri" w:eastAsia="Calibri" w:hAnsi="Calibri" w:cs="Calibri"/>
        </w:rPr>
        <w:t>) estimator. arXiv:2504.18678.</w:t>
      </w:r>
    </w:p>
    <w:p w14:paraId="46A01E1C" w14:textId="77777777" w:rsidR="006D5CB4" w:rsidRDefault="00000000">
      <w:pPr>
        <w:spacing w:after="160"/>
      </w:pPr>
      <w:proofErr w:type="spellStart"/>
      <w:r>
        <w:rPr>
          <w:rFonts w:ascii="Calibri" w:eastAsia="Calibri" w:hAnsi="Calibri" w:cs="Calibri"/>
        </w:rPr>
        <w:t>Giancaterini</w:t>
      </w:r>
      <w:proofErr w:type="spellEnd"/>
      <w:r>
        <w:rPr>
          <w:rFonts w:ascii="Calibri" w:eastAsia="Calibri" w:hAnsi="Calibri" w:cs="Calibri"/>
        </w:rPr>
        <w:t xml:space="preserve">, F., Hecq, A., Jasiak, J., &amp; Mazaheri, A. (2024). Testing for bubbles in green energy markets using noncausal autoregressions (CEIS Working Paper No. 570). Tor </w:t>
      </w:r>
      <w:proofErr w:type="spellStart"/>
      <w:r>
        <w:rPr>
          <w:rFonts w:ascii="Calibri" w:eastAsia="Calibri" w:hAnsi="Calibri" w:cs="Calibri"/>
        </w:rPr>
        <w:t>Vergata</w:t>
      </w:r>
      <w:proofErr w:type="spellEnd"/>
      <w:r>
        <w:rPr>
          <w:rFonts w:ascii="Calibri" w:eastAsia="Calibri" w:hAnsi="Calibri" w:cs="Calibri"/>
        </w:rPr>
        <w:t xml:space="preserve"> University of Rome.</w:t>
      </w:r>
    </w:p>
    <w:p w14:paraId="07AFE8A7" w14:textId="77777777" w:rsidR="006D5CB4" w:rsidRDefault="00000000">
      <w:pPr>
        <w:spacing w:after="160"/>
      </w:pPr>
      <w:r>
        <w:rPr>
          <w:rFonts w:ascii="Calibri" w:eastAsia="Calibri" w:hAnsi="Calibri" w:cs="Calibri"/>
        </w:rPr>
        <w:t>Gong, X. L., Liu, X. H., Xiong, X., &amp; Zhuang, X. T. (2019). Non-Gaussian VARMA model with stochastic volatility and applications in stock market bubbles. Chaos, Solitons &amp; Fractals, 121, 129–136.</w:t>
      </w:r>
    </w:p>
    <w:p w14:paraId="027CF5EF" w14:textId="77777777" w:rsidR="006D5CB4" w:rsidRDefault="00000000">
      <w:pPr>
        <w:spacing w:after="160"/>
      </w:pPr>
      <w:r>
        <w:rPr>
          <w:rFonts w:ascii="Calibri" w:eastAsia="Calibri" w:hAnsi="Calibri" w:cs="Calibri"/>
        </w:rPr>
        <w:t>Gouriéroux, C., &amp; Jasiak, J. (2017). Noncausal vector autoregressive process. Journal of Econometrics, 200(1), 118–134.</w:t>
      </w:r>
    </w:p>
    <w:p w14:paraId="0EF38C32" w14:textId="77777777" w:rsidR="006D5CB4" w:rsidRDefault="00000000">
      <w:pPr>
        <w:spacing w:after="160"/>
      </w:pPr>
      <w:r>
        <w:rPr>
          <w:rFonts w:ascii="Calibri" w:eastAsia="Calibri" w:hAnsi="Calibri" w:cs="Calibri"/>
        </w:rPr>
        <w:t>Gouriéroux, C., &amp; Jasiak, J. (2023). Generalized covariance estimator. Journal of Business &amp; Economic Statistics, 41(4), 1315–1327.</w:t>
      </w:r>
    </w:p>
    <w:p w14:paraId="305620C0" w14:textId="77777777" w:rsidR="006D5CB4" w:rsidRDefault="00000000">
      <w:pPr>
        <w:spacing w:after="160"/>
      </w:pPr>
      <w:r>
        <w:rPr>
          <w:rFonts w:ascii="Calibri" w:eastAsia="Calibri" w:hAnsi="Calibri" w:cs="Calibri"/>
        </w:rPr>
        <w:t>Haldrup, N., Meitz, M., &amp; Saikkonen, P. (Eds.). (2014). Essays in nonlinear time series econometrics. Oxford University Press.</w:t>
      </w:r>
    </w:p>
    <w:p w14:paraId="73333446" w14:textId="77777777" w:rsidR="006D5CB4" w:rsidRDefault="00000000">
      <w:pPr>
        <w:spacing w:after="160"/>
      </w:pPr>
      <w:r>
        <w:rPr>
          <w:rFonts w:ascii="Calibri" w:eastAsia="Calibri" w:hAnsi="Calibri" w:cs="Calibri"/>
        </w:rPr>
        <w:t>Hecq, A., &amp; Velasquez-Gaviria, D. (2025). Explosive episodes and time-varying volatility: A new MARMA-GARCH model applied to cryptocurrencies. Econometrics, 13(2), 13.</w:t>
      </w:r>
    </w:p>
    <w:p w14:paraId="0E69490F" w14:textId="77777777" w:rsidR="006D5CB4" w:rsidRDefault="00000000">
      <w:pPr>
        <w:spacing w:after="160"/>
      </w:pPr>
      <w:r>
        <w:rPr>
          <w:rFonts w:ascii="Calibri" w:eastAsia="Calibri" w:hAnsi="Calibri" w:cs="Calibri"/>
        </w:rPr>
        <w:t>Lanne, M., &amp; Saikkonen, P. (2013). Noncausal vector autoregressions. Econometric Theory, 29(2), 257–281.</w:t>
      </w:r>
    </w:p>
    <w:p w14:paraId="78248004" w14:textId="77777777" w:rsidR="006D5CB4" w:rsidRDefault="00000000">
      <w:pPr>
        <w:spacing w:after="160"/>
      </w:pPr>
      <w:r>
        <w:rPr>
          <w:rFonts w:ascii="Calibri" w:eastAsia="Calibri" w:hAnsi="Calibri" w:cs="Calibri"/>
        </w:rPr>
        <w:t>Ling, S., McAleer, M., &amp; Tong, H. (2015). Frontiers in time series and financial econometrics: An overview. Journal of Econometrics, 189(2), 245–250.</w:t>
      </w:r>
    </w:p>
    <w:p w14:paraId="2B5002CE" w14:textId="77777777" w:rsidR="006D5CB4" w:rsidRDefault="00000000">
      <w:pPr>
        <w:spacing w:after="160"/>
      </w:pPr>
      <w:r>
        <w:rPr>
          <w:rFonts w:ascii="Calibri" w:eastAsia="Calibri" w:hAnsi="Calibri" w:cs="Calibri"/>
        </w:rPr>
        <w:t>Manafi Neyazi, A. (2026). Essays in estimation and hypothesis testing in non-Gaussian nonlinear time series models [Doctoral dissertation, York University].</w:t>
      </w:r>
    </w:p>
    <w:p w14:paraId="37885B4C" w14:textId="77777777" w:rsidR="006D5CB4" w:rsidRDefault="00000000">
      <w:pPr>
        <w:spacing w:after="160"/>
      </w:pPr>
      <w:r>
        <w:rPr>
          <w:rFonts w:ascii="Calibri" w:eastAsia="Calibri" w:hAnsi="Calibri" w:cs="Calibri"/>
        </w:rPr>
        <w:t>Medeiros, M. C., &amp; Mendes, E. F. (2014). Penalized estimation of semi-parametric additive time-series models. In N. Haldrup, M. Meitz, &amp; P. Saikkonen (Eds.), Essays in nonlinear time series econometrics (pp. 215–237). Oxford University Press.</w:t>
      </w:r>
    </w:p>
    <w:p w14:paraId="052350E0" w14:textId="77777777" w:rsidR="006D5CB4" w:rsidRDefault="00000000">
      <w:pPr>
        <w:spacing w:after="160"/>
      </w:pPr>
      <w:r>
        <w:rPr>
          <w:rFonts w:ascii="Calibri" w:eastAsia="Calibri" w:hAnsi="Calibri" w:cs="Calibri"/>
        </w:rPr>
        <w:lastRenderedPageBreak/>
        <w:t>Phillips, P. C. B., Shi, S., &amp; Yu, J. (2015). Testing for multiple bubbles: Historical episodes of exuberance and collapse in the S&amp;P 500. International Economic Review, 56(4), 1043–1078.</w:t>
      </w:r>
    </w:p>
    <w:p w14:paraId="36E241D2" w14:textId="77777777" w:rsidR="006D5CB4" w:rsidRDefault="00000000">
      <w:pPr>
        <w:spacing w:after="160"/>
      </w:pPr>
      <w:r>
        <w:rPr>
          <w:rFonts w:ascii="Calibri" w:eastAsia="Calibri" w:hAnsi="Calibri" w:cs="Calibri"/>
        </w:rPr>
        <w:t>Støve, B., &amp; Tjøstheim, D. (2014). Asymmetric dependence patterns in financial returns: An empirical investigation using local Gaussian correlation. In N. Haldrup, M. Meitz, &amp; P. Saikkonen (Eds.), Essays in nonlinear time series econometrics (pp. 307–329). Oxford University Press.</w:t>
      </w:r>
    </w:p>
    <w:p w14:paraId="2103E1B8" w14:textId="77777777" w:rsidR="006D5CB4" w:rsidRDefault="00000000">
      <w:pPr>
        <w:spacing w:after="160"/>
      </w:pPr>
      <w:proofErr w:type="spellStart"/>
      <w:r>
        <w:rPr>
          <w:rFonts w:ascii="Calibri" w:eastAsia="Calibri" w:hAnsi="Calibri" w:cs="Calibri"/>
        </w:rPr>
        <w:t>Zambom</w:t>
      </w:r>
      <w:proofErr w:type="spellEnd"/>
      <w:r>
        <w:rPr>
          <w:rFonts w:ascii="Calibri" w:eastAsia="Calibri" w:hAnsi="Calibri" w:cs="Calibri"/>
        </w:rPr>
        <w:t>, A. Z., &amp; Gel, Y. R. (2020). Testing for local covariate trend effects in volatility models. Electronic Journal of Statistics, 14(2), 2529–2550.</w:t>
      </w:r>
    </w:p>
    <w:sectPr w:rsidR="006D5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1196B"/>
    <w:multiLevelType w:val="hybridMultilevel"/>
    <w:tmpl w:val="B592556C"/>
    <w:lvl w:ilvl="0" w:tplc="8C90F0FC">
      <w:start w:val="1"/>
      <w:numFmt w:val="bullet"/>
      <w:lvlText w:val="●"/>
      <w:lvlJc w:val="left"/>
      <w:pPr>
        <w:ind w:left="720" w:hanging="360"/>
      </w:pPr>
    </w:lvl>
    <w:lvl w:ilvl="1" w:tplc="A380E80A">
      <w:start w:val="1"/>
      <w:numFmt w:val="bullet"/>
      <w:lvlText w:val="○"/>
      <w:lvlJc w:val="left"/>
      <w:pPr>
        <w:ind w:left="1440" w:hanging="360"/>
      </w:pPr>
    </w:lvl>
    <w:lvl w:ilvl="2" w:tplc="44443892">
      <w:start w:val="1"/>
      <w:numFmt w:val="bullet"/>
      <w:lvlText w:val="■"/>
      <w:lvlJc w:val="left"/>
      <w:pPr>
        <w:ind w:left="2160" w:hanging="360"/>
      </w:pPr>
    </w:lvl>
    <w:lvl w:ilvl="3" w:tplc="AB36CA42">
      <w:start w:val="1"/>
      <w:numFmt w:val="bullet"/>
      <w:lvlText w:val="●"/>
      <w:lvlJc w:val="left"/>
      <w:pPr>
        <w:ind w:left="2880" w:hanging="360"/>
      </w:pPr>
    </w:lvl>
    <w:lvl w:ilvl="4" w:tplc="C562DFF0">
      <w:start w:val="1"/>
      <w:numFmt w:val="bullet"/>
      <w:lvlText w:val="○"/>
      <w:lvlJc w:val="left"/>
      <w:pPr>
        <w:ind w:left="3600" w:hanging="360"/>
      </w:pPr>
    </w:lvl>
    <w:lvl w:ilvl="5" w:tplc="AB86C496">
      <w:start w:val="1"/>
      <w:numFmt w:val="bullet"/>
      <w:lvlText w:val="■"/>
      <w:lvlJc w:val="left"/>
      <w:pPr>
        <w:ind w:left="4320" w:hanging="360"/>
      </w:pPr>
    </w:lvl>
    <w:lvl w:ilvl="6" w:tplc="25769BC8">
      <w:start w:val="1"/>
      <w:numFmt w:val="bullet"/>
      <w:lvlText w:val="●"/>
      <w:lvlJc w:val="left"/>
      <w:pPr>
        <w:ind w:left="5040" w:hanging="360"/>
      </w:pPr>
    </w:lvl>
    <w:lvl w:ilvl="7" w:tplc="B59E202C">
      <w:start w:val="1"/>
      <w:numFmt w:val="bullet"/>
      <w:lvlText w:val="●"/>
      <w:lvlJc w:val="left"/>
      <w:pPr>
        <w:ind w:left="5760" w:hanging="360"/>
      </w:pPr>
    </w:lvl>
    <w:lvl w:ilvl="8" w:tplc="881C1EA4">
      <w:start w:val="1"/>
      <w:numFmt w:val="bullet"/>
      <w:lvlText w:val="●"/>
      <w:lvlJc w:val="left"/>
      <w:pPr>
        <w:ind w:left="6480" w:hanging="360"/>
      </w:pPr>
    </w:lvl>
  </w:abstractNum>
  <w:num w:numId="1" w16cid:durableId="1438869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B4"/>
    <w:rsid w:val="00185A35"/>
    <w:rsid w:val="003B22DF"/>
    <w:rsid w:val="005D4A97"/>
    <w:rsid w:val="0061599D"/>
    <w:rsid w:val="006D5CB4"/>
    <w:rsid w:val="007D1A64"/>
    <w:rsid w:val="00836593"/>
    <w:rsid w:val="009C0F46"/>
    <w:rsid w:val="00A925B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525F"/>
  <w15:docId w15:val="{DE70B7A2-4B54-454E-A4C1-D6F1FE5E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qwen-markdown-text">
    <w:name w:val="qwen-markdown-text"/>
    <w:basedOn w:val="DefaultParagraphFont"/>
    <w:rsid w:val="003B2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6682</Words>
  <Characters>38094</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Mohsen Selseleh</cp:lastModifiedBy>
  <cp:revision>10</cp:revision>
  <dcterms:created xsi:type="dcterms:W3CDTF">2026-09-25T23:54:00Z</dcterms:created>
  <dcterms:modified xsi:type="dcterms:W3CDTF">2026-10-03T19:21:00Z</dcterms:modified>
</cp:coreProperties>
</file>