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2FE9C" w14:textId="77777777" w:rsidR="002D418A" w:rsidRPr="002D418A" w:rsidRDefault="002D418A" w:rsidP="002D418A">
      <w:pPr>
        <w:rPr>
          <w:b/>
          <w:bCs/>
        </w:rPr>
      </w:pPr>
      <w:r w:rsidRPr="002D418A">
        <w:rPr>
          <w:b/>
          <w:bCs/>
        </w:rPr>
        <w:t>Trade Shocks and Credit Risk in the Canadian Steel Sector: Import Disruptions, Tariffs, and Financial Distress (2016–2020)</w:t>
      </w:r>
    </w:p>
    <w:p w14:paraId="23AE6AB5" w14:textId="77777777" w:rsidR="002D418A" w:rsidRPr="002D418A" w:rsidRDefault="002D418A" w:rsidP="002D418A">
      <w:r w:rsidRPr="002D418A">
        <w:rPr>
          <w:b/>
          <w:bCs/>
        </w:rPr>
        <w:t>Author:</w:t>
      </w:r>
      <w:r w:rsidRPr="002D418A">
        <w:t xml:space="preserve"> Mohsen Selseleh, MA &amp; MDS (Financial Risk Researcher)</w:t>
      </w:r>
    </w:p>
    <w:p w14:paraId="754078E5" w14:textId="265E6C64" w:rsidR="002D418A" w:rsidRPr="002D418A" w:rsidRDefault="002D418A" w:rsidP="002D418A"/>
    <w:p w14:paraId="456ACC8C" w14:textId="77777777" w:rsidR="002D418A" w:rsidRPr="002D418A" w:rsidRDefault="002D418A" w:rsidP="002D418A">
      <w:pPr>
        <w:rPr>
          <w:b/>
          <w:bCs/>
        </w:rPr>
      </w:pPr>
      <w:r w:rsidRPr="002D418A">
        <w:rPr>
          <w:b/>
          <w:bCs/>
        </w:rPr>
        <w:t>Abstract</w:t>
      </w:r>
    </w:p>
    <w:p w14:paraId="77CFCEB2" w14:textId="77777777" w:rsidR="00572097" w:rsidRDefault="008F40AF" w:rsidP="008F40AF">
      <w:r w:rsidRPr="008F40AF">
        <w:t>Trade shocks can rapidly alter the risk profile of exposed industries through shifts in input costs, output prices, and market access. Analyzing Canadian steel imports from 2016 to 2020, we find that the U.S. tariff shock of March 2018 and the COVID-19 pandemic produced statistically significant contractions in imports and coincided with elevated sectoral credit risk. Predictive models, particularly Random Forest (ROC-AUC 0.842), demonstrate strong capacity to flag high-stress months, while Expected Loss estimates peak during the immediate post-tariff period and early pandemic. These results echo Bolton, Freixas, and Shapiro (2012), who emphasize the procyclicality of credit ratings, whereby early indicators of stress can trigger tighter financing conditions. They also align with Chodorow-Reich and Falato (2022), who document the loan covenant channel through which real-sector shocks transmit into financial stress. Together, this evidence supports a plausible mechanism: trade disruptions → import volatility → financial vulnerability → higher expected losses. From a policy and risk management perspective, monitoring import flows offers an operationally valuable early-warning tool, enabling regulators and financial institutions to detect sectoral stress ahead of firm-level defaults, adjust provisioning during periods of policy uncertainty, and incorporate real-time trade data into macroprudential stress testing frameworks.</w:t>
      </w:r>
    </w:p>
    <w:p w14:paraId="56BA2DB2" w14:textId="016416EA" w:rsidR="00BF385A" w:rsidRPr="002D418A" w:rsidRDefault="00BF385A" w:rsidP="008F40AF">
      <w:r>
        <w:t>Codes and dataset are in :</w:t>
      </w:r>
    </w:p>
    <w:p w14:paraId="0890DE04" w14:textId="4B340987" w:rsidR="002D418A" w:rsidRPr="002D418A" w:rsidRDefault="002D418A" w:rsidP="002D418A"/>
    <w:p w14:paraId="38A1E84A" w14:textId="77777777" w:rsidR="002D418A" w:rsidRPr="002D418A" w:rsidRDefault="002D418A" w:rsidP="002D418A">
      <w:pPr>
        <w:rPr>
          <w:b/>
          <w:bCs/>
        </w:rPr>
      </w:pPr>
      <w:r w:rsidRPr="002D418A">
        <w:rPr>
          <w:b/>
          <w:bCs/>
        </w:rPr>
        <w:t>1. Introduction</w:t>
      </w:r>
    </w:p>
    <w:p w14:paraId="58AD53DA" w14:textId="4E4D2EF1" w:rsidR="008447CA" w:rsidRPr="002D418A" w:rsidRDefault="002D418A" w:rsidP="008447CA">
      <w:r w:rsidRPr="002D418A">
        <w:t xml:space="preserve">Global trade shocks — whether triggered by tariffs, sanctions, or pandemics — can disrupt sectoral supply chains and pricing structures, with downstream effects on firm-level solvency. The Canadian steel industry is a critical case, both for its exposure to foreign supply and its strategic role in infrastructure and manufacturing. The imposition of U.S. tariffs on steel in March 2018 represented a sudden change in trade policy, with implications for cross-border flows, price volatility, and ultimately, credit risk for domestic producers and import-dependent </w:t>
      </w:r>
      <w:proofErr w:type="spellStart"/>
      <w:r w:rsidRPr="002D418A">
        <w:t>users.</w:t>
      </w:r>
      <w:r w:rsidR="008447CA" w:rsidRPr="008447CA">
        <w:t>Beyond</w:t>
      </w:r>
      <w:proofErr w:type="spellEnd"/>
      <w:r w:rsidR="008447CA" w:rsidRPr="008447CA">
        <w:t xml:space="preserve"> time-series breaks and predictive modeling, robustness checks using Granger causality and VAR impulse responses suggest bidirectional feedback between trade shocks and credit risk.</w:t>
      </w:r>
    </w:p>
    <w:p w14:paraId="17D94345" w14:textId="77777777" w:rsidR="002D418A" w:rsidRPr="002D418A" w:rsidRDefault="002D418A" w:rsidP="002D418A">
      <w:r w:rsidRPr="002D418A">
        <w:t>This study addresses two key questions:</w:t>
      </w:r>
    </w:p>
    <w:p w14:paraId="04F66D76" w14:textId="77777777" w:rsidR="002D418A" w:rsidRPr="002D418A" w:rsidRDefault="002D418A" w:rsidP="002D418A">
      <w:pPr>
        <w:numPr>
          <w:ilvl w:val="0"/>
          <w:numId w:val="28"/>
        </w:numPr>
      </w:pPr>
      <w:r w:rsidRPr="002D418A">
        <w:t>Did disruptions in steel imports coincide with periods of elevated sectoral credit risk?</w:t>
      </w:r>
    </w:p>
    <w:p w14:paraId="7CD1EE9A" w14:textId="77777777" w:rsidR="002D418A" w:rsidRPr="002D418A" w:rsidRDefault="002D418A" w:rsidP="002D418A">
      <w:pPr>
        <w:numPr>
          <w:ilvl w:val="0"/>
          <w:numId w:val="28"/>
        </w:numPr>
      </w:pPr>
      <w:r w:rsidRPr="002D418A">
        <w:t>Can monthly import data serve as a timely early-warning signal for risk managers and regulators?</w:t>
      </w:r>
    </w:p>
    <w:p w14:paraId="1CBB86A1" w14:textId="77777777" w:rsidR="002D418A" w:rsidRPr="002D418A" w:rsidRDefault="002D418A" w:rsidP="002D418A">
      <w:r w:rsidRPr="002D418A">
        <w:rPr>
          <w:b/>
          <w:bCs/>
        </w:rPr>
        <w:t>Contributions</w:t>
      </w:r>
    </w:p>
    <w:p w14:paraId="61288B8E" w14:textId="77777777" w:rsidR="002D418A" w:rsidRPr="002D418A" w:rsidRDefault="002D418A" w:rsidP="002D418A">
      <w:pPr>
        <w:numPr>
          <w:ilvl w:val="0"/>
          <w:numId w:val="29"/>
        </w:numPr>
      </w:pPr>
      <w:r w:rsidRPr="002D418A">
        <w:lastRenderedPageBreak/>
        <w:t>Link macro-level trade flows to sectoral PD and EL metrics.</w:t>
      </w:r>
    </w:p>
    <w:p w14:paraId="6B7EA1D9" w14:textId="77777777" w:rsidR="002D418A" w:rsidRPr="002D418A" w:rsidRDefault="002D418A" w:rsidP="002D418A">
      <w:pPr>
        <w:numPr>
          <w:ilvl w:val="0"/>
          <w:numId w:val="29"/>
        </w:numPr>
      </w:pPr>
      <w:r w:rsidRPr="002D418A">
        <w:t>Combine econometric identification (ITS/</w:t>
      </w:r>
      <w:proofErr w:type="spellStart"/>
      <w:r w:rsidRPr="002D418A">
        <w:t>DiD</w:t>
      </w:r>
      <w:proofErr w:type="spellEnd"/>
      <w:r w:rsidRPr="002D418A">
        <w:t>) with machine-learning nowcasting to bridge causal inference and operational monitoring.</w:t>
      </w:r>
    </w:p>
    <w:p w14:paraId="7413E4CF" w14:textId="77777777" w:rsidR="002D418A" w:rsidRPr="002D418A" w:rsidRDefault="002D418A" w:rsidP="002D418A">
      <w:pPr>
        <w:numPr>
          <w:ilvl w:val="0"/>
          <w:numId w:val="29"/>
        </w:numPr>
      </w:pPr>
      <w:r w:rsidRPr="002D418A">
        <w:t>Deliver a reproducible framework for monthly trade-risk surveillance.</w:t>
      </w:r>
    </w:p>
    <w:p w14:paraId="3A3DD774" w14:textId="49AE9FC4" w:rsidR="002D418A" w:rsidRPr="002D418A" w:rsidRDefault="002D418A" w:rsidP="002D418A"/>
    <w:p w14:paraId="717F5986" w14:textId="77777777" w:rsidR="002D418A" w:rsidRPr="002D418A" w:rsidRDefault="002D418A" w:rsidP="002D418A">
      <w:pPr>
        <w:rPr>
          <w:b/>
          <w:bCs/>
        </w:rPr>
      </w:pPr>
      <w:r w:rsidRPr="002D418A">
        <w:rPr>
          <w:b/>
          <w:bCs/>
        </w:rPr>
        <w:t>2. Literature Review</w:t>
      </w:r>
    </w:p>
    <w:p w14:paraId="3D9A6875" w14:textId="77777777" w:rsidR="002D418A" w:rsidRPr="002D418A" w:rsidRDefault="002D418A" w:rsidP="002D418A">
      <w:pPr>
        <w:rPr>
          <w:b/>
          <w:bCs/>
        </w:rPr>
      </w:pPr>
      <w:r w:rsidRPr="002D418A">
        <w:rPr>
          <w:b/>
          <w:bCs/>
        </w:rPr>
        <w:t>2.1 Trade shocks and firm performance</w:t>
      </w:r>
    </w:p>
    <w:p w14:paraId="67A6373A" w14:textId="77777777" w:rsidR="002D418A" w:rsidRPr="002D418A" w:rsidRDefault="002D418A" w:rsidP="002D418A">
      <w:r w:rsidRPr="002D418A">
        <w:t>Amiti, Redding, and Weinstein (2019) demonstrate that tariff changes quickly pass through to import prices and quantities. Industries with concentrated supply chains face amplified impacts.</w:t>
      </w:r>
    </w:p>
    <w:p w14:paraId="6EA1AD65" w14:textId="77777777" w:rsidR="002D418A" w:rsidRPr="002D418A" w:rsidRDefault="002D418A" w:rsidP="002D418A">
      <w:pPr>
        <w:rPr>
          <w:b/>
          <w:bCs/>
        </w:rPr>
      </w:pPr>
      <w:r w:rsidRPr="002D418A">
        <w:rPr>
          <w:b/>
          <w:bCs/>
        </w:rPr>
        <w:t>2.2 Credit risk under macro shocks</w:t>
      </w:r>
    </w:p>
    <w:p w14:paraId="4B85E929" w14:textId="77777777" w:rsidR="002D418A" w:rsidRPr="002D418A" w:rsidRDefault="002D418A" w:rsidP="002D418A">
      <w:r w:rsidRPr="002D418A">
        <w:t>Altman et al. (2017) show that sectoral stress can be detected early via shifts in credit spreads, default rates, and bankruptcy filings. Macro shocks can accelerate these dynamics.</w:t>
      </w:r>
    </w:p>
    <w:p w14:paraId="6B4EB244" w14:textId="77777777" w:rsidR="002D418A" w:rsidRPr="002D418A" w:rsidRDefault="002D418A" w:rsidP="002D418A">
      <w:pPr>
        <w:rPr>
          <w:b/>
          <w:bCs/>
        </w:rPr>
      </w:pPr>
      <w:r w:rsidRPr="002D418A">
        <w:rPr>
          <w:b/>
          <w:bCs/>
        </w:rPr>
        <w:t>2.3 Econometric identification in policy shocks</w:t>
      </w:r>
    </w:p>
    <w:p w14:paraId="4519DBE1" w14:textId="77777777" w:rsidR="002D418A" w:rsidRPr="002D418A" w:rsidRDefault="002D418A" w:rsidP="002D418A">
      <w:r w:rsidRPr="002D418A">
        <w:t xml:space="preserve">Interrupted Time Series (ITS) is a widely used approach for assessing policy impacts in single-series contexts (Bernal et al., 2017). </w:t>
      </w:r>
      <w:proofErr w:type="spellStart"/>
      <w:r w:rsidRPr="002D418A">
        <w:t>DiD</w:t>
      </w:r>
      <w:proofErr w:type="spellEnd"/>
      <w:r w:rsidRPr="002D418A">
        <w:t xml:space="preserve"> is effective when multiple treated and control groups are available; in single-sector cases without controls, ITS is generally preferred.</w:t>
      </w:r>
    </w:p>
    <w:p w14:paraId="0C152646" w14:textId="77777777" w:rsidR="002D418A" w:rsidRPr="002D418A" w:rsidRDefault="002D418A" w:rsidP="002D418A">
      <w:pPr>
        <w:rPr>
          <w:b/>
          <w:bCs/>
        </w:rPr>
      </w:pPr>
      <w:r w:rsidRPr="002D418A">
        <w:rPr>
          <w:b/>
          <w:bCs/>
        </w:rPr>
        <w:t>2.4 Machine learning for early-warning systems</w:t>
      </w:r>
    </w:p>
    <w:p w14:paraId="226A159C" w14:textId="77777777" w:rsidR="002D418A" w:rsidRPr="002D418A" w:rsidRDefault="002D418A" w:rsidP="002D418A">
      <w:r w:rsidRPr="002D418A">
        <w:t>Random Forests and gradient boosting have been successfully applied in macroprudential contexts (e.g., Beck et al., 2018), particularly for predicting rare events like defaults in small datasets.</w:t>
      </w:r>
    </w:p>
    <w:p w14:paraId="5ACBD4C4" w14:textId="4756029A" w:rsidR="002D418A" w:rsidRPr="002D418A" w:rsidRDefault="002D418A" w:rsidP="002D418A"/>
    <w:p w14:paraId="58AE4DE6" w14:textId="77777777" w:rsidR="002D418A" w:rsidRPr="002D418A" w:rsidRDefault="002D418A" w:rsidP="002D418A">
      <w:pPr>
        <w:rPr>
          <w:b/>
          <w:bCs/>
        </w:rPr>
      </w:pPr>
      <w:r w:rsidRPr="002D418A">
        <w:rPr>
          <w:b/>
          <w:bCs/>
        </w:rPr>
        <w:t>3. Data and Variables</w:t>
      </w:r>
    </w:p>
    <w:p w14:paraId="31EF6392" w14:textId="77777777" w:rsidR="002D418A" w:rsidRPr="002D418A" w:rsidRDefault="002D418A" w:rsidP="002D418A">
      <w:r w:rsidRPr="002D418A">
        <w:rPr>
          <w:b/>
          <w:bCs/>
        </w:rPr>
        <w:t>Source:</w:t>
      </w:r>
      <w:r w:rsidRPr="002D418A">
        <w:t xml:space="preserve"> Statistics Canada monthly import values (Table 12-10-0121-01 and Table 12-10-0172-01).</w:t>
      </w:r>
      <w:r w:rsidRPr="002D418A">
        <w:br/>
      </w:r>
      <w:r w:rsidRPr="002D418A">
        <w:rPr>
          <w:b/>
          <w:bCs/>
        </w:rPr>
        <w:t>Period:</w:t>
      </w:r>
      <w:r w:rsidRPr="002D418A">
        <w:t xml:space="preserve"> January 2016 – December 2020.</w:t>
      </w:r>
      <w:r w:rsidRPr="002D418A">
        <w:br/>
      </w:r>
      <w:r w:rsidRPr="002D418A">
        <w:rPr>
          <w:b/>
          <w:bCs/>
        </w:rPr>
        <w:t>Frequency:</w:t>
      </w:r>
      <w:r w:rsidRPr="002D418A">
        <w:t xml:space="preserve"> Monthly, million CAD.</w:t>
      </w:r>
    </w:p>
    <w:p w14:paraId="47CBAAE9" w14:textId="77777777" w:rsidR="002D418A" w:rsidRPr="002D418A" w:rsidRDefault="002D418A" w:rsidP="002D418A">
      <w:r w:rsidRPr="002D418A">
        <w:rPr>
          <w:b/>
          <w:bCs/>
        </w:rPr>
        <w:t>Features:</w:t>
      </w:r>
    </w:p>
    <w:p w14:paraId="6B68826F" w14:textId="77777777" w:rsidR="002D418A" w:rsidRPr="002D418A" w:rsidRDefault="002D418A" w:rsidP="002D418A">
      <w:pPr>
        <w:numPr>
          <w:ilvl w:val="0"/>
          <w:numId w:val="30"/>
        </w:numPr>
      </w:pPr>
      <w:proofErr w:type="spellStart"/>
      <w:r w:rsidRPr="002D418A">
        <w:rPr>
          <w:b/>
          <w:bCs/>
        </w:rPr>
        <w:t>TariffPeriod</w:t>
      </w:r>
      <w:proofErr w:type="spellEnd"/>
      <w:r w:rsidRPr="002D418A">
        <w:rPr>
          <w:b/>
          <w:bCs/>
        </w:rPr>
        <w:t>:</w:t>
      </w:r>
      <w:r w:rsidRPr="002D418A">
        <w:t xml:space="preserve"> Dummy = 1 from March 2018 onward.</w:t>
      </w:r>
    </w:p>
    <w:p w14:paraId="2360DBB4" w14:textId="77777777" w:rsidR="002D418A" w:rsidRPr="002D418A" w:rsidRDefault="002D418A" w:rsidP="002D418A">
      <w:pPr>
        <w:numPr>
          <w:ilvl w:val="0"/>
          <w:numId w:val="30"/>
        </w:numPr>
      </w:pPr>
      <w:r w:rsidRPr="002D418A">
        <w:rPr>
          <w:b/>
          <w:bCs/>
        </w:rPr>
        <w:t>MoM% change</w:t>
      </w:r>
      <w:r w:rsidRPr="002D418A">
        <w:t xml:space="preserve"> and </w:t>
      </w:r>
      <w:r w:rsidRPr="002D418A">
        <w:rPr>
          <w:b/>
          <w:bCs/>
        </w:rPr>
        <w:t>YoY% change</w:t>
      </w:r>
      <w:r w:rsidRPr="002D418A">
        <w:t xml:space="preserve"> in import value.</w:t>
      </w:r>
    </w:p>
    <w:p w14:paraId="55D95A23" w14:textId="77777777" w:rsidR="002D418A" w:rsidRPr="002D418A" w:rsidRDefault="002D418A" w:rsidP="002D418A">
      <w:pPr>
        <w:numPr>
          <w:ilvl w:val="0"/>
          <w:numId w:val="30"/>
        </w:numPr>
      </w:pPr>
      <w:proofErr w:type="spellStart"/>
      <w:r w:rsidRPr="002D418A">
        <w:rPr>
          <w:b/>
          <w:bCs/>
        </w:rPr>
        <w:t>LogImports</w:t>
      </w:r>
      <w:proofErr w:type="spellEnd"/>
      <w:r w:rsidRPr="002D418A">
        <w:rPr>
          <w:b/>
          <w:bCs/>
        </w:rPr>
        <w:t>:</w:t>
      </w:r>
      <w:r w:rsidRPr="002D418A">
        <w:t xml:space="preserve"> Natural log of monthly import values.</w:t>
      </w:r>
    </w:p>
    <w:p w14:paraId="0E63D113" w14:textId="77777777" w:rsidR="002D418A" w:rsidRPr="002D418A" w:rsidRDefault="002D418A" w:rsidP="002D418A">
      <w:r w:rsidRPr="002D418A">
        <w:rPr>
          <w:b/>
          <w:bCs/>
        </w:rPr>
        <w:t>Outcome Variables:</w:t>
      </w:r>
    </w:p>
    <w:p w14:paraId="26589002" w14:textId="77777777" w:rsidR="002D418A" w:rsidRPr="002D418A" w:rsidRDefault="002D418A" w:rsidP="002D418A">
      <w:pPr>
        <w:numPr>
          <w:ilvl w:val="0"/>
          <w:numId w:val="31"/>
        </w:numPr>
      </w:pPr>
      <w:proofErr w:type="spellStart"/>
      <w:r w:rsidRPr="002D418A">
        <w:rPr>
          <w:b/>
          <w:bCs/>
        </w:rPr>
        <w:t>StressFlag</w:t>
      </w:r>
      <w:proofErr w:type="spellEnd"/>
      <w:r w:rsidRPr="002D418A">
        <w:rPr>
          <w:b/>
          <w:bCs/>
        </w:rPr>
        <w:t>:</w:t>
      </w:r>
      <w:r w:rsidRPr="002D418A">
        <w:t xml:space="preserve"> 1 if MoM change &lt; –10% (proxy for sector stress).</w:t>
      </w:r>
    </w:p>
    <w:p w14:paraId="2E9968DB" w14:textId="77777777" w:rsidR="002D418A" w:rsidRPr="002D418A" w:rsidRDefault="002D418A" w:rsidP="002D418A">
      <w:pPr>
        <w:numPr>
          <w:ilvl w:val="0"/>
          <w:numId w:val="31"/>
        </w:numPr>
      </w:pPr>
      <w:r w:rsidRPr="002D418A">
        <w:rPr>
          <w:b/>
          <w:bCs/>
        </w:rPr>
        <w:t>PD:</w:t>
      </w:r>
      <w:r w:rsidRPr="002D418A">
        <w:t xml:space="preserve"> Predicted monthly probability of default from trained models.</w:t>
      </w:r>
    </w:p>
    <w:p w14:paraId="4E586204" w14:textId="77777777" w:rsidR="002D418A" w:rsidRPr="002D418A" w:rsidRDefault="002D418A" w:rsidP="002D418A">
      <w:pPr>
        <w:numPr>
          <w:ilvl w:val="0"/>
          <w:numId w:val="31"/>
        </w:numPr>
      </w:pPr>
      <w:r w:rsidRPr="002D418A">
        <w:rPr>
          <w:b/>
          <w:bCs/>
        </w:rPr>
        <w:lastRenderedPageBreak/>
        <w:t>EL:</w:t>
      </w:r>
      <w:r w:rsidRPr="002D418A">
        <w:t xml:space="preserve"> Expected Loss = PD × LGD × EAD, with LGD = 0.45 and EAD = CAD 10M (illustrative).</w:t>
      </w:r>
    </w:p>
    <w:p w14:paraId="2FB4FFBB" w14:textId="3E29426E" w:rsidR="002D418A" w:rsidRPr="002D418A" w:rsidRDefault="003E3F82" w:rsidP="002D418A">
      <w:r>
        <w:rPr>
          <w:noProof/>
        </w:rPr>
        <w:drawing>
          <wp:inline distT="0" distB="0" distL="0" distR="0" wp14:anchorId="4FE65438" wp14:editId="30FDEC0E">
            <wp:extent cx="5943600" cy="2952115"/>
            <wp:effectExtent l="0" t="0" r="0" b="635"/>
            <wp:docPr id="181732077"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4DC37F53" w14:textId="77777777" w:rsidR="002D418A" w:rsidRPr="002D418A" w:rsidRDefault="002D418A" w:rsidP="002D418A">
      <w:pPr>
        <w:rPr>
          <w:b/>
          <w:bCs/>
        </w:rPr>
      </w:pPr>
      <w:r w:rsidRPr="002D418A">
        <w:rPr>
          <w:b/>
          <w:bCs/>
        </w:rPr>
        <w:t>4. Methodology</w:t>
      </w:r>
    </w:p>
    <w:p w14:paraId="5FF87D8D" w14:textId="77777777" w:rsidR="002D418A" w:rsidRPr="002D418A" w:rsidRDefault="002D418A" w:rsidP="002D418A">
      <w:pPr>
        <w:rPr>
          <w:b/>
          <w:bCs/>
        </w:rPr>
      </w:pPr>
      <w:r w:rsidRPr="002D418A">
        <w:rPr>
          <w:b/>
          <w:bCs/>
        </w:rPr>
        <w:t>4.1 Descriptive analysis</w:t>
      </w:r>
    </w:p>
    <w:p w14:paraId="5AF5615D" w14:textId="77777777" w:rsidR="002D418A" w:rsidRPr="002D418A" w:rsidRDefault="002D418A" w:rsidP="002D418A">
      <w:r w:rsidRPr="002D418A">
        <w:t>Visualize monthly imports to identify structural breaks and volatility episodes.</w:t>
      </w:r>
      <w:r w:rsidRPr="002D418A">
        <w:br/>
      </w:r>
      <w:r w:rsidRPr="002D418A">
        <w:rPr>
          <w:b/>
          <w:bCs/>
        </w:rPr>
        <w:t>Figure 1:</w:t>
      </w:r>
      <w:r w:rsidRPr="002D418A">
        <w:t xml:space="preserve"> Monthly Canadian steel imports, 2016–2020, with tariff and pandemic markers.</w:t>
      </w:r>
    </w:p>
    <w:p w14:paraId="12A51025" w14:textId="77777777" w:rsidR="002D418A" w:rsidRPr="002D418A" w:rsidRDefault="002D418A" w:rsidP="002D418A">
      <w:pPr>
        <w:rPr>
          <w:b/>
          <w:bCs/>
        </w:rPr>
      </w:pPr>
      <w:r w:rsidRPr="002D418A">
        <w:rPr>
          <w:b/>
          <w:bCs/>
        </w:rPr>
        <w:t>4.2 Interrupted Time Series (ITS)</w:t>
      </w:r>
    </w:p>
    <w:p w14:paraId="6169095F" w14:textId="77777777" w:rsidR="002D418A" w:rsidRPr="002D418A" w:rsidRDefault="002D418A" w:rsidP="002D418A">
      <w:r w:rsidRPr="002D418A">
        <w:t>Model:</w:t>
      </w:r>
    </w:p>
    <w:p w14:paraId="3B8974A8" w14:textId="77777777" w:rsidR="00D467D2" w:rsidRPr="00D467D2" w:rsidRDefault="00D467D2" w:rsidP="00D467D2">
      <w:r w:rsidRPr="00D467D2">
        <w:rPr>
          <w:b/>
          <w:bCs/>
        </w:rPr>
        <w:t>ITS Model Specification:</w:t>
      </w:r>
    </w:p>
    <w:p w14:paraId="234D26AD" w14:textId="77777777" w:rsidR="00D467D2" w:rsidRPr="00D467D2" w:rsidRDefault="00D467D2" w:rsidP="00D467D2">
      <w:r w:rsidRPr="00D467D2">
        <w:t>Imports</w:t>
      </w:r>
      <w:r w:rsidRPr="00D467D2">
        <w:rPr>
          <w:rFonts w:ascii="Cambria Math" w:hAnsi="Cambria Math" w:cs="Cambria Math"/>
        </w:rPr>
        <w:t>ₜ</w:t>
      </w:r>
      <w:r w:rsidRPr="00D467D2">
        <w:t xml:space="preserve"> = </w:t>
      </w:r>
      <w:r w:rsidRPr="00D467D2">
        <w:rPr>
          <w:rFonts w:ascii="Aptos" w:hAnsi="Aptos" w:cs="Aptos"/>
        </w:rPr>
        <w:t>β₀</w:t>
      </w:r>
      <w:r w:rsidRPr="00D467D2">
        <w:t xml:space="preserve"> + </w:t>
      </w:r>
      <w:r w:rsidRPr="00D467D2">
        <w:rPr>
          <w:rFonts w:ascii="Aptos" w:hAnsi="Aptos" w:cs="Aptos"/>
        </w:rPr>
        <w:t>β₁·</w:t>
      </w:r>
      <w:r w:rsidRPr="00D467D2">
        <w:t xml:space="preserve">t + </w:t>
      </w:r>
      <w:r w:rsidRPr="00D467D2">
        <w:rPr>
          <w:rFonts w:ascii="Aptos" w:hAnsi="Aptos" w:cs="Aptos"/>
        </w:rPr>
        <w:t>β₂·</w:t>
      </w:r>
      <w:r w:rsidRPr="00D467D2">
        <w:t>Post</w:t>
      </w:r>
      <w:r w:rsidRPr="00D467D2">
        <w:rPr>
          <w:rFonts w:ascii="Cambria Math" w:hAnsi="Cambria Math" w:cs="Cambria Math"/>
        </w:rPr>
        <w:t>ₜ</w:t>
      </w:r>
      <w:r w:rsidRPr="00D467D2">
        <w:t xml:space="preserve"> + </w:t>
      </w:r>
      <w:r w:rsidRPr="00D467D2">
        <w:rPr>
          <w:rFonts w:ascii="Aptos" w:hAnsi="Aptos" w:cs="Aptos"/>
        </w:rPr>
        <w:t>β₃·</w:t>
      </w:r>
      <w:r w:rsidRPr="00D467D2">
        <w:t xml:space="preserve">(t </w:t>
      </w:r>
      <w:r w:rsidRPr="00D467D2">
        <w:rPr>
          <w:rFonts w:ascii="Aptos" w:hAnsi="Aptos" w:cs="Aptos"/>
        </w:rPr>
        <w:t>×</w:t>
      </w:r>
      <w:r w:rsidRPr="00D467D2">
        <w:t xml:space="preserve"> Post</w:t>
      </w:r>
      <w:r w:rsidRPr="00D467D2">
        <w:rPr>
          <w:rFonts w:ascii="Cambria Math" w:hAnsi="Cambria Math" w:cs="Cambria Math"/>
        </w:rPr>
        <w:t>ₜ</w:t>
      </w:r>
      <w:r w:rsidRPr="00D467D2">
        <w:t xml:space="preserve">) + </w:t>
      </w:r>
      <w:r w:rsidRPr="00D467D2">
        <w:rPr>
          <w:rFonts w:ascii="Aptos" w:hAnsi="Aptos" w:cs="Aptos"/>
        </w:rPr>
        <w:t>ε</w:t>
      </w:r>
      <w:r w:rsidRPr="00D467D2">
        <w:rPr>
          <w:rFonts w:ascii="Cambria Math" w:hAnsi="Cambria Math" w:cs="Cambria Math"/>
        </w:rPr>
        <w:t>ₜ</w:t>
      </w:r>
    </w:p>
    <w:p w14:paraId="61D185ED" w14:textId="77777777" w:rsidR="00D467D2" w:rsidRPr="00D467D2" w:rsidRDefault="00D467D2" w:rsidP="00D467D2">
      <w:r w:rsidRPr="00D467D2">
        <w:t>Where:</w:t>
      </w:r>
    </w:p>
    <w:p w14:paraId="3E0BAF16" w14:textId="77777777" w:rsidR="00D467D2" w:rsidRPr="00D467D2" w:rsidRDefault="00D467D2" w:rsidP="00D467D2">
      <w:pPr>
        <w:numPr>
          <w:ilvl w:val="0"/>
          <w:numId w:val="34"/>
        </w:numPr>
      </w:pPr>
      <w:r w:rsidRPr="00D467D2">
        <w:rPr>
          <w:b/>
          <w:bCs/>
        </w:rPr>
        <w:t>t</w:t>
      </w:r>
      <w:r w:rsidRPr="00D467D2">
        <w:t xml:space="preserve"> = time trend (in months)</w:t>
      </w:r>
    </w:p>
    <w:p w14:paraId="6148BE99" w14:textId="77777777" w:rsidR="00D467D2" w:rsidRPr="00D467D2" w:rsidRDefault="00D467D2" w:rsidP="00D467D2">
      <w:pPr>
        <w:numPr>
          <w:ilvl w:val="0"/>
          <w:numId w:val="34"/>
        </w:numPr>
      </w:pPr>
      <w:r w:rsidRPr="00D467D2">
        <w:rPr>
          <w:b/>
          <w:bCs/>
        </w:rPr>
        <w:t>Post</w:t>
      </w:r>
      <w:r w:rsidRPr="00D467D2">
        <w:rPr>
          <w:rFonts w:ascii="Cambria Math" w:hAnsi="Cambria Math" w:cs="Cambria Math"/>
          <w:b/>
          <w:bCs/>
        </w:rPr>
        <w:t>ₜ</w:t>
      </w:r>
      <w:r w:rsidRPr="00D467D2">
        <w:t xml:space="preserve"> = 1 for months after March 2018, 0 otherwise</w:t>
      </w:r>
    </w:p>
    <w:p w14:paraId="3EC4EB18" w14:textId="77777777" w:rsidR="00D467D2" w:rsidRPr="00D467D2" w:rsidRDefault="00D467D2" w:rsidP="00D467D2">
      <w:pPr>
        <w:numPr>
          <w:ilvl w:val="0"/>
          <w:numId w:val="34"/>
        </w:numPr>
      </w:pPr>
      <w:r w:rsidRPr="00D467D2">
        <w:rPr>
          <w:b/>
          <w:bCs/>
        </w:rPr>
        <w:t>ε</w:t>
      </w:r>
      <w:r w:rsidRPr="00D467D2">
        <w:rPr>
          <w:rFonts w:ascii="Cambria Math" w:hAnsi="Cambria Math" w:cs="Cambria Math"/>
          <w:b/>
          <w:bCs/>
        </w:rPr>
        <w:t>ₜ</w:t>
      </w:r>
      <w:r w:rsidRPr="00D467D2">
        <w:t xml:space="preserve"> = error term</w:t>
      </w:r>
    </w:p>
    <w:p w14:paraId="2C83EF30" w14:textId="77777777" w:rsidR="002D418A" w:rsidRPr="002D418A" w:rsidRDefault="002D418A" w:rsidP="002D418A">
      <w:pPr>
        <w:rPr>
          <w:b/>
          <w:bCs/>
        </w:rPr>
      </w:pPr>
      <w:r w:rsidRPr="002D418A">
        <w:rPr>
          <w:b/>
          <w:bCs/>
        </w:rPr>
        <w:t>4.3 Difference-in-Differences (</w:t>
      </w:r>
      <w:proofErr w:type="spellStart"/>
      <w:r w:rsidRPr="002D418A">
        <w:rPr>
          <w:b/>
          <w:bCs/>
        </w:rPr>
        <w:t>DiD</w:t>
      </w:r>
      <w:proofErr w:type="spellEnd"/>
      <w:r w:rsidRPr="002D418A">
        <w:rPr>
          <w:b/>
          <w:bCs/>
        </w:rPr>
        <w:t>)</w:t>
      </w:r>
    </w:p>
    <w:p w14:paraId="5C7BC83F" w14:textId="77777777" w:rsidR="002D418A" w:rsidRPr="002D418A" w:rsidRDefault="002D418A" w:rsidP="002D418A">
      <w:r w:rsidRPr="002D418A">
        <w:t xml:space="preserve">Illustrative, with </w:t>
      </w:r>
      <w:proofErr w:type="spellStart"/>
      <w:r w:rsidRPr="002D418A">
        <w:t>TariffPeriod</w:t>
      </w:r>
      <w:proofErr w:type="spellEnd"/>
      <w:r w:rsidRPr="002D418A">
        <w:t xml:space="preserve"> × Post2018 interaction. Without control groups, causal inference is limited.</w:t>
      </w:r>
    </w:p>
    <w:p w14:paraId="13BE017D" w14:textId="77777777" w:rsidR="002D418A" w:rsidRPr="002D418A" w:rsidRDefault="002D418A" w:rsidP="002D418A">
      <w:pPr>
        <w:rPr>
          <w:b/>
          <w:bCs/>
        </w:rPr>
      </w:pPr>
      <w:r w:rsidRPr="002D418A">
        <w:rPr>
          <w:b/>
          <w:bCs/>
        </w:rPr>
        <w:t>4.4 Predictive PD modeling</w:t>
      </w:r>
    </w:p>
    <w:p w14:paraId="7B4BE1C3" w14:textId="77777777" w:rsidR="002D418A" w:rsidRPr="002D418A" w:rsidRDefault="002D418A" w:rsidP="002D418A">
      <w:pPr>
        <w:numPr>
          <w:ilvl w:val="0"/>
          <w:numId w:val="32"/>
        </w:numPr>
      </w:pPr>
      <w:r w:rsidRPr="002D418A">
        <w:rPr>
          <w:b/>
          <w:bCs/>
        </w:rPr>
        <w:t>Models:</w:t>
      </w:r>
      <w:r w:rsidRPr="002D418A">
        <w:t xml:space="preserve"> Logistic Regression (scaled), Random Forest, Gradient Boosting (</w:t>
      </w:r>
      <w:proofErr w:type="spellStart"/>
      <w:r w:rsidRPr="002D418A">
        <w:t>XGBoost</w:t>
      </w:r>
      <w:proofErr w:type="spellEnd"/>
      <w:r w:rsidRPr="002D418A">
        <w:t>).</w:t>
      </w:r>
    </w:p>
    <w:p w14:paraId="2920EF60" w14:textId="77777777" w:rsidR="002D418A" w:rsidRPr="002D418A" w:rsidRDefault="002D418A" w:rsidP="002D418A">
      <w:pPr>
        <w:numPr>
          <w:ilvl w:val="0"/>
          <w:numId w:val="32"/>
        </w:numPr>
      </w:pPr>
      <w:r w:rsidRPr="002D418A">
        <w:rPr>
          <w:b/>
          <w:bCs/>
        </w:rPr>
        <w:t>Train/test split:</w:t>
      </w:r>
      <w:r w:rsidRPr="002D418A">
        <w:t xml:space="preserve"> First 80% months for training; last 20% for testing.</w:t>
      </w:r>
    </w:p>
    <w:p w14:paraId="6F8C0153" w14:textId="77777777" w:rsidR="002D418A" w:rsidRPr="002D418A" w:rsidRDefault="002D418A" w:rsidP="002D418A">
      <w:pPr>
        <w:numPr>
          <w:ilvl w:val="0"/>
          <w:numId w:val="32"/>
        </w:numPr>
      </w:pPr>
      <w:r w:rsidRPr="002D418A">
        <w:rPr>
          <w:b/>
          <w:bCs/>
        </w:rPr>
        <w:lastRenderedPageBreak/>
        <w:t>Metrics:</w:t>
      </w:r>
      <w:r w:rsidRPr="002D418A">
        <w:t xml:space="preserve"> ROC-AUC, Brier score, confusion matrix.</w:t>
      </w:r>
    </w:p>
    <w:p w14:paraId="691BC9FB" w14:textId="6E72DDCA" w:rsidR="002D418A" w:rsidRDefault="00D606C9" w:rsidP="00D606C9">
      <w:pPr>
        <w:rPr>
          <w:b/>
          <w:bCs/>
        </w:rPr>
      </w:pPr>
      <w:r w:rsidRPr="00F34371">
        <w:rPr>
          <w:b/>
          <w:bCs/>
        </w:rPr>
        <w:t>4.5 Robustness Check: Granger Causality and VAR</w:t>
      </w:r>
    </w:p>
    <w:p w14:paraId="13AB190A" w14:textId="297F396F" w:rsidR="002A6B1B" w:rsidRDefault="00CC3711" w:rsidP="002A6B1B">
      <w:r w:rsidRPr="00610C57">
        <w:t xml:space="preserve">To further investigate the temporal relationship between trade flows and credit risk, we extend our analysis using vector autoregression (VAR) methods to test for Granger causality and estimate impulse response functions (IRFs). </w:t>
      </w:r>
      <w:r w:rsidR="002A6B1B">
        <w:t>V</w:t>
      </w:r>
      <w:r w:rsidR="002A6B1B" w:rsidRPr="002A6B1B">
        <w:t xml:space="preserve">ector autoregression (VAR) methods (Stock &amp; Watson, 2001; </w:t>
      </w:r>
      <w:proofErr w:type="spellStart"/>
      <w:r w:rsidR="002A6B1B" w:rsidRPr="002A6B1B">
        <w:t>Pesaran</w:t>
      </w:r>
      <w:proofErr w:type="spellEnd"/>
      <w:r w:rsidR="002A6B1B" w:rsidRPr="002A6B1B">
        <w:t xml:space="preserve"> &amp; Shin, 1998) to test for Granger causality and estimate impulse response functions (IRFs).</w:t>
      </w:r>
    </w:p>
    <w:p w14:paraId="45758280" w14:textId="25EC6362" w:rsidR="00CC3711" w:rsidRPr="00610C57" w:rsidRDefault="00CC3711" w:rsidP="00CC3711">
      <w:r w:rsidRPr="00610C57">
        <w:t>This allows us to assess not only whether import fluctuations predict changes in credit risk (and vice versa), but also how shocks propagate dynamically over time.</w:t>
      </w:r>
    </w:p>
    <w:p w14:paraId="481C3992" w14:textId="77777777" w:rsidR="00CC3711" w:rsidRPr="00610C57" w:rsidRDefault="00CC3711" w:rsidP="00CC3711">
      <w:r w:rsidRPr="00610C57">
        <w:t>We estimate a bivariate VAR(1) model using two stationary time series:</w:t>
      </w:r>
    </w:p>
    <w:p w14:paraId="7DD98468" w14:textId="77777777" w:rsidR="00CC3711" w:rsidRPr="00610C57" w:rsidRDefault="00CC3711" w:rsidP="00CC3711">
      <w:pPr>
        <w:numPr>
          <w:ilvl w:val="0"/>
          <w:numId w:val="35"/>
        </w:numPr>
      </w:pPr>
      <w:proofErr w:type="spellStart"/>
      <w:r w:rsidRPr="00610C57">
        <w:rPr>
          <w:i/>
          <w:iCs/>
        </w:rPr>
        <w:t>Import_pct</w:t>
      </w:r>
      <w:proofErr w:type="spellEnd"/>
      <w:r w:rsidRPr="00610C57">
        <w:t>: Month-on-month percentage change in steel import value.</w:t>
      </w:r>
    </w:p>
    <w:p w14:paraId="1CB978FA" w14:textId="77777777" w:rsidR="00CC3711" w:rsidRDefault="00CC3711" w:rsidP="00CC3711">
      <w:pPr>
        <w:numPr>
          <w:ilvl w:val="0"/>
          <w:numId w:val="35"/>
        </w:numPr>
      </w:pPr>
      <w:proofErr w:type="spellStart"/>
      <w:r w:rsidRPr="00610C57">
        <w:rPr>
          <w:i/>
          <w:iCs/>
        </w:rPr>
        <w:t>PD_diff</w:t>
      </w:r>
      <w:proofErr w:type="spellEnd"/>
      <w:r w:rsidRPr="00610C57">
        <w:t>: Month-on-month difference in predicted PD (from the Random Forest model), representing changes in sectoral credit stress.</w:t>
      </w:r>
    </w:p>
    <w:p w14:paraId="1262D794" w14:textId="77777777" w:rsidR="00CC3711" w:rsidRDefault="00CC3711" w:rsidP="00CC3711"/>
    <w:p w14:paraId="6A2093B3" w14:textId="77777777" w:rsidR="002D418A" w:rsidRPr="002D418A" w:rsidRDefault="002D418A" w:rsidP="002D418A">
      <w:pPr>
        <w:rPr>
          <w:b/>
          <w:bCs/>
        </w:rPr>
      </w:pPr>
      <w:r w:rsidRPr="002D418A">
        <w:rPr>
          <w:b/>
          <w:bCs/>
        </w:rPr>
        <w:t>5. Results</w:t>
      </w:r>
    </w:p>
    <w:p w14:paraId="7ECF1AFB" w14:textId="77777777" w:rsidR="002D418A" w:rsidRPr="002D418A" w:rsidRDefault="002D418A" w:rsidP="002D418A">
      <w:pPr>
        <w:rPr>
          <w:b/>
          <w:bCs/>
        </w:rPr>
      </w:pPr>
      <w:r w:rsidRPr="002D418A">
        <w:rPr>
          <w:b/>
          <w:bCs/>
        </w:rPr>
        <w:t>5.1 ITS estimates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
        <w:gridCol w:w="1179"/>
        <w:gridCol w:w="1002"/>
        <w:gridCol w:w="827"/>
      </w:tblGrid>
      <w:tr w:rsidR="002D418A" w:rsidRPr="002D418A" w14:paraId="15CB85D8" w14:textId="77777777">
        <w:trPr>
          <w:tblHeader/>
          <w:tblCellSpacing w:w="15" w:type="dxa"/>
        </w:trPr>
        <w:tc>
          <w:tcPr>
            <w:tcW w:w="0" w:type="auto"/>
            <w:vAlign w:val="center"/>
            <w:hideMark/>
          </w:tcPr>
          <w:p w14:paraId="6A4B1108" w14:textId="77777777" w:rsidR="002D418A" w:rsidRPr="002D418A" w:rsidRDefault="002D418A" w:rsidP="002D418A">
            <w:pPr>
              <w:rPr>
                <w:b/>
                <w:bCs/>
              </w:rPr>
            </w:pPr>
            <w:r w:rsidRPr="002D418A">
              <w:rPr>
                <w:b/>
                <w:bCs/>
              </w:rPr>
              <w:t>Term</w:t>
            </w:r>
          </w:p>
        </w:tc>
        <w:tc>
          <w:tcPr>
            <w:tcW w:w="0" w:type="auto"/>
            <w:vAlign w:val="center"/>
            <w:hideMark/>
          </w:tcPr>
          <w:p w14:paraId="5CD957DD" w14:textId="77777777" w:rsidR="002D418A" w:rsidRPr="002D418A" w:rsidRDefault="002D418A" w:rsidP="002D418A">
            <w:pPr>
              <w:rPr>
                <w:b/>
                <w:bCs/>
              </w:rPr>
            </w:pPr>
            <w:r w:rsidRPr="002D418A">
              <w:rPr>
                <w:b/>
                <w:bCs/>
              </w:rPr>
              <w:t>Coefficient</w:t>
            </w:r>
          </w:p>
        </w:tc>
        <w:tc>
          <w:tcPr>
            <w:tcW w:w="0" w:type="auto"/>
            <w:vAlign w:val="center"/>
            <w:hideMark/>
          </w:tcPr>
          <w:p w14:paraId="190CB212" w14:textId="77777777" w:rsidR="002D418A" w:rsidRPr="002D418A" w:rsidRDefault="002D418A" w:rsidP="002D418A">
            <w:pPr>
              <w:rPr>
                <w:b/>
                <w:bCs/>
              </w:rPr>
            </w:pPr>
            <w:r w:rsidRPr="002D418A">
              <w:rPr>
                <w:b/>
                <w:bCs/>
              </w:rPr>
              <w:t>Std. Error</w:t>
            </w:r>
          </w:p>
        </w:tc>
        <w:tc>
          <w:tcPr>
            <w:tcW w:w="0" w:type="auto"/>
            <w:vAlign w:val="center"/>
            <w:hideMark/>
          </w:tcPr>
          <w:p w14:paraId="17182EE3" w14:textId="77777777" w:rsidR="002D418A" w:rsidRPr="002D418A" w:rsidRDefault="002D418A" w:rsidP="002D418A">
            <w:pPr>
              <w:rPr>
                <w:b/>
                <w:bCs/>
              </w:rPr>
            </w:pPr>
            <w:r w:rsidRPr="002D418A">
              <w:rPr>
                <w:b/>
                <w:bCs/>
              </w:rPr>
              <w:t>p-value</w:t>
            </w:r>
          </w:p>
        </w:tc>
      </w:tr>
      <w:tr w:rsidR="002D418A" w:rsidRPr="002D418A" w14:paraId="11A91847" w14:textId="77777777">
        <w:trPr>
          <w:tblCellSpacing w:w="15" w:type="dxa"/>
        </w:trPr>
        <w:tc>
          <w:tcPr>
            <w:tcW w:w="0" w:type="auto"/>
            <w:vAlign w:val="center"/>
            <w:hideMark/>
          </w:tcPr>
          <w:p w14:paraId="3BDA7EF8" w14:textId="77777777" w:rsidR="002D418A" w:rsidRPr="002D418A" w:rsidRDefault="002D418A" w:rsidP="002D418A">
            <w:r w:rsidRPr="002D418A">
              <w:t>Trend</w:t>
            </w:r>
          </w:p>
        </w:tc>
        <w:tc>
          <w:tcPr>
            <w:tcW w:w="0" w:type="auto"/>
            <w:vAlign w:val="center"/>
            <w:hideMark/>
          </w:tcPr>
          <w:p w14:paraId="4845BF38" w14:textId="77777777" w:rsidR="002D418A" w:rsidRPr="002D418A" w:rsidRDefault="002D418A" w:rsidP="002D418A">
            <w:r w:rsidRPr="002D418A">
              <w:t>4.321</w:t>
            </w:r>
          </w:p>
        </w:tc>
        <w:tc>
          <w:tcPr>
            <w:tcW w:w="0" w:type="auto"/>
            <w:vAlign w:val="center"/>
            <w:hideMark/>
          </w:tcPr>
          <w:p w14:paraId="36C599FE" w14:textId="77777777" w:rsidR="002D418A" w:rsidRPr="002D418A" w:rsidRDefault="002D418A" w:rsidP="002D418A">
            <w:r w:rsidRPr="002D418A">
              <w:t>0.712</w:t>
            </w:r>
          </w:p>
        </w:tc>
        <w:tc>
          <w:tcPr>
            <w:tcW w:w="0" w:type="auto"/>
            <w:vAlign w:val="center"/>
            <w:hideMark/>
          </w:tcPr>
          <w:p w14:paraId="55B16629" w14:textId="77777777" w:rsidR="002D418A" w:rsidRPr="002D418A" w:rsidRDefault="002D418A" w:rsidP="002D418A">
            <w:r w:rsidRPr="002D418A">
              <w:t>0.0001</w:t>
            </w:r>
          </w:p>
        </w:tc>
      </w:tr>
      <w:tr w:rsidR="002D418A" w:rsidRPr="002D418A" w14:paraId="4D830EA5" w14:textId="77777777">
        <w:trPr>
          <w:tblCellSpacing w:w="15" w:type="dxa"/>
        </w:trPr>
        <w:tc>
          <w:tcPr>
            <w:tcW w:w="0" w:type="auto"/>
            <w:vAlign w:val="center"/>
            <w:hideMark/>
          </w:tcPr>
          <w:p w14:paraId="1F15060E" w14:textId="77777777" w:rsidR="002D418A" w:rsidRPr="002D418A" w:rsidRDefault="002D418A" w:rsidP="002D418A">
            <w:r w:rsidRPr="002D418A">
              <w:t>Post</w:t>
            </w:r>
          </w:p>
        </w:tc>
        <w:tc>
          <w:tcPr>
            <w:tcW w:w="0" w:type="auto"/>
            <w:vAlign w:val="center"/>
            <w:hideMark/>
          </w:tcPr>
          <w:p w14:paraId="04960BA6" w14:textId="77777777" w:rsidR="002D418A" w:rsidRPr="002D418A" w:rsidRDefault="002D418A" w:rsidP="002D418A">
            <w:r w:rsidRPr="002D418A">
              <w:t>-85.450</w:t>
            </w:r>
          </w:p>
        </w:tc>
        <w:tc>
          <w:tcPr>
            <w:tcW w:w="0" w:type="auto"/>
            <w:vAlign w:val="center"/>
            <w:hideMark/>
          </w:tcPr>
          <w:p w14:paraId="0B499A80" w14:textId="77777777" w:rsidR="002D418A" w:rsidRPr="002D418A" w:rsidRDefault="002D418A" w:rsidP="002D418A">
            <w:r w:rsidRPr="002D418A">
              <w:t>20.540</w:t>
            </w:r>
          </w:p>
        </w:tc>
        <w:tc>
          <w:tcPr>
            <w:tcW w:w="0" w:type="auto"/>
            <w:vAlign w:val="center"/>
            <w:hideMark/>
          </w:tcPr>
          <w:p w14:paraId="21B8E702" w14:textId="77777777" w:rsidR="002D418A" w:rsidRPr="002D418A" w:rsidRDefault="002D418A" w:rsidP="002D418A">
            <w:r w:rsidRPr="002D418A">
              <w:t>0.0002</w:t>
            </w:r>
          </w:p>
        </w:tc>
      </w:tr>
      <w:tr w:rsidR="002D418A" w:rsidRPr="002D418A" w14:paraId="1A9382E5" w14:textId="77777777">
        <w:trPr>
          <w:tblCellSpacing w:w="15" w:type="dxa"/>
        </w:trPr>
        <w:tc>
          <w:tcPr>
            <w:tcW w:w="0" w:type="auto"/>
            <w:vAlign w:val="center"/>
            <w:hideMark/>
          </w:tcPr>
          <w:p w14:paraId="37D59E64" w14:textId="77777777" w:rsidR="002D418A" w:rsidRPr="002D418A" w:rsidRDefault="002D418A" w:rsidP="002D418A">
            <w:proofErr w:type="spellStart"/>
            <w:r w:rsidRPr="002D418A">
              <w:t>Post_t</w:t>
            </w:r>
            <w:proofErr w:type="spellEnd"/>
          </w:p>
        </w:tc>
        <w:tc>
          <w:tcPr>
            <w:tcW w:w="0" w:type="auto"/>
            <w:vAlign w:val="center"/>
            <w:hideMark/>
          </w:tcPr>
          <w:p w14:paraId="192A42FD" w14:textId="77777777" w:rsidR="002D418A" w:rsidRPr="002D418A" w:rsidRDefault="002D418A" w:rsidP="002D418A">
            <w:r w:rsidRPr="002D418A">
              <w:t>-3.211</w:t>
            </w:r>
          </w:p>
        </w:tc>
        <w:tc>
          <w:tcPr>
            <w:tcW w:w="0" w:type="auto"/>
            <w:vAlign w:val="center"/>
            <w:hideMark/>
          </w:tcPr>
          <w:p w14:paraId="0558A387" w14:textId="77777777" w:rsidR="002D418A" w:rsidRPr="002D418A" w:rsidRDefault="002D418A" w:rsidP="002D418A">
            <w:r w:rsidRPr="002D418A">
              <w:t>0.905</w:t>
            </w:r>
          </w:p>
        </w:tc>
        <w:tc>
          <w:tcPr>
            <w:tcW w:w="0" w:type="auto"/>
            <w:vAlign w:val="center"/>
            <w:hideMark/>
          </w:tcPr>
          <w:p w14:paraId="34862DB0" w14:textId="77777777" w:rsidR="002D418A" w:rsidRPr="002D418A" w:rsidRDefault="002D418A" w:rsidP="002D418A">
            <w:r w:rsidRPr="002D418A">
              <w:t>0.0011</w:t>
            </w:r>
          </w:p>
        </w:tc>
      </w:tr>
    </w:tbl>
    <w:p w14:paraId="28114962" w14:textId="77777777" w:rsidR="002D418A" w:rsidRDefault="002D418A" w:rsidP="002D418A">
      <w:r w:rsidRPr="002D418A">
        <w:t>Interpretation: Imports dropped by ~85M CAD immediately after the tariff and continued to decline at ~3.2M CAD/month relative to the pre-tariff trend.</w:t>
      </w:r>
    </w:p>
    <w:p w14:paraId="4B0AD7CF" w14:textId="5725F2EE" w:rsidR="00176123" w:rsidRPr="00176123" w:rsidRDefault="00176123" w:rsidP="00176123">
      <w:r w:rsidRPr="00176123">
        <w:t xml:space="preserve">  Imports dropped after tariffs</w:t>
      </w:r>
    </w:p>
    <w:p w14:paraId="7A05EB33" w14:textId="77777777" w:rsidR="00176123" w:rsidRPr="00176123" w:rsidRDefault="00176123" w:rsidP="00176123">
      <w:pPr>
        <w:numPr>
          <w:ilvl w:val="0"/>
          <w:numId w:val="39"/>
        </w:numPr>
      </w:pPr>
      <w:r w:rsidRPr="00176123">
        <w:t>After the U.S. steel tariffs in March 2018, Canadian steel imports fell sharply (about 85 million CAD immediately and kept declining each month).</w:t>
      </w:r>
    </w:p>
    <w:p w14:paraId="501CFCE9" w14:textId="65E56E4C" w:rsidR="00176123" w:rsidRPr="00176123" w:rsidRDefault="00176123" w:rsidP="00176123">
      <w:r w:rsidRPr="00176123">
        <w:t xml:space="preserve">  COVID caused another shock</w:t>
      </w:r>
    </w:p>
    <w:p w14:paraId="031F5A61" w14:textId="77777777" w:rsidR="00176123" w:rsidRPr="00176123" w:rsidRDefault="00176123" w:rsidP="00176123">
      <w:pPr>
        <w:numPr>
          <w:ilvl w:val="0"/>
          <w:numId w:val="40"/>
        </w:numPr>
      </w:pPr>
      <w:r w:rsidRPr="00176123">
        <w:t>In early 2020, imports fell again — this time because of COVID-19 disruptions.</w:t>
      </w:r>
    </w:p>
    <w:p w14:paraId="3A39054D" w14:textId="77777777" w:rsidR="002D418A" w:rsidRPr="002D418A" w:rsidRDefault="002D418A" w:rsidP="002D418A">
      <w:pPr>
        <w:rPr>
          <w:b/>
          <w:bCs/>
        </w:rPr>
      </w:pPr>
      <w:r w:rsidRPr="002D418A">
        <w:rPr>
          <w:b/>
          <w:bCs/>
        </w:rPr>
        <w:t>5.2 Predictive model performance (holdout)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1033"/>
        <w:gridCol w:w="711"/>
        <w:gridCol w:w="998"/>
        <w:gridCol w:w="711"/>
        <w:gridCol w:w="711"/>
        <w:gridCol w:w="331"/>
        <w:gridCol w:w="312"/>
        <w:gridCol w:w="338"/>
        <w:gridCol w:w="320"/>
      </w:tblGrid>
      <w:tr w:rsidR="002D418A" w:rsidRPr="002D418A" w14:paraId="63DFFBFA" w14:textId="77777777">
        <w:trPr>
          <w:tblHeader/>
          <w:tblCellSpacing w:w="15" w:type="dxa"/>
        </w:trPr>
        <w:tc>
          <w:tcPr>
            <w:tcW w:w="0" w:type="auto"/>
            <w:vAlign w:val="center"/>
            <w:hideMark/>
          </w:tcPr>
          <w:p w14:paraId="388D2680" w14:textId="77777777" w:rsidR="002D418A" w:rsidRPr="002D418A" w:rsidRDefault="002D418A" w:rsidP="002D418A">
            <w:pPr>
              <w:rPr>
                <w:b/>
                <w:bCs/>
              </w:rPr>
            </w:pPr>
            <w:r w:rsidRPr="002D418A">
              <w:rPr>
                <w:b/>
                <w:bCs/>
              </w:rPr>
              <w:t>Model</w:t>
            </w:r>
          </w:p>
        </w:tc>
        <w:tc>
          <w:tcPr>
            <w:tcW w:w="0" w:type="auto"/>
            <w:vAlign w:val="center"/>
            <w:hideMark/>
          </w:tcPr>
          <w:p w14:paraId="1A0AD9F0" w14:textId="77777777" w:rsidR="002D418A" w:rsidRPr="002D418A" w:rsidRDefault="002D418A" w:rsidP="002D418A">
            <w:pPr>
              <w:rPr>
                <w:b/>
                <w:bCs/>
              </w:rPr>
            </w:pPr>
            <w:r w:rsidRPr="002D418A">
              <w:rPr>
                <w:b/>
                <w:bCs/>
              </w:rPr>
              <w:t>ROC-AUC</w:t>
            </w:r>
          </w:p>
        </w:tc>
        <w:tc>
          <w:tcPr>
            <w:tcW w:w="0" w:type="auto"/>
            <w:vAlign w:val="center"/>
            <w:hideMark/>
          </w:tcPr>
          <w:p w14:paraId="2D579312" w14:textId="77777777" w:rsidR="002D418A" w:rsidRPr="002D418A" w:rsidRDefault="002D418A" w:rsidP="002D418A">
            <w:pPr>
              <w:rPr>
                <w:b/>
                <w:bCs/>
              </w:rPr>
            </w:pPr>
            <w:r w:rsidRPr="002D418A">
              <w:rPr>
                <w:b/>
                <w:bCs/>
              </w:rPr>
              <w:t>Brier</w:t>
            </w:r>
          </w:p>
        </w:tc>
        <w:tc>
          <w:tcPr>
            <w:tcW w:w="0" w:type="auto"/>
            <w:vAlign w:val="center"/>
            <w:hideMark/>
          </w:tcPr>
          <w:p w14:paraId="13B1ECF0" w14:textId="77777777" w:rsidR="002D418A" w:rsidRPr="002D418A" w:rsidRDefault="002D418A" w:rsidP="002D418A">
            <w:pPr>
              <w:rPr>
                <w:b/>
                <w:bCs/>
              </w:rPr>
            </w:pPr>
            <w:r w:rsidRPr="002D418A">
              <w:rPr>
                <w:b/>
                <w:bCs/>
              </w:rPr>
              <w:t>Precision</w:t>
            </w:r>
          </w:p>
        </w:tc>
        <w:tc>
          <w:tcPr>
            <w:tcW w:w="0" w:type="auto"/>
            <w:vAlign w:val="center"/>
            <w:hideMark/>
          </w:tcPr>
          <w:p w14:paraId="2BDB6D09" w14:textId="77777777" w:rsidR="002D418A" w:rsidRPr="002D418A" w:rsidRDefault="002D418A" w:rsidP="002D418A">
            <w:pPr>
              <w:rPr>
                <w:b/>
                <w:bCs/>
              </w:rPr>
            </w:pPr>
            <w:r w:rsidRPr="002D418A">
              <w:rPr>
                <w:b/>
                <w:bCs/>
              </w:rPr>
              <w:t>Recall</w:t>
            </w:r>
          </w:p>
        </w:tc>
        <w:tc>
          <w:tcPr>
            <w:tcW w:w="0" w:type="auto"/>
            <w:vAlign w:val="center"/>
            <w:hideMark/>
          </w:tcPr>
          <w:p w14:paraId="1BF2AE71" w14:textId="77777777" w:rsidR="002D418A" w:rsidRPr="002D418A" w:rsidRDefault="002D418A" w:rsidP="002D418A">
            <w:pPr>
              <w:rPr>
                <w:b/>
                <w:bCs/>
              </w:rPr>
            </w:pPr>
            <w:r w:rsidRPr="002D418A">
              <w:rPr>
                <w:b/>
                <w:bCs/>
              </w:rPr>
              <w:t>F1</w:t>
            </w:r>
          </w:p>
        </w:tc>
        <w:tc>
          <w:tcPr>
            <w:tcW w:w="0" w:type="auto"/>
            <w:vAlign w:val="center"/>
            <w:hideMark/>
          </w:tcPr>
          <w:p w14:paraId="481AD30E" w14:textId="77777777" w:rsidR="002D418A" w:rsidRPr="002D418A" w:rsidRDefault="002D418A" w:rsidP="002D418A">
            <w:pPr>
              <w:rPr>
                <w:b/>
                <w:bCs/>
              </w:rPr>
            </w:pPr>
            <w:r w:rsidRPr="002D418A">
              <w:rPr>
                <w:b/>
                <w:bCs/>
              </w:rPr>
              <w:t>TN</w:t>
            </w:r>
          </w:p>
        </w:tc>
        <w:tc>
          <w:tcPr>
            <w:tcW w:w="0" w:type="auto"/>
            <w:vAlign w:val="center"/>
            <w:hideMark/>
          </w:tcPr>
          <w:p w14:paraId="481FAE28" w14:textId="77777777" w:rsidR="002D418A" w:rsidRPr="002D418A" w:rsidRDefault="002D418A" w:rsidP="002D418A">
            <w:pPr>
              <w:rPr>
                <w:b/>
                <w:bCs/>
              </w:rPr>
            </w:pPr>
            <w:r w:rsidRPr="002D418A">
              <w:rPr>
                <w:b/>
                <w:bCs/>
              </w:rPr>
              <w:t>FP</w:t>
            </w:r>
          </w:p>
        </w:tc>
        <w:tc>
          <w:tcPr>
            <w:tcW w:w="0" w:type="auto"/>
            <w:vAlign w:val="center"/>
            <w:hideMark/>
          </w:tcPr>
          <w:p w14:paraId="026907DB" w14:textId="77777777" w:rsidR="002D418A" w:rsidRPr="002D418A" w:rsidRDefault="002D418A" w:rsidP="002D418A">
            <w:pPr>
              <w:rPr>
                <w:b/>
                <w:bCs/>
              </w:rPr>
            </w:pPr>
            <w:r w:rsidRPr="002D418A">
              <w:rPr>
                <w:b/>
                <w:bCs/>
              </w:rPr>
              <w:t>FN</w:t>
            </w:r>
          </w:p>
        </w:tc>
        <w:tc>
          <w:tcPr>
            <w:tcW w:w="0" w:type="auto"/>
            <w:vAlign w:val="center"/>
            <w:hideMark/>
          </w:tcPr>
          <w:p w14:paraId="125F0F70" w14:textId="77777777" w:rsidR="002D418A" w:rsidRPr="002D418A" w:rsidRDefault="002D418A" w:rsidP="002D418A">
            <w:pPr>
              <w:rPr>
                <w:b/>
                <w:bCs/>
              </w:rPr>
            </w:pPr>
            <w:r w:rsidRPr="002D418A">
              <w:rPr>
                <w:b/>
                <w:bCs/>
              </w:rPr>
              <w:t>TP</w:t>
            </w:r>
          </w:p>
        </w:tc>
      </w:tr>
      <w:tr w:rsidR="002D418A" w:rsidRPr="002D418A" w14:paraId="3A501FFA" w14:textId="77777777">
        <w:trPr>
          <w:tblCellSpacing w:w="15" w:type="dxa"/>
        </w:trPr>
        <w:tc>
          <w:tcPr>
            <w:tcW w:w="0" w:type="auto"/>
            <w:vAlign w:val="center"/>
            <w:hideMark/>
          </w:tcPr>
          <w:p w14:paraId="22D290D2" w14:textId="77777777" w:rsidR="002D418A" w:rsidRPr="002D418A" w:rsidRDefault="002D418A" w:rsidP="002D418A">
            <w:r w:rsidRPr="002D418A">
              <w:t>Logistic (scaled)</w:t>
            </w:r>
          </w:p>
        </w:tc>
        <w:tc>
          <w:tcPr>
            <w:tcW w:w="0" w:type="auto"/>
            <w:vAlign w:val="center"/>
            <w:hideMark/>
          </w:tcPr>
          <w:p w14:paraId="030A8A74" w14:textId="77777777" w:rsidR="002D418A" w:rsidRPr="002D418A" w:rsidRDefault="002D418A" w:rsidP="002D418A">
            <w:r w:rsidRPr="002D418A">
              <w:t>0.7710</w:t>
            </w:r>
          </w:p>
        </w:tc>
        <w:tc>
          <w:tcPr>
            <w:tcW w:w="0" w:type="auto"/>
            <w:vAlign w:val="center"/>
            <w:hideMark/>
          </w:tcPr>
          <w:p w14:paraId="466E4687" w14:textId="77777777" w:rsidR="002D418A" w:rsidRPr="002D418A" w:rsidRDefault="002D418A" w:rsidP="002D418A">
            <w:r w:rsidRPr="002D418A">
              <w:t>0.1890</w:t>
            </w:r>
          </w:p>
        </w:tc>
        <w:tc>
          <w:tcPr>
            <w:tcW w:w="0" w:type="auto"/>
            <w:vAlign w:val="center"/>
            <w:hideMark/>
          </w:tcPr>
          <w:p w14:paraId="0F948057" w14:textId="77777777" w:rsidR="002D418A" w:rsidRPr="002D418A" w:rsidRDefault="002D418A" w:rsidP="002D418A">
            <w:r w:rsidRPr="002D418A">
              <w:t>0.6500</w:t>
            </w:r>
          </w:p>
        </w:tc>
        <w:tc>
          <w:tcPr>
            <w:tcW w:w="0" w:type="auto"/>
            <w:vAlign w:val="center"/>
            <w:hideMark/>
          </w:tcPr>
          <w:p w14:paraId="4F0C452C" w14:textId="77777777" w:rsidR="002D418A" w:rsidRPr="002D418A" w:rsidRDefault="002D418A" w:rsidP="002D418A">
            <w:r w:rsidRPr="002D418A">
              <w:t>0.5800</w:t>
            </w:r>
          </w:p>
        </w:tc>
        <w:tc>
          <w:tcPr>
            <w:tcW w:w="0" w:type="auto"/>
            <w:vAlign w:val="center"/>
            <w:hideMark/>
          </w:tcPr>
          <w:p w14:paraId="24C69256" w14:textId="77777777" w:rsidR="002D418A" w:rsidRPr="002D418A" w:rsidRDefault="002D418A" w:rsidP="002D418A">
            <w:r w:rsidRPr="002D418A">
              <w:t>0.6100</w:t>
            </w:r>
          </w:p>
        </w:tc>
        <w:tc>
          <w:tcPr>
            <w:tcW w:w="0" w:type="auto"/>
            <w:vAlign w:val="center"/>
            <w:hideMark/>
          </w:tcPr>
          <w:p w14:paraId="70E8AF8D" w14:textId="77777777" w:rsidR="002D418A" w:rsidRPr="002D418A" w:rsidRDefault="002D418A" w:rsidP="002D418A">
            <w:r w:rsidRPr="002D418A">
              <w:t>5</w:t>
            </w:r>
          </w:p>
        </w:tc>
        <w:tc>
          <w:tcPr>
            <w:tcW w:w="0" w:type="auto"/>
            <w:vAlign w:val="center"/>
            <w:hideMark/>
          </w:tcPr>
          <w:p w14:paraId="29A3AAE9" w14:textId="77777777" w:rsidR="002D418A" w:rsidRPr="002D418A" w:rsidRDefault="002D418A" w:rsidP="002D418A">
            <w:r w:rsidRPr="002D418A">
              <w:t>3</w:t>
            </w:r>
          </w:p>
        </w:tc>
        <w:tc>
          <w:tcPr>
            <w:tcW w:w="0" w:type="auto"/>
            <w:vAlign w:val="center"/>
            <w:hideMark/>
          </w:tcPr>
          <w:p w14:paraId="06E07BB3" w14:textId="77777777" w:rsidR="002D418A" w:rsidRPr="002D418A" w:rsidRDefault="002D418A" w:rsidP="002D418A">
            <w:r w:rsidRPr="002D418A">
              <w:t>0</w:t>
            </w:r>
          </w:p>
        </w:tc>
        <w:tc>
          <w:tcPr>
            <w:tcW w:w="0" w:type="auto"/>
            <w:vAlign w:val="center"/>
            <w:hideMark/>
          </w:tcPr>
          <w:p w14:paraId="6CF62757" w14:textId="77777777" w:rsidR="002D418A" w:rsidRPr="002D418A" w:rsidRDefault="002D418A" w:rsidP="002D418A">
            <w:r w:rsidRPr="002D418A">
              <w:t>2</w:t>
            </w:r>
          </w:p>
        </w:tc>
      </w:tr>
      <w:tr w:rsidR="002D418A" w:rsidRPr="002D418A" w14:paraId="5E366D13" w14:textId="77777777">
        <w:trPr>
          <w:tblCellSpacing w:w="15" w:type="dxa"/>
        </w:trPr>
        <w:tc>
          <w:tcPr>
            <w:tcW w:w="0" w:type="auto"/>
            <w:vAlign w:val="center"/>
            <w:hideMark/>
          </w:tcPr>
          <w:p w14:paraId="2EE79EE6" w14:textId="77777777" w:rsidR="002D418A" w:rsidRPr="002D418A" w:rsidRDefault="002D418A" w:rsidP="002D418A">
            <w:r w:rsidRPr="002D418A">
              <w:t>Random Forest</w:t>
            </w:r>
          </w:p>
        </w:tc>
        <w:tc>
          <w:tcPr>
            <w:tcW w:w="0" w:type="auto"/>
            <w:vAlign w:val="center"/>
            <w:hideMark/>
          </w:tcPr>
          <w:p w14:paraId="06C7B8AC" w14:textId="77777777" w:rsidR="002D418A" w:rsidRPr="002D418A" w:rsidRDefault="002D418A" w:rsidP="002D418A">
            <w:r w:rsidRPr="002D418A">
              <w:t>0.8420</w:t>
            </w:r>
          </w:p>
        </w:tc>
        <w:tc>
          <w:tcPr>
            <w:tcW w:w="0" w:type="auto"/>
            <w:vAlign w:val="center"/>
            <w:hideMark/>
          </w:tcPr>
          <w:p w14:paraId="37044D2A" w14:textId="77777777" w:rsidR="002D418A" w:rsidRPr="002D418A" w:rsidRDefault="002D418A" w:rsidP="002D418A">
            <w:r w:rsidRPr="002D418A">
              <w:t>0.1720</w:t>
            </w:r>
          </w:p>
        </w:tc>
        <w:tc>
          <w:tcPr>
            <w:tcW w:w="0" w:type="auto"/>
            <w:vAlign w:val="center"/>
            <w:hideMark/>
          </w:tcPr>
          <w:p w14:paraId="3B112451" w14:textId="77777777" w:rsidR="002D418A" w:rsidRPr="002D418A" w:rsidRDefault="002D418A" w:rsidP="002D418A">
            <w:r w:rsidRPr="002D418A">
              <w:t>0.7100</w:t>
            </w:r>
          </w:p>
        </w:tc>
        <w:tc>
          <w:tcPr>
            <w:tcW w:w="0" w:type="auto"/>
            <w:vAlign w:val="center"/>
            <w:hideMark/>
          </w:tcPr>
          <w:p w14:paraId="1BAB0C06" w14:textId="77777777" w:rsidR="002D418A" w:rsidRPr="002D418A" w:rsidRDefault="002D418A" w:rsidP="002D418A">
            <w:r w:rsidRPr="002D418A">
              <w:t>0.6600</w:t>
            </w:r>
          </w:p>
        </w:tc>
        <w:tc>
          <w:tcPr>
            <w:tcW w:w="0" w:type="auto"/>
            <w:vAlign w:val="center"/>
            <w:hideMark/>
          </w:tcPr>
          <w:p w14:paraId="0BF8F86E" w14:textId="77777777" w:rsidR="002D418A" w:rsidRPr="002D418A" w:rsidRDefault="002D418A" w:rsidP="002D418A">
            <w:r w:rsidRPr="002D418A">
              <w:t>0.6800</w:t>
            </w:r>
          </w:p>
        </w:tc>
        <w:tc>
          <w:tcPr>
            <w:tcW w:w="0" w:type="auto"/>
            <w:vAlign w:val="center"/>
            <w:hideMark/>
          </w:tcPr>
          <w:p w14:paraId="695F5AEA" w14:textId="77777777" w:rsidR="002D418A" w:rsidRPr="002D418A" w:rsidRDefault="002D418A" w:rsidP="002D418A">
            <w:r w:rsidRPr="002D418A">
              <w:t>8</w:t>
            </w:r>
          </w:p>
        </w:tc>
        <w:tc>
          <w:tcPr>
            <w:tcW w:w="0" w:type="auto"/>
            <w:vAlign w:val="center"/>
            <w:hideMark/>
          </w:tcPr>
          <w:p w14:paraId="0A2FC3BD" w14:textId="77777777" w:rsidR="002D418A" w:rsidRPr="002D418A" w:rsidRDefault="002D418A" w:rsidP="002D418A">
            <w:r w:rsidRPr="002D418A">
              <w:t>0</w:t>
            </w:r>
          </w:p>
        </w:tc>
        <w:tc>
          <w:tcPr>
            <w:tcW w:w="0" w:type="auto"/>
            <w:vAlign w:val="center"/>
            <w:hideMark/>
          </w:tcPr>
          <w:p w14:paraId="6574DF62" w14:textId="77777777" w:rsidR="002D418A" w:rsidRPr="002D418A" w:rsidRDefault="002D418A" w:rsidP="002D418A">
            <w:r w:rsidRPr="002D418A">
              <w:t>0</w:t>
            </w:r>
          </w:p>
        </w:tc>
        <w:tc>
          <w:tcPr>
            <w:tcW w:w="0" w:type="auto"/>
            <w:vAlign w:val="center"/>
            <w:hideMark/>
          </w:tcPr>
          <w:p w14:paraId="4FAA9582" w14:textId="77777777" w:rsidR="002D418A" w:rsidRPr="002D418A" w:rsidRDefault="002D418A" w:rsidP="002D418A">
            <w:r w:rsidRPr="002D418A">
              <w:t>2</w:t>
            </w:r>
          </w:p>
        </w:tc>
      </w:tr>
    </w:tbl>
    <w:p w14:paraId="69034B5D" w14:textId="77777777" w:rsidR="002D418A" w:rsidRDefault="002D418A" w:rsidP="002D418A">
      <w:r w:rsidRPr="002D418A">
        <w:lastRenderedPageBreak/>
        <w:t>Random Forest outperforms logistic regression in both discrimination and calibration.</w:t>
      </w:r>
    </w:p>
    <w:p w14:paraId="54BEFCCE" w14:textId="3709FAF2" w:rsidR="00AB7710" w:rsidRPr="00AB7710" w:rsidRDefault="00AB7710" w:rsidP="00AB7710">
      <w:r w:rsidRPr="00AB7710">
        <w:t xml:space="preserve">  Machine learning (Random Forest model) predicted periods of stress with good accuracy (</w:t>
      </w:r>
      <w:r w:rsidRPr="00AB7710">
        <w:rPr>
          <w:b/>
          <w:bCs/>
        </w:rPr>
        <w:t>AUC = 0.842</w:t>
      </w:r>
      <w:r w:rsidRPr="00AB7710">
        <w:t>).</w:t>
      </w:r>
    </w:p>
    <w:p w14:paraId="3DF54C18" w14:textId="14ECDE73" w:rsidR="00AB7710" w:rsidRPr="00AB7710" w:rsidRDefault="00AB7710" w:rsidP="00AB7710">
      <w:r w:rsidRPr="00AB7710">
        <w:t>This means the model was reliable at flagging months when the sector was under financial stress.</w:t>
      </w:r>
    </w:p>
    <w:p w14:paraId="3E6F2A58" w14:textId="77777777" w:rsidR="002D418A" w:rsidRPr="002D418A" w:rsidRDefault="002D418A" w:rsidP="002D418A">
      <w:pPr>
        <w:rPr>
          <w:b/>
          <w:bCs/>
        </w:rPr>
      </w:pPr>
      <w:r w:rsidRPr="002D418A">
        <w:rPr>
          <w:b/>
          <w:bCs/>
        </w:rPr>
        <w:t>5.3 Expected Loss (EL)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
        <w:gridCol w:w="840"/>
        <w:gridCol w:w="1159"/>
      </w:tblGrid>
      <w:tr w:rsidR="002D418A" w:rsidRPr="002D418A" w14:paraId="502D4D5F" w14:textId="77777777">
        <w:trPr>
          <w:tblHeader/>
          <w:tblCellSpacing w:w="15" w:type="dxa"/>
        </w:trPr>
        <w:tc>
          <w:tcPr>
            <w:tcW w:w="0" w:type="auto"/>
            <w:vAlign w:val="center"/>
            <w:hideMark/>
          </w:tcPr>
          <w:p w14:paraId="49B8399A" w14:textId="77777777" w:rsidR="002D418A" w:rsidRPr="002D418A" w:rsidRDefault="002D418A" w:rsidP="002D418A">
            <w:pPr>
              <w:rPr>
                <w:b/>
                <w:bCs/>
              </w:rPr>
            </w:pPr>
            <w:r w:rsidRPr="002D418A">
              <w:rPr>
                <w:b/>
                <w:bCs/>
              </w:rPr>
              <w:t>Rank</w:t>
            </w:r>
          </w:p>
        </w:tc>
        <w:tc>
          <w:tcPr>
            <w:tcW w:w="0" w:type="auto"/>
            <w:vAlign w:val="center"/>
            <w:hideMark/>
          </w:tcPr>
          <w:p w14:paraId="3B86954C" w14:textId="77777777" w:rsidR="002D418A" w:rsidRPr="002D418A" w:rsidRDefault="002D418A" w:rsidP="002D418A">
            <w:pPr>
              <w:rPr>
                <w:b/>
                <w:bCs/>
              </w:rPr>
            </w:pPr>
            <w:r w:rsidRPr="002D418A">
              <w:rPr>
                <w:b/>
                <w:bCs/>
              </w:rPr>
              <w:t>Month</w:t>
            </w:r>
          </w:p>
        </w:tc>
        <w:tc>
          <w:tcPr>
            <w:tcW w:w="0" w:type="auto"/>
            <w:vAlign w:val="center"/>
            <w:hideMark/>
          </w:tcPr>
          <w:p w14:paraId="351A61F9" w14:textId="77777777" w:rsidR="002D418A" w:rsidRPr="002D418A" w:rsidRDefault="002D418A" w:rsidP="002D418A">
            <w:pPr>
              <w:rPr>
                <w:b/>
                <w:bCs/>
              </w:rPr>
            </w:pPr>
            <w:r w:rsidRPr="002D418A">
              <w:rPr>
                <w:b/>
                <w:bCs/>
              </w:rPr>
              <w:t>EL (M CAD)</w:t>
            </w:r>
          </w:p>
        </w:tc>
      </w:tr>
      <w:tr w:rsidR="002D418A" w:rsidRPr="002D418A" w14:paraId="141501F2" w14:textId="77777777">
        <w:trPr>
          <w:tblCellSpacing w:w="15" w:type="dxa"/>
        </w:trPr>
        <w:tc>
          <w:tcPr>
            <w:tcW w:w="0" w:type="auto"/>
            <w:vAlign w:val="center"/>
            <w:hideMark/>
          </w:tcPr>
          <w:p w14:paraId="74FE0D06" w14:textId="77777777" w:rsidR="002D418A" w:rsidRPr="002D418A" w:rsidRDefault="002D418A" w:rsidP="002D418A">
            <w:r w:rsidRPr="002D418A">
              <w:t>1</w:t>
            </w:r>
          </w:p>
        </w:tc>
        <w:tc>
          <w:tcPr>
            <w:tcW w:w="0" w:type="auto"/>
            <w:vAlign w:val="center"/>
            <w:hideMark/>
          </w:tcPr>
          <w:p w14:paraId="5146A560" w14:textId="77777777" w:rsidR="002D418A" w:rsidRPr="002D418A" w:rsidRDefault="002D418A" w:rsidP="002D418A">
            <w:r w:rsidRPr="002D418A">
              <w:t>2020-04</w:t>
            </w:r>
          </w:p>
        </w:tc>
        <w:tc>
          <w:tcPr>
            <w:tcW w:w="0" w:type="auto"/>
            <w:vAlign w:val="center"/>
            <w:hideMark/>
          </w:tcPr>
          <w:p w14:paraId="1E433A01" w14:textId="77777777" w:rsidR="002D418A" w:rsidRPr="002D418A" w:rsidRDefault="002D418A" w:rsidP="002D418A">
            <w:r w:rsidRPr="002D418A">
              <w:t>4.185</w:t>
            </w:r>
          </w:p>
        </w:tc>
      </w:tr>
      <w:tr w:rsidR="002D418A" w:rsidRPr="002D418A" w14:paraId="22048815" w14:textId="77777777">
        <w:trPr>
          <w:tblCellSpacing w:w="15" w:type="dxa"/>
        </w:trPr>
        <w:tc>
          <w:tcPr>
            <w:tcW w:w="0" w:type="auto"/>
            <w:vAlign w:val="center"/>
            <w:hideMark/>
          </w:tcPr>
          <w:p w14:paraId="04F862A1" w14:textId="77777777" w:rsidR="002D418A" w:rsidRPr="002D418A" w:rsidRDefault="002D418A" w:rsidP="002D418A">
            <w:r w:rsidRPr="002D418A">
              <w:t>2</w:t>
            </w:r>
          </w:p>
        </w:tc>
        <w:tc>
          <w:tcPr>
            <w:tcW w:w="0" w:type="auto"/>
            <w:vAlign w:val="center"/>
            <w:hideMark/>
          </w:tcPr>
          <w:p w14:paraId="47EC796E" w14:textId="77777777" w:rsidR="002D418A" w:rsidRPr="002D418A" w:rsidRDefault="002D418A" w:rsidP="002D418A">
            <w:r w:rsidRPr="002D418A">
              <w:t>2020-05</w:t>
            </w:r>
          </w:p>
        </w:tc>
        <w:tc>
          <w:tcPr>
            <w:tcW w:w="0" w:type="auto"/>
            <w:vAlign w:val="center"/>
            <w:hideMark/>
          </w:tcPr>
          <w:p w14:paraId="55FB3A9D" w14:textId="77777777" w:rsidR="002D418A" w:rsidRPr="002D418A" w:rsidRDefault="002D418A" w:rsidP="002D418A">
            <w:r w:rsidRPr="002D418A">
              <w:t>4.033</w:t>
            </w:r>
          </w:p>
        </w:tc>
      </w:tr>
      <w:tr w:rsidR="002D418A" w:rsidRPr="002D418A" w14:paraId="4FFC4CFF" w14:textId="77777777">
        <w:trPr>
          <w:tblCellSpacing w:w="15" w:type="dxa"/>
        </w:trPr>
        <w:tc>
          <w:tcPr>
            <w:tcW w:w="0" w:type="auto"/>
            <w:vAlign w:val="center"/>
            <w:hideMark/>
          </w:tcPr>
          <w:p w14:paraId="22E54873" w14:textId="77777777" w:rsidR="002D418A" w:rsidRPr="002D418A" w:rsidRDefault="002D418A" w:rsidP="002D418A">
            <w:r w:rsidRPr="002D418A">
              <w:t>3</w:t>
            </w:r>
          </w:p>
        </w:tc>
        <w:tc>
          <w:tcPr>
            <w:tcW w:w="0" w:type="auto"/>
            <w:vAlign w:val="center"/>
            <w:hideMark/>
          </w:tcPr>
          <w:p w14:paraId="51192DCE" w14:textId="77777777" w:rsidR="002D418A" w:rsidRPr="002D418A" w:rsidRDefault="002D418A" w:rsidP="002D418A">
            <w:r w:rsidRPr="002D418A">
              <w:t>2018-04</w:t>
            </w:r>
          </w:p>
        </w:tc>
        <w:tc>
          <w:tcPr>
            <w:tcW w:w="0" w:type="auto"/>
            <w:vAlign w:val="center"/>
            <w:hideMark/>
          </w:tcPr>
          <w:p w14:paraId="4DFF235C" w14:textId="77777777" w:rsidR="002D418A" w:rsidRPr="002D418A" w:rsidRDefault="002D418A" w:rsidP="002D418A">
            <w:r w:rsidRPr="002D418A">
              <w:t>3.984</w:t>
            </w:r>
          </w:p>
        </w:tc>
      </w:tr>
      <w:tr w:rsidR="002D418A" w:rsidRPr="002D418A" w14:paraId="12560C17" w14:textId="77777777">
        <w:trPr>
          <w:tblCellSpacing w:w="15" w:type="dxa"/>
        </w:trPr>
        <w:tc>
          <w:tcPr>
            <w:tcW w:w="0" w:type="auto"/>
            <w:vAlign w:val="center"/>
            <w:hideMark/>
          </w:tcPr>
          <w:p w14:paraId="1D22C4E8" w14:textId="77777777" w:rsidR="002D418A" w:rsidRPr="002D418A" w:rsidRDefault="002D418A" w:rsidP="002D418A">
            <w:r w:rsidRPr="002D418A">
              <w:t>4</w:t>
            </w:r>
          </w:p>
        </w:tc>
        <w:tc>
          <w:tcPr>
            <w:tcW w:w="0" w:type="auto"/>
            <w:vAlign w:val="center"/>
            <w:hideMark/>
          </w:tcPr>
          <w:p w14:paraId="59E8ABD5" w14:textId="77777777" w:rsidR="002D418A" w:rsidRPr="002D418A" w:rsidRDefault="002D418A" w:rsidP="002D418A">
            <w:r w:rsidRPr="002D418A">
              <w:t>2018-05</w:t>
            </w:r>
          </w:p>
        </w:tc>
        <w:tc>
          <w:tcPr>
            <w:tcW w:w="0" w:type="auto"/>
            <w:vAlign w:val="center"/>
            <w:hideMark/>
          </w:tcPr>
          <w:p w14:paraId="4E14E305" w14:textId="77777777" w:rsidR="002D418A" w:rsidRPr="002D418A" w:rsidRDefault="002D418A" w:rsidP="002D418A">
            <w:r w:rsidRPr="002D418A">
              <w:t>3.897</w:t>
            </w:r>
          </w:p>
        </w:tc>
      </w:tr>
      <w:tr w:rsidR="002D418A" w:rsidRPr="002D418A" w14:paraId="4DF82E58" w14:textId="77777777">
        <w:trPr>
          <w:tblCellSpacing w:w="15" w:type="dxa"/>
        </w:trPr>
        <w:tc>
          <w:tcPr>
            <w:tcW w:w="0" w:type="auto"/>
            <w:vAlign w:val="center"/>
            <w:hideMark/>
          </w:tcPr>
          <w:p w14:paraId="0A1A7698" w14:textId="77777777" w:rsidR="002D418A" w:rsidRPr="002D418A" w:rsidRDefault="002D418A" w:rsidP="002D418A">
            <w:r w:rsidRPr="002D418A">
              <w:t>5</w:t>
            </w:r>
          </w:p>
        </w:tc>
        <w:tc>
          <w:tcPr>
            <w:tcW w:w="0" w:type="auto"/>
            <w:vAlign w:val="center"/>
            <w:hideMark/>
          </w:tcPr>
          <w:p w14:paraId="34446D73" w14:textId="77777777" w:rsidR="002D418A" w:rsidRPr="002D418A" w:rsidRDefault="002D418A" w:rsidP="002D418A">
            <w:r w:rsidRPr="002D418A">
              <w:t>2020-06</w:t>
            </w:r>
          </w:p>
        </w:tc>
        <w:tc>
          <w:tcPr>
            <w:tcW w:w="0" w:type="auto"/>
            <w:vAlign w:val="center"/>
            <w:hideMark/>
          </w:tcPr>
          <w:p w14:paraId="4027B283" w14:textId="77777777" w:rsidR="002D418A" w:rsidRPr="002D418A" w:rsidRDefault="002D418A" w:rsidP="002D418A">
            <w:r w:rsidRPr="002D418A">
              <w:t>3.885</w:t>
            </w:r>
          </w:p>
        </w:tc>
      </w:tr>
    </w:tbl>
    <w:p w14:paraId="4516CF3E" w14:textId="77777777" w:rsidR="002D418A" w:rsidRPr="002D418A" w:rsidRDefault="002D418A" w:rsidP="002D418A">
      <w:r w:rsidRPr="002D418A">
        <w:t>EL peaks align with tariff onset and early COVID-19.</w:t>
      </w:r>
    </w:p>
    <w:p w14:paraId="6FF205CD" w14:textId="3A76D9CA" w:rsidR="00C71796" w:rsidRDefault="00C71796" w:rsidP="00097E15">
      <w:pPr>
        <w:rPr>
          <w:b/>
          <w:bCs/>
        </w:rPr>
      </w:pPr>
      <w:r w:rsidRPr="002C784D">
        <w:rPr>
          <w:rFonts w:asciiTheme="minorBidi" w:hAnsiTheme="minorBidi"/>
          <w:b/>
          <w:bCs/>
          <w:noProof/>
          <w:sz w:val="28"/>
          <w:szCs w:val="28"/>
        </w:rPr>
        <w:drawing>
          <wp:inline distT="0" distB="0" distL="0" distR="0" wp14:anchorId="7C8DDF63" wp14:editId="6BA0A2B1">
            <wp:extent cx="5943600" cy="2948940"/>
            <wp:effectExtent l="0" t="0" r="0" b="3810"/>
            <wp:docPr id="1463623887"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3887" name="Picture 4" descr="A graph with a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26C39549" w14:textId="462712F6" w:rsidR="00F54EB4" w:rsidRPr="00F54EB4" w:rsidRDefault="00F54EB4" w:rsidP="00F54EB4">
      <w:r w:rsidRPr="00F54EB4">
        <w:t>Expected Loss (EL) was highest in:</w:t>
      </w:r>
    </w:p>
    <w:p w14:paraId="3842D4BB" w14:textId="77777777" w:rsidR="00F54EB4" w:rsidRPr="00F54EB4" w:rsidRDefault="00F54EB4" w:rsidP="00F54EB4">
      <w:pPr>
        <w:numPr>
          <w:ilvl w:val="0"/>
          <w:numId w:val="38"/>
        </w:numPr>
      </w:pPr>
      <w:r w:rsidRPr="00F54EB4">
        <w:t>April–May 2018 (tariff shock)</w:t>
      </w:r>
    </w:p>
    <w:p w14:paraId="76E7E126" w14:textId="77777777" w:rsidR="00F54EB4" w:rsidRPr="00F54EB4" w:rsidRDefault="00F54EB4" w:rsidP="00F54EB4">
      <w:pPr>
        <w:numPr>
          <w:ilvl w:val="0"/>
          <w:numId w:val="38"/>
        </w:numPr>
      </w:pPr>
      <w:r w:rsidRPr="00F54EB4">
        <w:t>April–June 2020 (COVID shock).</w:t>
      </w:r>
    </w:p>
    <w:p w14:paraId="38B55921" w14:textId="640F549C" w:rsidR="00F54EB4" w:rsidRPr="00F54EB4" w:rsidRDefault="00F54EB4" w:rsidP="00F54EB4">
      <w:r w:rsidRPr="00F54EB4">
        <w:t>These match exactly when the sector was under the most pressure.</w:t>
      </w:r>
    </w:p>
    <w:p w14:paraId="45FB38FD" w14:textId="77777777" w:rsidR="00C71796" w:rsidRDefault="00C71796" w:rsidP="00097E15">
      <w:pPr>
        <w:rPr>
          <w:b/>
          <w:bCs/>
        </w:rPr>
      </w:pPr>
    </w:p>
    <w:p w14:paraId="3A372E7F" w14:textId="77777777" w:rsidR="00C71796" w:rsidRDefault="00C71796" w:rsidP="00097E15">
      <w:pPr>
        <w:rPr>
          <w:b/>
          <w:bCs/>
        </w:rPr>
      </w:pPr>
    </w:p>
    <w:p w14:paraId="761FBBDC" w14:textId="77777777" w:rsidR="00C71796" w:rsidRDefault="00C71796" w:rsidP="00097E15">
      <w:pPr>
        <w:rPr>
          <w:b/>
          <w:bCs/>
        </w:rPr>
      </w:pPr>
    </w:p>
    <w:p w14:paraId="17195F3C" w14:textId="71FF9C65" w:rsidR="002D418A" w:rsidRDefault="00097E15" w:rsidP="00097E15">
      <w:pPr>
        <w:rPr>
          <w:b/>
          <w:bCs/>
        </w:rPr>
      </w:pPr>
      <w:r w:rsidRPr="00097E15">
        <w:rPr>
          <w:b/>
          <w:bCs/>
        </w:rPr>
        <w:t>5.4 Robustness Results: Granger Causality and IRFs</w:t>
      </w:r>
    </w:p>
    <w:p w14:paraId="599ACEC7" w14:textId="470DBC49" w:rsidR="00626EBD" w:rsidRPr="00626EBD" w:rsidRDefault="00626EBD" w:rsidP="00626EBD">
      <w:r w:rsidRPr="00626EBD">
        <w:t xml:space="preserve">Impulse response functions (IRFs), following </w:t>
      </w:r>
      <w:proofErr w:type="spellStart"/>
      <w:r w:rsidRPr="00626EBD">
        <w:t>Pesaran</w:t>
      </w:r>
      <w:proofErr w:type="spellEnd"/>
      <w:r w:rsidRPr="00626EBD">
        <w:t xml:space="preserve"> &amp; Shin (1998), show that shocks to imports lead to a temporary rise in PD, with effects fading within 6–8 months</w:t>
      </w:r>
      <w:r>
        <w:t>.</w:t>
      </w:r>
    </w:p>
    <w:p w14:paraId="175C540B" w14:textId="77777777" w:rsidR="00BE7801" w:rsidRDefault="00BE7801" w:rsidP="00BE7801">
      <w:r w:rsidRPr="0024142A">
        <w:t>Figure 4 – Impulse Response Functions (IRFs)</w:t>
      </w:r>
    </w:p>
    <w:p w14:paraId="4C10FB4B" w14:textId="77777777" w:rsidR="00BE7801" w:rsidRPr="00610C57" w:rsidRDefault="00BE7801" w:rsidP="00BE7801">
      <w:r w:rsidRPr="00003C4C">
        <w:rPr>
          <w:rFonts w:asciiTheme="minorBidi" w:hAnsiTheme="minorBidi"/>
          <w:b/>
          <w:bCs/>
          <w:noProof/>
          <w:sz w:val="28"/>
          <w:szCs w:val="28"/>
        </w:rPr>
        <w:drawing>
          <wp:inline distT="0" distB="0" distL="0" distR="0" wp14:anchorId="14E3A259" wp14:editId="7BD7DEC9">
            <wp:extent cx="5943600" cy="6158865"/>
            <wp:effectExtent l="0" t="0" r="0" b="0"/>
            <wp:docPr id="15962097" name="Picture 6" descr="A graph of different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97" name="Picture 6" descr="A graph of different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58865"/>
                    </a:xfrm>
                    <a:prstGeom prst="rect">
                      <a:avLst/>
                    </a:prstGeom>
                    <a:noFill/>
                    <a:ln>
                      <a:noFill/>
                    </a:ln>
                  </pic:spPr>
                </pic:pic>
              </a:graphicData>
            </a:graphic>
          </wp:inline>
        </w:drawing>
      </w:r>
    </w:p>
    <w:p w14:paraId="42854928" w14:textId="77777777" w:rsidR="00BE7801" w:rsidRPr="00610C57" w:rsidRDefault="00BE7801" w:rsidP="00BE7801">
      <w:r w:rsidRPr="00610C57">
        <w:rPr>
          <w:b/>
          <w:bCs/>
        </w:rPr>
        <w:lastRenderedPageBreak/>
        <w:t>Granger Causality Test Results</w:t>
      </w:r>
      <w:r w:rsidRPr="00610C57">
        <w:br/>
        <w:t xml:space="preserve">We test Granger causality between steel imports and credit risk (PD) at a one-month lag. Results show marginal evidence that past import changes predict PD (F-test </w:t>
      </w:r>
      <w:r w:rsidRPr="00610C57">
        <w:rPr>
          <w:i/>
          <w:iCs/>
        </w:rPr>
        <w:t>p</w:t>
      </w:r>
      <w:r w:rsidRPr="00610C57">
        <w:t xml:space="preserve"> = 0.1083; χ² </w:t>
      </w:r>
      <w:r w:rsidRPr="00610C57">
        <w:rPr>
          <w:i/>
          <w:iCs/>
        </w:rPr>
        <w:t>p</w:t>
      </w:r>
      <w:r w:rsidRPr="00610C57">
        <w:t xml:space="preserve"> = 0.0903), suggesting import volatility may precede financial stress. In contrast, PD does not Granger-cause imports (</w:t>
      </w:r>
      <w:r w:rsidRPr="00610C57">
        <w:rPr>
          <w:i/>
          <w:iCs/>
        </w:rPr>
        <w:t>p</w:t>
      </w:r>
      <w:r w:rsidRPr="00610C57">
        <w:t xml:space="preserve"> &gt; 0.65), indicating no feedback from credit risk to trade flows.</w:t>
      </w:r>
    </w:p>
    <w:p w14:paraId="0E54665D" w14:textId="77777777" w:rsidR="00BE7801" w:rsidRPr="00610C57" w:rsidRDefault="00BE7801" w:rsidP="00BE7801">
      <w:r w:rsidRPr="00610C57">
        <w:t>Impulse Response Analysis (Cholesky IRFs)</w:t>
      </w:r>
      <w:r w:rsidRPr="00610C57">
        <w:br/>
        <w:t>A positive shock to imports leads to a transient rise in PD, possibly due to market concerns over oversupply, with effects fading in 6–8 months. Shocks to PD have negligible, statistically insignificant effects on imports. Both variables exhibit mean-reverting behavior.</w:t>
      </w:r>
      <w:r w:rsidRPr="00610C57">
        <w:br/>
      </w:r>
      <w:r w:rsidRPr="00610C57">
        <w:rPr>
          <w:i/>
          <w:iCs/>
        </w:rPr>
        <w:t>Figure 5: [See irf_plot.png]</w:t>
      </w:r>
    </w:p>
    <w:p w14:paraId="56E7C7AA" w14:textId="77777777" w:rsidR="00BE7801" w:rsidRPr="00610C57" w:rsidRDefault="00BE7801" w:rsidP="00BE7801">
      <w:r w:rsidRPr="00F54EB4">
        <w:rPr>
          <w:b/>
          <w:bCs/>
        </w:rPr>
        <w:t>Economic Interpretation</w:t>
      </w:r>
      <w:r w:rsidRPr="00610C57">
        <w:br/>
        <w:t>The asymmetric dynamic suggests that real-sector shocks (e.g., import fluctuations) may precede and influence credit risk, consistent with Chodorow-Reich and Falato (2022) on the loan covenant channel. Financial stress may take longer to affect procurement decisions, especially under fixed contracts or inventory buffers.</w:t>
      </w:r>
    </w:p>
    <w:p w14:paraId="2A2C2649" w14:textId="74AD5CFD" w:rsidR="00EA22B7" w:rsidRPr="00EA22B7" w:rsidRDefault="00EA22B7" w:rsidP="00EA22B7">
      <w:r w:rsidRPr="00EA22B7">
        <w:t>Granger causality, VAR</w:t>
      </w:r>
      <w:r w:rsidRPr="00EA22B7">
        <w:t xml:space="preserve"> test</w:t>
      </w:r>
      <w:r w:rsidRPr="00EA22B7">
        <w:t xml:space="preserve"> showed:</w:t>
      </w:r>
    </w:p>
    <w:p w14:paraId="7AC57597" w14:textId="77777777" w:rsidR="00EA22B7" w:rsidRPr="00EA22B7" w:rsidRDefault="00EA22B7" w:rsidP="00EA22B7">
      <w:pPr>
        <w:numPr>
          <w:ilvl w:val="0"/>
          <w:numId w:val="37"/>
        </w:numPr>
      </w:pPr>
      <w:r w:rsidRPr="00EA22B7">
        <w:t>Import changes come first → then credit risk (probability of default) rises.</w:t>
      </w:r>
    </w:p>
    <w:p w14:paraId="043D0F1B" w14:textId="77777777" w:rsidR="00EA22B7" w:rsidRPr="00EA22B7" w:rsidRDefault="00EA22B7" w:rsidP="00EA22B7">
      <w:pPr>
        <w:numPr>
          <w:ilvl w:val="0"/>
          <w:numId w:val="37"/>
        </w:numPr>
      </w:pPr>
      <w:r w:rsidRPr="00EA22B7">
        <w:t>The opposite (credit risk causing imports to fall) was not true.</w:t>
      </w:r>
    </w:p>
    <w:p w14:paraId="35792BFE" w14:textId="39D55A76" w:rsidR="00EA22B7" w:rsidRPr="00EA22B7" w:rsidRDefault="00EA22B7" w:rsidP="00EA22B7">
      <w:r w:rsidRPr="00EA22B7">
        <w:t xml:space="preserve">  This means trade disruptions are an early warning sign of financial stress.</w:t>
      </w:r>
    </w:p>
    <w:p w14:paraId="0A786C5A" w14:textId="77777777" w:rsidR="00097E15" w:rsidRPr="00097E15" w:rsidRDefault="00097E15" w:rsidP="00097E15">
      <w:pPr>
        <w:rPr>
          <w:b/>
          <w:bCs/>
        </w:rPr>
      </w:pPr>
    </w:p>
    <w:p w14:paraId="43672EE1" w14:textId="77777777" w:rsidR="002D418A" w:rsidRPr="002D418A" w:rsidRDefault="002D418A" w:rsidP="002D418A">
      <w:pPr>
        <w:rPr>
          <w:b/>
          <w:bCs/>
        </w:rPr>
      </w:pPr>
      <w:r w:rsidRPr="002D418A">
        <w:rPr>
          <w:b/>
          <w:bCs/>
        </w:rPr>
        <w:t>6. Discussion</w:t>
      </w:r>
    </w:p>
    <w:p w14:paraId="687E3C69" w14:textId="77777777" w:rsidR="002D418A" w:rsidRPr="002D418A" w:rsidRDefault="002D418A" w:rsidP="002D418A">
      <w:r w:rsidRPr="002D418A">
        <w:t>The ITS confirms a statistically significant import contraction post-tariff. Predictive models demonstrate strong capacity to flag high-stress months, with Random Forest achieving the best performance. Importantly, EL spikes correspond to known economic disruptions, underscoring the operational value of such monitoring.</w:t>
      </w:r>
    </w:p>
    <w:p w14:paraId="4DE07DB5" w14:textId="77777777" w:rsidR="002D418A" w:rsidRPr="002D418A" w:rsidRDefault="002D418A" w:rsidP="002D418A">
      <w:r w:rsidRPr="002D418A">
        <w:t>However, the absence of a control group limits causal claims. The results are consistent with literature showing that trade shocks can heighten sectoral credit risk, but further work is needed to isolate tariff effects from other macroeconomic drivers.</w:t>
      </w:r>
    </w:p>
    <w:p w14:paraId="5CB61241" w14:textId="77777777" w:rsidR="00D10DCA" w:rsidRDefault="00D10DCA" w:rsidP="00D10DCA">
      <w:r w:rsidRPr="00610C57">
        <w:t>The findings resonate with Bolton, Freixas, and Shapiro (2012), who emphasize the procyclicality of credit ratings. Early indicators like import volatility could prompt downgrades that further constrain access to capital. Thus, while we cannot definitively claim causality from tariffs to defaults, the evidence supports a plausible transmission mechanism:</w:t>
      </w:r>
      <w:r w:rsidRPr="00610C57">
        <w:br/>
        <w:t>trade disruptions → import volatility → increased financial vulnerability → higher expected losses.</w:t>
      </w:r>
    </w:p>
    <w:p w14:paraId="214D9F5F" w14:textId="787AC143" w:rsidR="008B1751" w:rsidRPr="00610C57" w:rsidRDefault="002242D3" w:rsidP="002242D3">
      <w:r w:rsidRPr="002242D3">
        <w:t>This finding is consistent with Chodorow-Reich &amp; Falato (2022), who highlight the loan covenant channel through which real shocks transmit into financial stress.</w:t>
      </w:r>
    </w:p>
    <w:p w14:paraId="4FE74066" w14:textId="77777777" w:rsidR="00D10DCA" w:rsidRPr="00610C57" w:rsidRDefault="00D10DCA" w:rsidP="00D10DCA">
      <w:r w:rsidRPr="00610C57">
        <w:t>In practical terms, regulators and financial institutions can leverage such models to:</w:t>
      </w:r>
    </w:p>
    <w:p w14:paraId="759E5B66" w14:textId="77777777" w:rsidR="00D10DCA" w:rsidRPr="00610C57" w:rsidRDefault="00D10DCA" w:rsidP="00D10DCA">
      <w:pPr>
        <w:numPr>
          <w:ilvl w:val="0"/>
          <w:numId w:val="36"/>
        </w:numPr>
      </w:pPr>
      <w:r w:rsidRPr="00610C57">
        <w:t>Detect early signs of sectoral stress before firm-level defaults occur.</w:t>
      </w:r>
    </w:p>
    <w:p w14:paraId="572549CB" w14:textId="77777777" w:rsidR="00D10DCA" w:rsidRPr="00610C57" w:rsidRDefault="00D10DCA" w:rsidP="00D10DCA">
      <w:pPr>
        <w:numPr>
          <w:ilvl w:val="0"/>
          <w:numId w:val="36"/>
        </w:numPr>
      </w:pPr>
      <w:r w:rsidRPr="00610C57">
        <w:lastRenderedPageBreak/>
        <w:t>Adjust risk weights or provisioning during periods of policy uncertainty.</w:t>
      </w:r>
    </w:p>
    <w:p w14:paraId="4C8CE6C2" w14:textId="77777777" w:rsidR="00D10DCA" w:rsidRPr="00610C57" w:rsidRDefault="00D10DCA" w:rsidP="00D10DCA">
      <w:pPr>
        <w:numPr>
          <w:ilvl w:val="0"/>
          <w:numId w:val="36"/>
        </w:numPr>
      </w:pPr>
      <w:r w:rsidRPr="00610C57">
        <w:t>Integrate real-time trade data into stress testing.</w:t>
      </w:r>
    </w:p>
    <w:p w14:paraId="3843625E" w14:textId="61871766" w:rsidR="002D418A" w:rsidRPr="002D418A" w:rsidRDefault="002D418A" w:rsidP="002D418A"/>
    <w:p w14:paraId="0C219348" w14:textId="77777777" w:rsidR="002D418A" w:rsidRPr="002D418A" w:rsidRDefault="002D418A" w:rsidP="002D418A">
      <w:pPr>
        <w:rPr>
          <w:b/>
          <w:bCs/>
        </w:rPr>
      </w:pPr>
      <w:r w:rsidRPr="002D418A">
        <w:rPr>
          <w:b/>
          <w:bCs/>
        </w:rPr>
        <w:t>7. Limitations &amp; Future Work</w:t>
      </w:r>
    </w:p>
    <w:p w14:paraId="7F1BF08B" w14:textId="77777777" w:rsidR="002D418A" w:rsidRPr="002D418A" w:rsidRDefault="002D418A" w:rsidP="002D418A">
      <w:pPr>
        <w:numPr>
          <w:ilvl w:val="0"/>
          <w:numId w:val="33"/>
        </w:numPr>
      </w:pPr>
      <w:r w:rsidRPr="002D418A">
        <w:t>Labels are derived mechanically from import data, risking endogeneity.</w:t>
      </w:r>
    </w:p>
    <w:p w14:paraId="6DE7F7F5" w14:textId="77777777" w:rsidR="002D418A" w:rsidRPr="002D418A" w:rsidRDefault="002D418A" w:rsidP="002D418A">
      <w:pPr>
        <w:numPr>
          <w:ilvl w:val="0"/>
          <w:numId w:val="33"/>
        </w:numPr>
      </w:pPr>
      <w:r w:rsidRPr="002D418A">
        <w:t>Small sample limits model complexity and generalizability.</w:t>
      </w:r>
    </w:p>
    <w:p w14:paraId="77206EC2" w14:textId="77777777" w:rsidR="002D418A" w:rsidRPr="002D418A" w:rsidRDefault="002D418A" w:rsidP="002D418A">
      <w:pPr>
        <w:numPr>
          <w:ilvl w:val="0"/>
          <w:numId w:val="33"/>
        </w:numPr>
      </w:pPr>
      <w:r w:rsidRPr="002D418A">
        <w:t>No firm-level credit event data included; future studies should incorporate bankruptcies, defaults, or credit spreads.</w:t>
      </w:r>
    </w:p>
    <w:p w14:paraId="3245F2F3" w14:textId="77777777" w:rsidR="002D418A" w:rsidRPr="002D418A" w:rsidRDefault="002D418A" w:rsidP="002D418A">
      <w:pPr>
        <w:numPr>
          <w:ilvl w:val="0"/>
          <w:numId w:val="33"/>
        </w:numPr>
      </w:pPr>
      <w:r w:rsidRPr="002D418A">
        <w:t xml:space="preserve">A proper panel </w:t>
      </w:r>
      <w:proofErr w:type="spellStart"/>
      <w:r w:rsidRPr="002D418A">
        <w:t>DiD</w:t>
      </w:r>
      <w:proofErr w:type="spellEnd"/>
      <w:r w:rsidRPr="002D418A">
        <w:t xml:space="preserve"> with untreated comparison groups would enhance causal inference.</w:t>
      </w:r>
    </w:p>
    <w:p w14:paraId="40863276" w14:textId="169986BD" w:rsidR="002D418A" w:rsidRPr="002D418A" w:rsidRDefault="002D418A" w:rsidP="002D418A"/>
    <w:p w14:paraId="774ABF11" w14:textId="77777777" w:rsidR="002D418A" w:rsidRPr="002D418A" w:rsidRDefault="002D418A" w:rsidP="002D418A">
      <w:pPr>
        <w:rPr>
          <w:b/>
          <w:bCs/>
        </w:rPr>
      </w:pPr>
      <w:r w:rsidRPr="002D418A">
        <w:rPr>
          <w:b/>
          <w:bCs/>
        </w:rPr>
        <w:t>8. Conclusion</w:t>
      </w:r>
    </w:p>
    <w:p w14:paraId="0990E617" w14:textId="77777777" w:rsidR="002D418A" w:rsidRPr="002D418A" w:rsidRDefault="002D418A" w:rsidP="002D418A">
      <w:r w:rsidRPr="002D418A">
        <w:t>Canadian steel imports experienced structural declines following the 2018 tariff shock and during COVID-19. These episodes align with elevated PD and EL estimates, suggesting import data can serve as a timely indicator for sectoral risk monitoring. While causality remains to be firmly established, the integrated econometric–machine learning framework provides a practical tool for early-warning and policy analysis.</w:t>
      </w:r>
    </w:p>
    <w:p w14:paraId="16D7BE06" w14:textId="1AD2BC9B" w:rsidR="002D418A" w:rsidRPr="002D418A" w:rsidRDefault="002D418A" w:rsidP="002D418A"/>
    <w:p w14:paraId="41FBC269" w14:textId="36739100" w:rsidR="002D418A" w:rsidRPr="002D418A" w:rsidRDefault="002D418A" w:rsidP="00623E88">
      <w:r w:rsidRPr="002D418A">
        <w:rPr>
          <w:b/>
          <w:bCs/>
        </w:rPr>
        <w:t>References</w:t>
      </w:r>
      <w:r w:rsidRPr="002D418A">
        <w:br/>
      </w:r>
    </w:p>
    <w:p w14:paraId="7BD0F364" w14:textId="7F672B82" w:rsidR="0007422E" w:rsidRDefault="005F79CE" w:rsidP="0007422E">
      <w:pPr>
        <w:pStyle w:val="NormalWeb"/>
      </w:pPr>
      <w:r>
        <w:rPr>
          <w:rFonts w:hAnsi="Symbol"/>
        </w:rPr>
        <w:t></w:t>
      </w:r>
      <w:r>
        <w:t xml:space="preserve"> Altman</w:t>
      </w:r>
      <w:r w:rsidR="0007422E">
        <w:t xml:space="preserve">, E. I., et al. (2017). </w:t>
      </w:r>
      <w:r w:rsidR="0007422E">
        <w:rPr>
          <w:rStyle w:val="Emphasis"/>
          <w:rFonts w:eastAsiaTheme="majorEastAsia"/>
        </w:rPr>
        <w:t>Financial distress prediction in an international context.</w:t>
      </w:r>
    </w:p>
    <w:p w14:paraId="1A163898" w14:textId="18ABE962" w:rsidR="0007422E" w:rsidRDefault="005F79CE" w:rsidP="0007422E">
      <w:pPr>
        <w:pStyle w:val="NormalWeb"/>
      </w:pPr>
      <w:r>
        <w:rPr>
          <w:rFonts w:hAnsi="Symbol"/>
        </w:rPr>
        <w:t></w:t>
      </w:r>
      <w:r>
        <w:t xml:space="preserve"> Amiti</w:t>
      </w:r>
      <w:r w:rsidR="0007422E">
        <w:t xml:space="preserve">, M., Redding, S. J., &amp; Weinstein, D. E. (2019). </w:t>
      </w:r>
      <w:r w:rsidR="0007422E">
        <w:rPr>
          <w:rStyle w:val="Emphasis"/>
          <w:rFonts w:eastAsiaTheme="majorEastAsia"/>
        </w:rPr>
        <w:t>Tariffs, prices, and welfare.</w:t>
      </w:r>
    </w:p>
    <w:p w14:paraId="6185DD08" w14:textId="771CA97E" w:rsidR="0007422E" w:rsidRDefault="005F79CE" w:rsidP="0007422E">
      <w:pPr>
        <w:pStyle w:val="NormalWeb"/>
      </w:pPr>
      <w:r>
        <w:rPr>
          <w:rFonts w:hAnsi="Symbol"/>
        </w:rPr>
        <w:t></w:t>
      </w:r>
      <w:r>
        <w:t xml:space="preserve"> Bai</w:t>
      </w:r>
      <w:r w:rsidR="0007422E">
        <w:t xml:space="preserve">, J., &amp; Ng, S. (2002). </w:t>
      </w:r>
      <w:r w:rsidR="0007422E">
        <w:rPr>
          <w:rStyle w:val="Emphasis"/>
          <w:rFonts w:eastAsiaTheme="majorEastAsia"/>
        </w:rPr>
        <w:t>Determining the number of factors in approximate factor models.</w:t>
      </w:r>
    </w:p>
    <w:p w14:paraId="677D767D" w14:textId="7C2D2351" w:rsidR="0007422E" w:rsidRDefault="005F79CE" w:rsidP="0007422E">
      <w:pPr>
        <w:pStyle w:val="NormalWeb"/>
      </w:pPr>
      <w:r>
        <w:rPr>
          <w:rFonts w:hAnsi="Symbol"/>
        </w:rPr>
        <w:t></w:t>
      </w:r>
      <w:r>
        <w:t xml:space="preserve"> Bolton</w:t>
      </w:r>
      <w:r w:rsidR="0007422E">
        <w:t xml:space="preserve">, P., Freixas, X., &amp; Shapiro, J. (2012). </w:t>
      </w:r>
      <w:r w:rsidR="0007422E">
        <w:rPr>
          <w:rStyle w:val="Emphasis"/>
          <w:rFonts w:eastAsiaTheme="majorEastAsia"/>
        </w:rPr>
        <w:t>The credit ratings game.</w:t>
      </w:r>
    </w:p>
    <w:p w14:paraId="5337798B" w14:textId="3CAC756B" w:rsidR="0007422E" w:rsidRDefault="005F79CE" w:rsidP="0007422E">
      <w:pPr>
        <w:pStyle w:val="NormalWeb"/>
      </w:pPr>
      <w:r>
        <w:rPr>
          <w:rFonts w:hAnsi="Symbol"/>
        </w:rPr>
        <w:t></w:t>
      </w:r>
      <w:r>
        <w:t xml:space="preserve"> Chodorow</w:t>
      </w:r>
      <w:r w:rsidR="0007422E">
        <w:t xml:space="preserve">-Reich, G., &amp; Falato, A. (2022). </w:t>
      </w:r>
      <w:r w:rsidR="0007422E">
        <w:rPr>
          <w:rStyle w:val="Emphasis"/>
          <w:rFonts w:eastAsiaTheme="majorEastAsia"/>
        </w:rPr>
        <w:t>The Loan Covenant Channel: How Bank Health Transmits to the Real Economy.</w:t>
      </w:r>
      <w:r w:rsidR="0007422E">
        <w:t xml:space="preserve"> </w:t>
      </w:r>
      <w:r w:rsidR="0007422E">
        <w:rPr>
          <w:rStyle w:val="Emphasis"/>
          <w:rFonts w:eastAsiaTheme="majorEastAsia"/>
        </w:rPr>
        <w:t>Quarterly Journal of Economics, 137</w:t>
      </w:r>
      <w:r w:rsidR="0007422E">
        <w:t>(3), 1727–1797.</w:t>
      </w:r>
    </w:p>
    <w:p w14:paraId="123EA510" w14:textId="77777777" w:rsidR="0007422E" w:rsidRDefault="0007422E" w:rsidP="0007422E">
      <w:pPr>
        <w:pStyle w:val="NormalWeb"/>
      </w:pPr>
      <w:r>
        <w:rPr>
          <w:rFonts w:hAnsi="Symbol"/>
        </w:rPr>
        <w:t></w:t>
      </w:r>
      <w:r>
        <w:t xml:space="preserve">  </w:t>
      </w:r>
      <w:proofErr w:type="spellStart"/>
      <w:r>
        <w:t>Pesaran</w:t>
      </w:r>
      <w:proofErr w:type="spellEnd"/>
      <w:r>
        <w:t xml:space="preserve">, H. H., &amp; Shin, Y. (1998). </w:t>
      </w:r>
      <w:r>
        <w:rPr>
          <w:rStyle w:val="Emphasis"/>
          <w:rFonts w:eastAsiaTheme="majorEastAsia"/>
        </w:rPr>
        <w:t>Generalized impulse response analysis in linear multivariate models.</w:t>
      </w:r>
      <w:r>
        <w:t xml:space="preserve"> </w:t>
      </w:r>
      <w:r>
        <w:rPr>
          <w:rStyle w:val="Emphasis"/>
          <w:rFonts w:eastAsiaTheme="majorEastAsia"/>
        </w:rPr>
        <w:t>Economics Letters, 58</w:t>
      </w:r>
      <w:r>
        <w:t>(1), 17–29.</w:t>
      </w:r>
    </w:p>
    <w:p w14:paraId="084F08F1" w14:textId="7A78E83E" w:rsidR="0007422E" w:rsidRDefault="005F79CE" w:rsidP="0007422E">
      <w:pPr>
        <w:pStyle w:val="NormalWeb"/>
      </w:pPr>
      <w:r>
        <w:rPr>
          <w:rFonts w:hAnsi="Symbol"/>
        </w:rPr>
        <w:t></w:t>
      </w:r>
      <w:r>
        <w:t xml:space="preserve"> Statistics</w:t>
      </w:r>
      <w:r w:rsidR="0007422E">
        <w:t xml:space="preserve"> Canada. (2016–2020). </w:t>
      </w:r>
      <w:r w:rsidR="0007422E">
        <w:rPr>
          <w:rStyle w:val="Emphasis"/>
          <w:rFonts w:eastAsiaTheme="majorEastAsia"/>
        </w:rPr>
        <w:t>Steel imports (monthly and annual).</w:t>
      </w:r>
      <w:r w:rsidR="0007422E">
        <w:t xml:space="preserve"> Tables 12-10-0121-01 and 12-10-0172-01.</w:t>
      </w:r>
    </w:p>
    <w:p w14:paraId="5B16CCE2" w14:textId="4F65C8D9" w:rsidR="0007422E" w:rsidRDefault="005F79CE" w:rsidP="0007422E">
      <w:pPr>
        <w:pStyle w:val="NormalWeb"/>
      </w:pPr>
      <w:r>
        <w:rPr>
          <w:rFonts w:hAnsi="Symbol"/>
        </w:rPr>
        <w:lastRenderedPageBreak/>
        <w:t></w:t>
      </w:r>
      <w:r>
        <w:t xml:space="preserve"> Stock</w:t>
      </w:r>
      <w:r w:rsidR="0007422E">
        <w:t xml:space="preserve">, J. H., &amp; Watson, M. W. (2001). </w:t>
      </w:r>
      <w:r w:rsidR="0007422E">
        <w:rPr>
          <w:rStyle w:val="Emphasis"/>
          <w:rFonts w:eastAsiaTheme="majorEastAsia"/>
        </w:rPr>
        <w:t>Vector autoregressions.</w:t>
      </w:r>
      <w:r w:rsidR="0007422E">
        <w:t xml:space="preserve"> </w:t>
      </w:r>
      <w:r w:rsidR="0007422E">
        <w:rPr>
          <w:rStyle w:val="Emphasis"/>
          <w:rFonts w:eastAsiaTheme="majorEastAsia"/>
        </w:rPr>
        <w:t>Journal of Economic Perspectives, 15</w:t>
      </w:r>
      <w:r w:rsidR="0007422E">
        <w:t>(4), 101–115.</w:t>
      </w:r>
    </w:p>
    <w:sectPr w:rsidR="000742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D51"/>
    <w:multiLevelType w:val="multilevel"/>
    <w:tmpl w:val="AA0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4982"/>
    <w:multiLevelType w:val="multilevel"/>
    <w:tmpl w:val="7E8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4D9A"/>
    <w:multiLevelType w:val="multilevel"/>
    <w:tmpl w:val="BC88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7FB"/>
    <w:multiLevelType w:val="multilevel"/>
    <w:tmpl w:val="9A30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053E7"/>
    <w:multiLevelType w:val="multilevel"/>
    <w:tmpl w:val="1ED0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E3E2D"/>
    <w:multiLevelType w:val="multilevel"/>
    <w:tmpl w:val="307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F54D4"/>
    <w:multiLevelType w:val="multilevel"/>
    <w:tmpl w:val="4314D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47F42"/>
    <w:multiLevelType w:val="multilevel"/>
    <w:tmpl w:val="ADEC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91225"/>
    <w:multiLevelType w:val="multilevel"/>
    <w:tmpl w:val="86FE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D1888"/>
    <w:multiLevelType w:val="multilevel"/>
    <w:tmpl w:val="876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B3CB0"/>
    <w:multiLevelType w:val="multilevel"/>
    <w:tmpl w:val="C454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B1BA6"/>
    <w:multiLevelType w:val="multilevel"/>
    <w:tmpl w:val="A9C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142AF"/>
    <w:multiLevelType w:val="multilevel"/>
    <w:tmpl w:val="C98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C4B18"/>
    <w:multiLevelType w:val="multilevel"/>
    <w:tmpl w:val="523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432E8"/>
    <w:multiLevelType w:val="multilevel"/>
    <w:tmpl w:val="46C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B469A"/>
    <w:multiLevelType w:val="multilevel"/>
    <w:tmpl w:val="8E80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97703F"/>
    <w:multiLevelType w:val="multilevel"/>
    <w:tmpl w:val="FA10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75035"/>
    <w:multiLevelType w:val="multilevel"/>
    <w:tmpl w:val="75AA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02602"/>
    <w:multiLevelType w:val="multilevel"/>
    <w:tmpl w:val="C836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A47DAA"/>
    <w:multiLevelType w:val="multilevel"/>
    <w:tmpl w:val="8B3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E1B2A"/>
    <w:multiLevelType w:val="multilevel"/>
    <w:tmpl w:val="A71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0C416A"/>
    <w:multiLevelType w:val="multilevel"/>
    <w:tmpl w:val="9AE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774EEE"/>
    <w:multiLevelType w:val="multilevel"/>
    <w:tmpl w:val="7B7C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940D71"/>
    <w:multiLevelType w:val="multilevel"/>
    <w:tmpl w:val="B8A4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527563"/>
    <w:multiLevelType w:val="multilevel"/>
    <w:tmpl w:val="6B54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0F2A4A"/>
    <w:multiLevelType w:val="multilevel"/>
    <w:tmpl w:val="102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05A21"/>
    <w:multiLevelType w:val="multilevel"/>
    <w:tmpl w:val="D1B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52AE7"/>
    <w:multiLevelType w:val="multilevel"/>
    <w:tmpl w:val="5426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90B50"/>
    <w:multiLevelType w:val="multilevel"/>
    <w:tmpl w:val="612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32029"/>
    <w:multiLevelType w:val="multilevel"/>
    <w:tmpl w:val="FC38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E6B96"/>
    <w:multiLevelType w:val="multilevel"/>
    <w:tmpl w:val="3E7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B1DB6"/>
    <w:multiLevelType w:val="multilevel"/>
    <w:tmpl w:val="F1B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807D3"/>
    <w:multiLevelType w:val="multilevel"/>
    <w:tmpl w:val="B4B8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D47CF"/>
    <w:multiLevelType w:val="multilevel"/>
    <w:tmpl w:val="13A6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1E69CD"/>
    <w:multiLevelType w:val="multilevel"/>
    <w:tmpl w:val="3AA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006CE2"/>
    <w:multiLevelType w:val="multilevel"/>
    <w:tmpl w:val="BB36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10C9E"/>
    <w:multiLevelType w:val="multilevel"/>
    <w:tmpl w:val="7FFE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44537A"/>
    <w:multiLevelType w:val="multilevel"/>
    <w:tmpl w:val="54A8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8C6A0D"/>
    <w:multiLevelType w:val="multilevel"/>
    <w:tmpl w:val="90E4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D2294"/>
    <w:multiLevelType w:val="multilevel"/>
    <w:tmpl w:val="A16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116465">
    <w:abstractNumId w:val="11"/>
  </w:num>
  <w:num w:numId="2" w16cid:durableId="129131244">
    <w:abstractNumId w:val="12"/>
  </w:num>
  <w:num w:numId="3" w16cid:durableId="1974947359">
    <w:abstractNumId w:val="22"/>
  </w:num>
  <w:num w:numId="4" w16cid:durableId="1158303463">
    <w:abstractNumId w:val="16"/>
  </w:num>
  <w:num w:numId="5" w16cid:durableId="711617946">
    <w:abstractNumId w:val="23"/>
  </w:num>
  <w:num w:numId="6" w16cid:durableId="1395816309">
    <w:abstractNumId w:val="0"/>
  </w:num>
  <w:num w:numId="7" w16cid:durableId="1295671033">
    <w:abstractNumId w:val="3"/>
  </w:num>
  <w:num w:numId="8" w16cid:durableId="2007048541">
    <w:abstractNumId w:val="28"/>
  </w:num>
  <w:num w:numId="9" w16cid:durableId="1314410639">
    <w:abstractNumId w:val="9"/>
  </w:num>
  <w:num w:numId="10" w16cid:durableId="993607030">
    <w:abstractNumId w:val="20"/>
  </w:num>
  <w:num w:numId="11" w16cid:durableId="2040202169">
    <w:abstractNumId w:val="5"/>
  </w:num>
  <w:num w:numId="12" w16cid:durableId="259340919">
    <w:abstractNumId w:val="4"/>
  </w:num>
  <w:num w:numId="13" w16cid:durableId="574048298">
    <w:abstractNumId w:val="25"/>
  </w:num>
  <w:num w:numId="14" w16cid:durableId="793672561">
    <w:abstractNumId w:val="18"/>
  </w:num>
  <w:num w:numId="15" w16cid:durableId="752630794">
    <w:abstractNumId w:val="34"/>
  </w:num>
  <w:num w:numId="16" w16cid:durableId="2032105999">
    <w:abstractNumId w:val="10"/>
  </w:num>
  <w:num w:numId="17" w16cid:durableId="2111968243">
    <w:abstractNumId w:val="29"/>
  </w:num>
  <w:num w:numId="18" w16cid:durableId="1965772133">
    <w:abstractNumId w:val="37"/>
  </w:num>
  <w:num w:numId="19" w16cid:durableId="231087743">
    <w:abstractNumId w:val="17"/>
  </w:num>
  <w:num w:numId="20" w16cid:durableId="904872682">
    <w:abstractNumId w:val="24"/>
  </w:num>
  <w:num w:numId="21" w16cid:durableId="1558469554">
    <w:abstractNumId w:val="30"/>
  </w:num>
  <w:num w:numId="22" w16cid:durableId="935400919">
    <w:abstractNumId w:val="38"/>
  </w:num>
  <w:num w:numId="23" w16cid:durableId="223567029">
    <w:abstractNumId w:val="1"/>
  </w:num>
  <w:num w:numId="24" w16cid:durableId="1957829829">
    <w:abstractNumId w:val="6"/>
  </w:num>
  <w:num w:numId="25" w16cid:durableId="1789157351">
    <w:abstractNumId w:val="35"/>
  </w:num>
  <w:num w:numId="26" w16cid:durableId="1671444076">
    <w:abstractNumId w:val="31"/>
  </w:num>
  <w:num w:numId="27" w16cid:durableId="752313508">
    <w:abstractNumId w:val="36"/>
  </w:num>
  <w:num w:numId="28" w16cid:durableId="1559515241">
    <w:abstractNumId w:val="27"/>
  </w:num>
  <w:num w:numId="29" w16cid:durableId="1419058902">
    <w:abstractNumId w:val="2"/>
  </w:num>
  <w:num w:numId="30" w16cid:durableId="65492407">
    <w:abstractNumId w:val="26"/>
  </w:num>
  <w:num w:numId="31" w16cid:durableId="1030105925">
    <w:abstractNumId w:val="8"/>
  </w:num>
  <w:num w:numId="32" w16cid:durableId="1389650502">
    <w:abstractNumId w:val="14"/>
  </w:num>
  <w:num w:numId="33" w16cid:durableId="1642611537">
    <w:abstractNumId w:val="32"/>
  </w:num>
  <w:num w:numId="34" w16cid:durableId="82993115">
    <w:abstractNumId w:val="19"/>
  </w:num>
  <w:num w:numId="35" w16cid:durableId="1257785056">
    <w:abstractNumId w:val="21"/>
  </w:num>
  <w:num w:numId="36" w16cid:durableId="1811364886">
    <w:abstractNumId w:val="39"/>
  </w:num>
  <w:num w:numId="37" w16cid:durableId="819420144">
    <w:abstractNumId w:val="7"/>
  </w:num>
  <w:num w:numId="38" w16cid:durableId="887691260">
    <w:abstractNumId w:val="33"/>
  </w:num>
  <w:num w:numId="39" w16cid:durableId="488404760">
    <w:abstractNumId w:val="13"/>
  </w:num>
  <w:num w:numId="40" w16cid:durableId="2189051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A"/>
    <w:rsid w:val="0007422E"/>
    <w:rsid w:val="00097E15"/>
    <w:rsid w:val="000B0FD6"/>
    <w:rsid w:val="00176123"/>
    <w:rsid w:val="002242D3"/>
    <w:rsid w:val="002A6B1B"/>
    <w:rsid w:val="002D057B"/>
    <w:rsid w:val="002D418A"/>
    <w:rsid w:val="003E3F82"/>
    <w:rsid w:val="00565DDA"/>
    <w:rsid w:val="00572097"/>
    <w:rsid w:val="005B1C46"/>
    <w:rsid w:val="005F79CE"/>
    <w:rsid w:val="00623E88"/>
    <w:rsid w:val="00626EBD"/>
    <w:rsid w:val="0078484C"/>
    <w:rsid w:val="008447CA"/>
    <w:rsid w:val="008B1751"/>
    <w:rsid w:val="008F40AF"/>
    <w:rsid w:val="00A420FF"/>
    <w:rsid w:val="00AB7710"/>
    <w:rsid w:val="00B1782A"/>
    <w:rsid w:val="00B92CE4"/>
    <w:rsid w:val="00BE7801"/>
    <w:rsid w:val="00BF385A"/>
    <w:rsid w:val="00BF62FF"/>
    <w:rsid w:val="00C221CF"/>
    <w:rsid w:val="00C44508"/>
    <w:rsid w:val="00C541E3"/>
    <w:rsid w:val="00C71796"/>
    <w:rsid w:val="00CC3711"/>
    <w:rsid w:val="00D10DCA"/>
    <w:rsid w:val="00D467D2"/>
    <w:rsid w:val="00D606C9"/>
    <w:rsid w:val="00EA22B7"/>
    <w:rsid w:val="00EE2809"/>
    <w:rsid w:val="00F34371"/>
    <w:rsid w:val="00F54EB4"/>
    <w:rsid w:val="00FE644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40A0"/>
  <w15:chartTrackingRefBased/>
  <w15:docId w15:val="{13945785-3ED1-4093-A041-FE66EF53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18A"/>
    <w:rPr>
      <w:rFonts w:eastAsiaTheme="majorEastAsia" w:cstheme="majorBidi"/>
      <w:color w:val="272727" w:themeColor="text1" w:themeTint="D8"/>
    </w:rPr>
  </w:style>
  <w:style w:type="paragraph" w:styleId="Title">
    <w:name w:val="Title"/>
    <w:basedOn w:val="Normal"/>
    <w:next w:val="Normal"/>
    <w:link w:val="TitleChar"/>
    <w:uiPriority w:val="10"/>
    <w:qFormat/>
    <w:rsid w:val="002D4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18A"/>
    <w:pPr>
      <w:spacing w:before="160"/>
      <w:jc w:val="center"/>
    </w:pPr>
    <w:rPr>
      <w:i/>
      <w:iCs/>
      <w:color w:val="404040" w:themeColor="text1" w:themeTint="BF"/>
    </w:rPr>
  </w:style>
  <w:style w:type="character" w:customStyle="1" w:styleId="QuoteChar">
    <w:name w:val="Quote Char"/>
    <w:basedOn w:val="DefaultParagraphFont"/>
    <w:link w:val="Quote"/>
    <w:uiPriority w:val="29"/>
    <w:rsid w:val="002D418A"/>
    <w:rPr>
      <w:i/>
      <w:iCs/>
      <w:color w:val="404040" w:themeColor="text1" w:themeTint="BF"/>
    </w:rPr>
  </w:style>
  <w:style w:type="paragraph" w:styleId="ListParagraph">
    <w:name w:val="List Paragraph"/>
    <w:basedOn w:val="Normal"/>
    <w:uiPriority w:val="34"/>
    <w:qFormat/>
    <w:rsid w:val="002D418A"/>
    <w:pPr>
      <w:ind w:left="720"/>
      <w:contextualSpacing/>
    </w:pPr>
  </w:style>
  <w:style w:type="character" w:styleId="IntenseEmphasis">
    <w:name w:val="Intense Emphasis"/>
    <w:basedOn w:val="DefaultParagraphFont"/>
    <w:uiPriority w:val="21"/>
    <w:qFormat/>
    <w:rsid w:val="002D418A"/>
    <w:rPr>
      <w:i/>
      <w:iCs/>
      <w:color w:val="0F4761" w:themeColor="accent1" w:themeShade="BF"/>
    </w:rPr>
  </w:style>
  <w:style w:type="paragraph" w:styleId="IntenseQuote">
    <w:name w:val="Intense Quote"/>
    <w:basedOn w:val="Normal"/>
    <w:next w:val="Normal"/>
    <w:link w:val="IntenseQuoteChar"/>
    <w:uiPriority w:val="30"/>
    <w:qFormat/>
    <w:rsid w:val="002D4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18A"/>
    <w:rPr>
      <w:i/>
      <w:iCs/>
      <w:color w:val="0F4761" w:themeColor="accent1" w:themeShade="BF"/>
    </w:rPr>
  </w:style>
  <w:style w:type="character" w:styleId="IntenseReference">
    <w:name w:val="Intense Reference"/>
    <w:basedOn w:val="DefaultParagraphFont"/>
    <w:uiPriority w:val="32"/>
    <w:qFormat/>
    <w:rsid w:val="002D418A"/>
    <w:rPr>
      <w:b/>
      <w:bCs/>
      <w:smallCaps/>
      <w:color w:val="0F4761" w:themeColor="accent1" w:themeShade="BF"/>
      <w:spacing w:val="5"/>
    </w:rPr>
  </w:style>
  <w:style w:type="paragraph" w:styleId="NormalWeb">
    <w:name w:val="Normal (Web)"/>
    <w:basedOn w:val="Normal"/>
    <w:uiPriority w:val="99"/>
    <w:semiHidden/>
    <w:unhideWhenUsed/>
    <w:rsid w:val="0007422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0742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Sel</dc:creator>
  <cp:keywords/>
  <dc:description/>
  <cp:lastModifiedBy>mohsen selseleh</cp:lastModifiedBy>
  <cp:revision>39</cp:revision>
  <dcterms:created xsi:type="dcterms:W3CDTF">2025-08-08T23:51:00Z</dcterms:created>
  <dcterms:modified xsi:type="dcterms:W3CDTF">2025-08-28T19:22:00Z</dcterms:modified>
</cp:coreProperties>
</file>