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7FC9" w14:textId="36A89C1A" w:rsidR="0008194A" w:rsidRPr="003F2902" w:rsidRDefault="007D12EE">
      <w:pPr>
        <w:rPr>
          <w:b/>
          <w:bCs/>
          <w:sz w:val="28"/>
          <w:szCs w:val="28"/>
        </w:rPr>
      </w:pPr>
      <w:r w:rsidRPr="003F2902">
        <w:rPr>
          <w:b/>
          <w:bCs/>
          <w:sz w:val="28"/>
          <w:szCs w:val="28"/>
        </w:rPr>
        <w:t>Material and Methods</w:t>
      </w:r>
    </w:p>
    <w:p w14:paraId="077E41E5" w14:textId="77777777" w:rsidR="003F2902" w:rsidRPr="003F2902" w:rsidRDefault="003F2902" w:rsidP="003F2902">
      <w:pPr>
        <w:rPr>
          <w:b/>
          <w:bCs/>
          <w:sz w:val="26"/>
          <w:szCs w:val="26"/>
        </w:rPr>
      </w:pPr>
      <w:r w:rsidRPr="003F2902">
        <w:rPr>
          <w:b/>
          <w:bCs/>
          <w:sz w:val="26"/>
          <w:szCs w:val="26"/>
        </w:rPr>
        <w:t>Dataset Collection and Preparation</w:t>
      </w:r>
    </w:p>
    <w:p w14:paraId="11B2A6B1" w14:textId="595CC96C" w:rsidR="003F2902" w:rsidRPr="003F2902" w:rsidRDefault="003F2902" w:rsidP="003F2902">
      <w:r w:rsidRPr="003F2902">
        <w:t>A multi-species dataset was constructed to represent promoter and non-promoter sequences from the three major domains of life. The dataset included the prokaryotic organisms Escherichia coli and Bacillus subtilis; the eukaryotic organisms Homo sapiens, Mus musculus, and Arabidopsis thaliana; and selected archaeal organisms.</w:t>
      </w:r>
    </w:p>
    <w:p w14:paraId="0DB18622" w14:textId="6B9F52A6" w:rsidR="003F2902" w:rsidRPr="003F2902" w:rsidRDefault="003F2902" w:rsidP="003F2902">
      <w:pPr>
        <w:rPr>
          <w:b/>
          <w:bCs/>
        </w:rPr>
      </w:pPr>
      <w:r w:rsidRPr="003F2902">
        <w:rPr>
          <w:b/>
          <w:bCs/>
        </w:rPr>
        <w:t>Prokaryotic Dataset</w:t>
      </w:r>
    </w:p>
    <w:p w14:paraId="6E7371CF" w14:textId="77777777" w:rsidR="003F2902" w:rsidRPr="003F2902" w:rsidRDefault="003F2902" w:rsidP="003F2902">
      <w:r w:rsidRPr="003F2902">
        <w:t>The E. coli promoter sequences were obtained from RegulonDB, a curated database containing experimentally validated information on transcriptional regulation in E. coli [1].</w:t>
      </w:r>
    </w:p>
    <w:p w14:paraId="5DE1F986" w14:textId="77777777" w:rsidR="003F2902" w:rsidRPr="003F2902" w:rsidRDefault="003F2902" w:rsidP="003F2902">
      <w:r w:rsidRPr="003F2902">
        <w:t>The B. subtilis promoter sequences were collected from the DBTBS promoter dataset described by Ishii et al. [2].</w:t>
      </w:r>
    </w:p>
    <w:p w14:paraId="412E761A" w14:textId="77777777" w:rsidR="003F2902" w:rsidRPr="003F2902" w:rsidRDefault="003F2902" w:rsidP="003F2902">
      <w:r w:rsidRPr="003F2902">
        <w:t>For both bacterial species, non-promoter sequences were generated from their corresponding reference genomes. Random fragments were selected from protein-coding regions, and sequences from the opposite, non-coding strand were extracted. This strategy was used to reduce the possibility of including genuine promoter activity in the negative dataset.</w:t>
      </w:r>
    </w:p>
    <w:p w14:paraId="2E7596EB" w14:textId="77777777" w:rsidR="003F2902" w:rsidRPr="003F2902" w:rsidRDefault="003F2902" w:rsidP="003F2902">
      <w:pPr>
        <w:rPr>
          <w:b/>
          <w:bCs/>
        </w:rPr>
      </w:pPr>
      <w:r w:rsidRPr="003F2902">
        <w:rPr>
          <w:b/>
          <w:bCs/>
        </w:rPr>
        <w:t>Eukaryotic Dataset</w:t>
      </w:r>
    </w:p>
    <w:p w14:paraId="702B762E" w14:textId="77777777" w:rsidR="003F2902" w:rsidRPr="003F2902" w:rsidRDefault="003F2902" w:rsidP="003F2902">
      <w:r w:rsidRPr="003F2902">
        <w:t>Promoter regions for human, mouse, and Arabidopsis thaliana were obtained from EPDnew and DBTSS, curated databases of experimentally supported eukaryotic promoters [3][4].</w:t>
      </w:r>
    </w:p>
    <w:p w14:paraId="4E61C77C" w14:textId="77777777" w:rsidR="003F2902" w:rsidRPr="003F2902" w:rsidRDefault="003F2902" w:rsidP="003F2902">
      <w:r w:rsidRPr="003F2902">
        <w:t>For the eukaryotic non-promoter dataset, random 251-nucleotide fragments were extracted from gene regions located downstream of the first exon. These fragments were used as negative samples because they were located away from the primary promoter regions and annotated transcription start sites.</w:t>
      </w:r>
    </w:p>
    <w:p w14:paraId="182EB4CB" w14:textId="77777777" w:rsidR="003F2902" w:rsidRPr="003F2902" w:rsidRDefault="003F2902" w:rsidP="003F2902">
      <w:pPr>
        <w:rPr>
          <w:b/>
          <w:bCs/>
        </w:rPr>
      </w:pPr>
      <w:r w:rsidRPr="003F2902">
        <w:rPr>
          <w:b/>
          <w:bCs/>
        </w:rPr>
        <w:t>Archaeal Dataset</w:t>
      </w:r>
    </w:p>
    <w:p w14:paraId="52DA93EE" w14:textId="796AB22A" w:rsidR="003F2902" w:rsidRDefault="0000514D" w:rsidP="003F2902">
      <w:r w:rsidRPr="0000514D">
        <w:t>Promoter and non-promoter sequences from the archaeal domain were also included to increase the taxonomic diversity of the dataset. Archaeal promoter sequences were obtained from the Prokaryotic Promoter Database (PPD), while non-promoter sequences were derived from the same negative dataset previously used by Martinez et al. [</w:t>
      </w:r>
      <w:r>
        <w:t>5</w:t>
      </w:r>
      <w:r w:rsidRPr="0000514D">
        <w:t>], ensuring consistency in sequence selection and avoiding experimental bias</w:t>
      </w:r>
      <w:r w:rsidR="003F2902" w:rsidRPr="003F2902">
        <w:t>.</w:t>
      </w:r>
    </w:p>
    <w:p w14:paraId="0E92BF31" w14:textId="77777777" w:rsidR="003F2902" w:rsidRPr="003F2902" w:rsidRDefault="003F2902" w:rsidP="003F2902">
      <w:pPr>
        <w:rPr>
          <w:b/>
          <w:bCs/>
          <w:sz w:val="26"/>
          <w:szCs w:val="26"/>
        </w:rPr>
      </w:pPr>
      <w:r w:rsidRPr="003F2902">
        <w:rPr>
          <w:b/>
          <w:bCs/>
          <w:sz w:val="26"/>
          <w:szCs w:val="26"/>
        </w:rPr>
        <w:t>Sequence Redundancy Reduction</w:t>
      </w:r>
    </w:p>
    <w:p w14:paraId="2EBD7ADE" w14:textId="77777777" w:rsidR="003F2902" w:rsidRPr="003F2902" w:rsidRDefault="003F2902" w:rsidP="003F2902">
      <w:r w:rsidRPr="003F2902">
        <w:t xml:space="preserve">To reduce sequence redundancy and minimize potential bias caused by duplicate or highly similar sequences, all promoter and non-promoter datasets were processed using CD-HIT-EST. </w:t>
      </w:r>
      <w:r w:rsidRPr="003F2902">
        <w:lastRenderedPageBreak/>
        <w:t>Sequences were clustered at a sequence identity threshold of 0.90, corresponding to 90% identity. One representative sequence from each cluster was retained for subsequent analysis and model development. This filtering step improved dataset diversity and reduced the likelihood that highly similar sequences would disproportionately influence the model.</w:t>
      </w:r>
    </w:p>
    <w:p w14:paraId="331BEA39" w14:textId="77777777" w:rsidR="003F2902" w:rsidRPr="003F2902" w:rsidRDefault="003F2902" w:rsidP="003F2902">
      <w:pPr>
        <w:rPr>
          <w:b/>
          <w:bCs/>
          <w:sz w:val="26"/>
          <w:szCs w:val="26"/>
        </w:rPr>
      </w:pPr>
      <w:r w:rsidRPr="003F2902">
        <w:rPr>
          <w:b/>
          <w:bCs/>
          <w:sz w:val="26"/>
          <w:szCs w:val="26"/>
        </w:rPr>
        <w:t>Dataset Composition</w:t>
      </w:r>
    </w:p>
    <w:p w14:paraId="50F56C17" w14:textId="66218937" w:rsidR="003F2902" w:rsidRPr="003F2902" w:rsidRDefault="003F2902" w:rsidP="003F2902">
      <w:r w:rsidRPr="003F2902">
        <w:t>The composition of the promoter and non-promoter datasets is summarized in Table 1. For each organism, the table presents the data source, sequence length, genomic location, and the number of promoter and non-promoter sequences before and after redundancy reduction. CD-HIT-EST was applied independently to each data</w:t>
      </w:r>
      <w:r w:rsidR="00F53C57">
        <w:t>s</w:t>
      </w:r>
      <w:r w:rsidRPr="003F2902">
        <w:t>et at a sequence identity threshold of 0.90.</w:t>
      </w:r>
    </w:p>
    <w:p w14:paraId="724090F5" w14:textId="13F23F30" w:rsidR="003F2902" w:rsidRPr="003F2902" w:rsidRDefault="003F2902" w:rsidP="003F2902">
      <w:r w:rsidRPr="003F2902">
        <w:rPr>
          <w:b/>
          <w:bCs/>
        </w:rPr>
        <w:t xml:space="preserve">Table 1. Summary of </w:t>
      </w:r>
      <w:r w:rsidR="0057523C">
        <w:rPr>
          <w:b/>
          <w:bCs/>
        </w:rPr>
        <w:t>Final P</w:t>
      </w:r>
      <w:r w:rsidRPr="003F2902">
        <w:rPr>
          <w:b/>
          <w:bCs/>
        </w:rPr>
        <w:t xml:space="preserve">romoter and </w:t>
      </w:r>
      <w:r w:rsidR="0057523C">
        <w:rPr>
          <w:b/>
          <w:bCs/>
        </w:rPr>
        <w:t>N</w:t>
      </w:r>
      <w:r w:rsidRPr="003F2902">
        <w:rPr>
          <w:b/>
          <w:bCs/>
        </w:rPr>
        <w:t>on-</w:t>
      </w:r>
      <w:r w:rsidR="0057523C">
        <w:rPr>
          <w:b/>
          <w:bCs/>
        </w:rPr>
        <w:t>P</w:t>
      </w:r>
      <w:r w:rsidRPr="003F2902">
        <w:rPr>
          <w:b/>
          <w:bCs/>
        </w:rPr>
        <w:t xml:space="preserve">romoter </w:t>
      </w:r>
      <w:r w:rsidR="0057523C">
        <w:rPr>
          <w:b/>
          <w:bCs/>
        </w:rPr>
        <w:t>S</w:t>
      </w:r>
      <w:r w:rsidRPr="003F2902">
        <w:rPr>
          <w:b/>
          <w:bCs/>
        </w:rPr>
        <w:t xml:space="preserve">equence </w:t>
      </w:r>
      <w:r w:rsidR="0057523C">
        <w:rPr>
          <w:b/>
          <w:bCs/>
        </w:rPr>
        <w:t>D</w:t>
      </w:r>
      <w:r w:rsidRPr="003F2902">
        <w:rPr>
          <w:b/>
          <w:bCs/>
        </w:rPr>
        <w:t>atasets</w:t>
      </w:r>
      <w:r>
        <w:rPr>
          <w:b/>
          <w:bCs/>
        </w:rPr>
        <w:t>:</w:t>
      </w:r>
    </w:p>
    <w:tbl>
      <w:tblPr>
        <w:tblStyle w:val="TableGrid"/>
        <w:tblW w:w="0" w:type="auto"/>
        <w:tblLayout w:type="fixed"/>
        <w:tblLook w:val="04A0" w:firstRow="1" w:lastRow="0" w:firstColumn="1" w:lastColumn="0" w:noHBand="0" w:noVBand="1"/>
      </w:tblPr>
      <w:tblGrid>
        <w:gridCol w:w="1232"/>
        <w:gridCol w:w="1733"/>
        <w:gridCol w:w="1287"/>
        <w:gridCol w:w="1233"/>
        <w:gridCol w:w="1260"/>
        <w:gridCol w:w="1170"/>
        <w:gridCol w:w="1170"/>
      </w:tblGrid>
      <w:tr w:rsidR="00841BD6" w14:paraId="4D32D1D3" w14:textId="4B49AF25" w:rsidTr="0000514D">
        <w:tc>
          <w:tcPr>
            <w:tcW w:w="1232" w:type="dxa"/>
          </w:tcPr>
          <w:p w14:paraId="65B02074" w14:textId="11ED6A21" w:rsidR="00841BD6" w:rsidRPr="003F2902" w:rsidRDefault="00841BD6" w:rsidP="003F2902">
            <w:pPr>
              <w:jc w:val="center"/>
              <w:rPr>
                <w:b/>
                <w:bCs/>
              </w:rPr>
            </w:pPr>
            <w:r>
              <w:rPr>
                <w:b/>
                <w:bCs/>
              </w:rPr>
              <w:t>Domain</w:t>
            </w:r>
          </w:p>
        </w:tc>
        <w:tc>
          <w:tcPr>
            <w:tcW w:w="1733" w:type="dxa"/>
          </w:tcPr>
          <w:p w14:paraId="30D9FA67" w14:textId="32816ADD" w:rsidR="00841BD6" w:rsidRPr="003F2902" w:rsidRDefault="00841BD6" w:rsidP="003F2902">
            <w:pPr>
              <w:jc w:val="center"/>
              <w:rPr>
                <w:b/>
                <w:bCs/>
              </w:rPr>
            </w:pPr>
            <w:r>
              <w:rPr>
                <w:b/>
                <w:bCs/>
              </w:rPr>
              <w:t>Organism</w:t>
            </w:r>
          </w:p>
        </w:tc>
        <w:tc>
          <w:tcPr>
            <w:tcW w:w="1287" w:type="dxa"/>
          </w:tcPr>
          <w:p w14:paraId="3568095A" w14:textId="0D342A3E" w:rsidR="00841BD6" w:rsidRPr="003F2902" w:rsidRDefault="00841BD6" w:rsidP="003F2902">
            <w:pPr>
              <w:jc w:val="center"/>
              <w:rPr>
                <w:b/>
                <w:bCs/>
              </w:rPr>
            </w:pPr>
            <w:r>
              <w:rPr>
                <w:b/>
                <w:bCs/>
              </w:rPr>
              <w:t>Source</w:t>
            </w:r>
          </w:p>
        </w:tc>
        <w:tc>
          <w:tcPr>
            <w:tcW w:w="1233" w:type="dxa"/>
          </w:tcPr>
          <w:p w14:paraId="7D1B4B5A" w14:textId="07288553" w:rsidR="00841BD6" w:rsidRDefault="00841BD6" w:rsidP="003F2902">
            <w:pPr>
              <w:jc w:val="center"/>
              <w:rPr>
                <w:b/>
                <w:bCs/>
              </w:rPr>
            </w:pPr>
            <w:r>
              <w:rPr>
                <w:b/>
                <w:bCs/>
              </w:rPr>
              <w:t>Location</w:t>
            </w:r>
          </w:p>
        </w:tc>
        <w:tc>
          <w:tcPr>
            <w:tcW w:w="1260" w:type="dxa"/>
          </w:tcPr>
          <w:p w14:paraId="31D57971" w14:textId="5BB68F8A" w:rsidR="00841BD6" w:rsidRDefault="00841BD6" w:rsidP="003F2902">
            <w:pPr>
              <w:jc w:val="center"/>
              <w:rPr>
                <w:b/>
                <w:bCs/>
              </w:rPr>
            </w:pPr>
            <w:r>
              <w:rPr>
                <w:b/>
                <w:bCs/>
              </w:rPr>
              <w:t>Sequence Length</w:t>
            </w:r>
          </w:p>
        </w:tc>
        <w:tc>
          <w:tcPr>
            <w:tcW w:w="1170" w:type="dxa"/>
          </w:tcPr>
          <w:p w14:paraId="404342AA" w14:textId="28ED474F" w:rsidR="00841BD6" w:rsidRDefault="00841BD6" w:rsidP="003F2902">
            <w:pPr>
              <w:jc w:val="center"/>
              <w:rPr>
                <w:b/>
                <w:bCs/>
              </w:rPr>
            </w:pPr>
            <w:r>
              <w:rPr>
                <w:b/>
                <w:bCs/>
              </w:rPr>
              <w:t>Promoter Count</w:t>
            </w:r>
          </w:p>
        </w:tc>
        <w:tc>
          <w:tcPr>
            <w:tcW w:w="1170" w:type="dxa"/>
          </w:tcPr>
          <w:p w14:paraId="64D0F7D4" w14:textId="2723C2FB" w:rsidR="00841BD6" w:rsidRDefault="00841BD6" w:rsidP="003F2902">
            <w:pPr>
              <w:jc w:val="center"/>
              <w:rPr>
                <w:b/>
                <w:bCs/>
              </w:rPr>
            </w:pPr>
            <w:r>
              <w:rPr>
                <w:b/>
                <w:bCs/>
              </w:rPr>
              <w:t>Non-Promoter Count</w:t>
            </w:r>
          </w:p>
        </w:tc>
      </w:tr>
      <w:tr w:rsidR="00841BD6" w14:paraId="088305F1" w14:textId="3FC0749B" w:rsidTr="0000514D">
        <w:tc>
          <w:tcPr>
            <w:tcW w:w="1232" w:type="dxa"/>
          </w:tcPr>
          <w:p w14:paraId="31A87394" w14:textId="6FD4DE3B" w:rsidR="00841BD6" w:rsidRDefault="00841BD6" w:rsidP="003F2902">
            <w:pPr>
              <w:jc w:val="center"/>
            </w:pPr>
            <w:r>
              <w:t>Bacteria</w:t>
            </w:r>
          </w:p>
        </w:tc>
        <w:tc>
          <w:tcPr>
            <w:tcW w:w="1733" w:type="dxa"/>
          </w:tcPr>
          <w:p w14:paraId="2666CC22" w14:textId="01D385D7" w:rsidR="00841BD6" w:rsidRDefault="00841BD6" w:rsidP="003F2902">
            <w:pPr>
              <w:jc w:val="center"/>
            </w:pPr>
            <w:r>
              <w:t>Escherichia coli</w:t>
            </w:r>
          </w:p>
        </w:tc>
        <w:tc>
          <w:tcPr>
            <w:tcW w:w="1287" w:type="dxa"/>
          </w:tcPr>
          <w:p w14:paraId="50B2063F" w14:textId="4C753501" w:rsidR="00841BD6" w:rsidRDefault="00841BD6" w:rsidP="003F2902">
            <w:pPr>
              <w:jc w:val="center"/>
            </w:pPr>
            <w:r>
              <w:t>RegulonDB</w:t>
            </w:r>
          </w:p>
        </w:tc>
        <w:tc>
          <w:tcPr>
            <w:tcW w:w="1233" w:type="dxa"/>
          </w:tcPr>
          <w:p w14:paraId="3943B9EB" w14:textId="2CFFED67" w:rsidR="00841BD6" w:rsidRDefault="00841BD6" w:rsidP="003F2902">
            <w:pPr>
              <w:jc w:val="center"/>
            </w:pPr>
            <w:r>
              <w:t>-60 - +20</w:t>
            </w:r>
          </w:p>
        </w:tc>
        <w:tc>
          <w:tcPr>
            <w:tcW w:w="1260" w:type="dxa"/>
          </w:tcPr>
          <w:p w14:paraId="60E9D949" w14:textId="6E27D389" w:rsidR="00841BD6" w:rsidRDefault="00841BD6" w:rsidP="003F2902">
            <w:pPr>
              <w:jc w:val="center"/>
            </w:pPr>
            <w:r>
              <w:t>81</w:t>
            </w:r>
          </w:p>
        </w:tc>
        <w:tc>
          <w:tcPr>
            <w:tcW w:w="1170" w:type="dxa"/>
          </w:tcPr>
          <w:p w14:paraId="01B4463A" w14:textId="65A0B26C" w:rsidR="00841BD6" w:rsidRDefault="00841BD6" w:rsidP="003F2902">
            <w:pPr>
              <w:jc w:val="center"/>
            </w:pPr>
            <w:r>
              <w:t>3204</w:t>
            </w:r>
          </w:p>
        </w:tc>
        <w:tc>
          <w:tcPr>
            <w:tcW w:w="1170" w:type="dxa"/>
          </w:tcPr>
          <w:p w14:paraId="55462A0F" w14:textId="11FDE610" w:rsidR="00841BD6" w:rsidRDefault="00841BD6" w:rsidP="003F2902">
            <w:pPr>
              <w:jc w:val="center"/>
            </w:pPr>
            <w:r>
              <w:t>3369</w:t>
            </w:r>
          </w:p>
        </w:tc>
      </w:tr>
      <w:tr w:rsidR="00841BD6" w14:paraId="47EEDCA7" w14:textId="7FC873C9" w:rsidTr="0000514D">
        <w:tc>
          <w:tcPr>
            <w:tcW w:w="1232" w:type="dxa"/>
          </w:tcPr>
          <w:p w14:paraId="25879511" w14:textId="77777777" w:rsidR="00841BD6" w:rsidRDefault="00841BD6" w:rsidP="00EF0F3F">
            <w:pPr>
              <w:jc w:val="center"/>
            </w:pPr>
          </w:p>
        </w:tc>
        <w:tc>
          <w:tcPr>
            <w:tcW w:w="1733" w:type="dxa"/>
          </w:tcPr>
          <w:p w14:paraId="5D6E6E96" w14:textId="4C9F49FA" w:rsidR="00841BD6" w:rsidRDefault="00841BD6" w:rsidP="00EF0F3F">
            <w:pPr>
              <w:jc w:val="center"/>
            </w:pPr>
            <w:r>
              <w:t>Bacillus subtilis</w:t>
            </w:r>
          </w:p>
        </w:tc>
        <w:tc>
          <w:tcPr>
            <w:tcW w:w="1287" w:type="dxa"/>
          </w:tcPr>
          <w:p w14:paraId="70956048" w14:textId="54893A56" w:rsidR="00841BD6" w:rsidRDefault="00841BD6" w:rsidP="00EF0F3F">
            <w:pPr>
              <w:jc w:val="center"/>
            </w:pPr>
            <w:r>
              <w:t>DBTBS</w:t>
            </w:r>
          </w:p>
        </w:tc>
        <w:tc>
          <w:tcPr>
            <w:tcW w:w="1233" w:type="dxa"/>
          </w:tcPr>
          <w:p w14:paraId="1C73248A" w14:textId="7AEF8331" w:rsidR="00841BD6" w:rsidRDefault="00841BD6" w:rsidP="00EF0F3F">
            <w:pPr>
              <w:jc w:val="center"/>
            </w:pPr>
            <w:r>
              <w:t>-60 - +20</w:t>
            </w:r>
          </w:p>
        </w:tc>
        <w:tc>
          <w:tcPr>
            <w:tcW w:w="1260" w:type="dxa"/>
          </w:tcPr>
          <w:p w14:paraId="20FB2208" w14:textId="40FD1DA3" w:rsidR="00841BD6" w:rsidRDefault="00841BD6" w:rsidP="00EF0F3F">
            <w:pPr>
              <w:jc w:val="center"/>
            </w:pPr>
            <w:r>
              <w:t>81</w:t>
            </w:r>
          </w:p>
        </w:tc>
        <w:tc>
          <w:tcPr>
            <w:tcW w:w="1170" w:type="dxa"/>
          </w:tcPr>
          <w:p w14:paraId="44A2316F" w14:textId="0641AF9F" w:rsidR="00841BD6" w:rsidRDefault="00841BD6" w:rsidP="00EF0F3F">
            <w:pPr>
              <w:jc w:val="center"/>
            </w:pPr>
            <w:r>
              <w:t>368</w:t>
            </w:r>
          </w:p>
        </w:tc>
        <w:tc>
          <w:tcPr>
            <w:tcW w:w="1170" w:type="dxa"/>
          </w:tcPr>
          <w:p w14:paraId="480EED44" w14:textId="5DA7D1AF" w:rsidR="00841BD6" w:rsidRDefault="00841BD6" w:rsidP="00EF0F3F">
            <w:pPr>
              <w:jc w:val="center"/>
            </w:pPr>
            <w:r>
              <w:t>865</w:t>
            </w:r>
          </w:p>
        </w:tc>
      </w:tr>
      <w:tr w:rsidR="00841BD6" w14:paraId="20F6AEC2" w14:textId="7FB11E4B" w:rsidTr="0000514D">
        <w:tc>
          <w:tcPr>
            <w:tcW w:w="1232" w:type="dxa"/>
          </w:tcPr>
          <w:p w14:paraId="3193C28B" w14:textId="3AE8871D" w:rsidR="00841BD6" w:rsidRDefault="00841BD6" w:rsidP="00EF0F3F">
            <w:pPr>
              <w:jc w:val="center"/>
            </w:pPr>
            <w:r>
              <w:t>Eukaryotic</w:t>
            </w:r>
          </w:p>
        </w:tc>
        <w:tc>
          <w:tcPr>
            <w:tcW w:w="1733" w:type="dxa"/>
          </w:tcPr>
          <w:p w14:paraId="0C9B1A1A" w14:textId="5306F168" w:rsidR="00841BD6" w:rsidRDefault="00841BD6" w:rsidP="00EF0F3F">
            <w:pPr>
              <w:jc w:val="center"/>
            </w:pPr>
            <w:r>
              <w:t>Homo sapiens</w:t>
            </w:r>
          </w:p>
        </w:tc>
        <w:tc>
          <w:tcPr>
            <w:tcW w:w="1287" w:type="dxa"/>
          </w:tcPr>
          <w:p w14:paraId="3545157D" w14:textId="5E630E94" w:rsidR="00841BD6" w:rsidRDefault="00841BD6" w:rsidP="00EF0F3F">
            <w:pPr>
              <w:jc w:val="center"/>
            </w:pPr>
            <w:r>
              <w:t>EPDnew</w:t>
            </w:r>
          </w:p>
        </w:tc>
        <w:tc>
          <w:tcPr>
            <w:tcW w:w="1233" w:type="dxa"/>
          </w:tcPr>
          <w:p w14:paraId="210717EE" w14:textId="448756CE" w:rsidR="00841BD6" w:rsidRDefault="00841BD6" w:rsidP="00EF0F3F">
            <w:pPr>
              <w:jc w:val="center"/>
            </w:pPr>
            <w:r>
              <w:t>-200 - +50</w:t>
            </w:r>
          </w:p>
        </w:tc>
        <w:tc>
          <w:tcPr>
            <w:tcW w:w="1260" w:type="dxa"/>
          </w:tcPr>
          <w:p w14:paraId="2E793466" w14:textId="28C4D1B1" w:rsidR="00841BD6" w:rsidRDefault="00841BD6" w:rsidP="00EF0F3F">
            <w:pPr>
              <w:jc w:val="center"/>
            </w:pPr>
            <w:r>
              <w:t>251</w:t>
            </w:r>
          </w:p>
        </w:tc>
        <w:tc>
          <w:tcPr>
            <w:tcW w:w="1170" w:type="dxa"/>
          </w:tcPr>
          <w:p w14:paraId="0554E655" w14:textId="5D555A61" w:rsidR="00841BD6" w:rsidRDefault="00841BD6" w:rsidP="00EF0F3F">
            <w:pPr>
              <w:jc w:val="center"/>
            </w:pPr>
            <w:r>
              <w:t>19596</w:t>
            </w:r>
          </w:p>
        </w:tc>
        <w:tc>
          <w:tcPr>
            <w:tcW w:w="1170" w:type="dxa"/>
          </w:tcPr>
          <w:p w14:paraId="48E42638" w14:textId="689C6E2F" w:rsidR="00841BD6" w:rsidRDefault="00841BD6" w:rsidP="00EF0F3F">
            <w:pPr>
              <w:jc w:val="center"/>
            </w:pPr>
            <w:r>
              <w:t>12943</w:t>
            </w:r>
          </w:p>
        </w:tc>
      </w:tr>
      <w:tr w:rsidR="00841BD6" w14:paraId="209E04CC" w14:textId="739B1FA9" w:rsidTr="0000514D">
        <w:tc>
          <w:tcPr>
            <w:tcW w:w="1232" w:type="dxa"/>
          </w:tcPr>
          <w:p w14:paraId="329AFECD" w14:textId="77777777" w:rsidR="00841BD6" w:rsidRDefault="00841BD6" w:rsidP="00EF0F3F">
            <w:pPr>
              <w:jc w:val="center"/>
            </w:pPr>
          </w:p>
        </w:tc>
        <w:tc>
          <w:tcPr>
            <w:tcW w:w="1733" w:type="dxa"/>
          </w:tcPr>
          <w:p w14:paraId="7F2DCC65" w14:textId="2DF4E08D" w:rsidR="00841BD6" w:rsidRDefault="00841BD6" w:rsidP="00EF0F3F">
            <w:pPr>
              <w:jc w:val="center"/>
            </w:pPr>
            <w:r>
              <w:t>Mus musculus</w:t>
            </w:r>
          </w:p>
        </w:tc>
        <w:tc>
          <w:tcPr>
            <w:tcW w:w="1287" w:type="dxa"/>
          </w:tcPr>
          <w:p w14:paraId="1B073B4D" w14:textId="053E4122" w:rsidR="00841BD6" w:rsidRDefault="00841BD6" w:rsidP="00EF0F3F">
            <w:pPr>
              <w:jc w:val="center"/>
            </w:pPr>
            <w:r>
              <w:t>EPDnew &amp; DBTSS</w:t>
            </w:r>
          </w:p>
        </w:tc>
        <w:tc>
          <w:tcPr>
            <w:tcW w:w="1233" w:type="dxa"/>
          </w:tcPr>
          <w:p w14:paraId="7E58D2A1" w14:textId="609A1B58" w:rsidR="00841BD6" w:rsidRDefault="00841BD6" w:rsidP="00EF0F3F">
            <w:pPr>
              <w:jc w:val="center"/>
            </w:pPr>
            <w:r>
              <w:t>-200 - +50</w:t>
            </w:r>
          </w:p>
        </w:tc>
        <w:tc>
          <w:tcPr>
            <w:tcW w:w="1260" w:type="dxa"/>
          </w:tcPr>
          <w:p w14:paraId="645AC3DF" w14:textId="30BC4038" w:rsidR="00841BD6" w:rsidRDefault="00841BD6" w:rsidP="00EF0F3F">
            <w:pPr>
              <w:jc w:val="center"/>
            </w:pPr>
            <w:r>
              <w:t>251</w:t>
            </w:r>
          </w:p>
        </w:tc>
        <w:tc>
          <w:tcPr>
            <w:tcW w:w="1170" w:type="dxa"/>
          </w:tcPr>
          <w:p w14:paraId="2F5DD287" w14:textId="7ADBFBE0" w:rsidR="00841BD6" w:rsidRDefault="00841BD6" w:rsidP="00EF0F3F">
            <w:pPr>
              <w:jc w:val="center"/>
            </w:pPr>
            <w:r>
              <w:t>16110</w:t>
            </w:r>
          </w:p>
        </w:tc>
        <w:tc>
          <w:tcPr>
            <w:tcW w:w="1170" w:type="dxa"/>
          </w:tcPr>
          <w:p w14:paraId="211A9720" w14:textId="34F7AF12" w:rsidR="00841BD6" w:rsidRDefault="00FA5FE8" w:rsidP="00EF0F3F">
            <w:pPr>
              <w:jc w:val="center"/>
            </w:pPr>
            <w:r>
              <w:t>23291</w:t>
            </w:r>
          </w:p>
        </w:tc>
      </w:tr>
      <w:tr w:rsidR="00841BD6" w14:paraId="62D703C6" w14:textId="14245C80" w:rsidTr="0000514D">
        <w:tc>
          <w:tcPr>
            <w:tcW w:w="1232" w:type="dxa"/>
          </w:tcPr>
          <w:p w14:paraId="692ABE61" w14:textId="77777777" w:rsidR="00841BD6" w:rsidRDefault="00841BD6" w:rsidP="00EF0F3F">
            <w:pPr>
              <w:jc w:val="center"/>
            </w:pPr>
          </w:p>
        </w:tc>
        <w:tc>
          <w:tcPr>
            <w:tcW w:w="1733" w:type="dxa"/>
          </w:tcPr>
          <w:p w14:paraId="27D678E4" w14:textId="4B87BD2C" w:rsidR="00841BD6" w:rsidRDefault="00841BD6" w:rsidP="00EF0F3F">
            <w:pPr>
              <w:jc w:val="center"/>
            </w:pPr>
            <w:r>
              <w:t>Arabidopsis thaliana</w:t>
            </w:r>
          </w:p>
        </w:tc>
        <w:tc>
          <w:tcPr>
            <w:tcW w:w="1287" w:type="dxa"/>
          </w:tcPr>
          <w:p w14:paraId="69E87AA6" w14:textId="60F6D3EE" w:rsidR="00841BD6" w:rsidRDefault="00841BD6" w:rsidP="00EF0F3F">
            <w:pPr>
              <w:jc w:val="center"/>
            </w:pPr>
            <w:r>
              <w:t>EPDnew</w:t>
            </w:r>
          </w:p>
        </w:tc>
        <w:tc>
          <w:tcPr>
            <w:tcW w:w="1233" w:type="dxa"/>
          </w:tcPr>
          <w:p w14:paraId="7027CEAA" w14:textId="5E9FD4EC" w:rsidR="00841BD6" w:rsidRDefault="00841BD6" w:rsidP="00EF0F3F">
            <w:pPr>
              <w:jc w:val="center"/>
            </w:pPr>
            <w:r>
              <w:t>-200 - +50</w:t>
            </w:r>
          </w:p>
        </w:tc>
        <w:tc>
          <w:tcPr>
            <w:tcW w:w="1260" w:type="dxa"/>
          </w:tcPr>
          <w:p w14:paraId="27CC1823" w14:textId="5AF71C2E" w:rsidR="00841BD6" w:rsidRDefault="00841BD6" w:rsidP="00EF0F3F">
            <w:pPr>
              <w:jc w:val="center"/>
            </w:pPr>
            <w:r>
              <w:t>251</w:t>
            </w:r>
          </w:p>
        </w:tc>
        <w:tc>
          <w:tcPr>
            <w:tcW w:w="1170" w:type="dxa"/>
          </w:tcPr>
          <w:p w14:paraId="0074A613" w14:textId="091939D3" w:rsidR="00841BD6" w:rsidRDefault="00841BD6" w:rsidP="00EF0F3F">
            <w:pPr>
              <w:jc w:val="center"/>
            </w:pPr>
            <w:r>
              <w:t>5885</w:t>
            </w:r>
          </w:p>
        </w:tc>
        <w:tc>
          <w:tcPr>
            <w:tcW w:w="1170" w:type="dxa"/>
          </w:tcPr>
          <w:p w14:paraId="51FD64FA" w14:textId="747FCBF0" w:rsidR="00841BD6" w:rsidRDefault="00841BD6" w:rsidP="00EF0F3F">
            <w:pPr>
              <w:jc w:val="center"/>
            </w:pPr>
            <w:r>
              <w:t>2866</w:t>
            </w:r>
          </w:p>
        </w:tc>
      </w:tr>
      <w:tr w:rsidR="00841BD6" w14:paraId="1D595B1E" w14:textId="0117B9CB" w:rsidTr="0000514D">
        <w:tc>
          <w:tcPr>
            <w:tcW w:w="1232" w:type="dxa"/>
          </w:tcPr>
          <w:p w14:paraId="56F93340" w14:textId="7AE1765B" w:rsidR="00841BD6" w:rsidRDefault="00841BD6" w:rsidP="00EF0F3F">
            <w:pPr>
              <w:jc w:val="center"/>
            </w:pPr>
            <w:r>
              <w:t>Archaea</w:t>
            </w:r>
          </w:p>
        </w:tc>
        <w:tc>
          <w:tcPr>
            <w:tcW w:w="1733" w:type="dxa"/>
          </w:tcPr>
          <w:p w14:paraId="1C035CC6" w14:textId="77777777" w:rsidR="0000514D" w:rsidRDefault="0000514D" w:rsidP="00EF0F3F">
            <w:pPr>
              <w:jc w:val="center"/>
            </w:pPr>
            <w:r>
              <w:t>H. volcanii,</w:t>
            </w:r>
          </w:p>
          <w:p w14:paraId="30CCB6E5" w14:textId="77777777" w:rsidR="0000514D" w:rsidRDefault="0000514D" w:rsidP="00EF0F3F">
            <w:pPr>
              <w:jc w:val="center"/>
            </w:pPr>
            <w:r>
              <w:t>S. solfataricus,</w:t>
            </w:r>
          </w:p>
          <w:p w14:paraId="31300BCC" w14:textId="620D3C3C" w:rsidR="00841BD6" w:rsidRDefault="0000514D" w:rsidP="00EF0F3F">
            <w:pPr>
              <w:jc w:val="center"/>
            </w:pPr>
            <w:r>
              <w:t>T. kodakarensis</w:t>
            </w:r>
          </w:p>
        </w:tc>
        <w:tc>
          <w:tcPr>
            <w:tcW w:w="1287" w:type="dxa"/>
          </w:tcPr>
          <w:p w14:paraId="1B415A04" w14:textId="01A4E5B9" w:rsidR="00841BD6" w:rsidRDefault="0000514D" w:rsidP="00EF0F3F">
            <w:pPr>
              <w:jc w:val="center"/>
            </w:pPr>
            <w:r>
              <w:t>PPD</w:t>
            </w:r>
          </w:p>
        </w:tc>
        <w:tc>
          <w:tcPr>
            <w:tcW w:w="1233" w:type="dxa"/>
          </w:tcPr>
          <w:p w14:paraId="78A642B0" w14:textId="02CC8773" w:rsidR="00841BD6" w:rsidRDefault="00841BD6" w:rsidP="00EF0F3F">
            <w:pPr>
              <w:jc w:val="center"/>
            </w:pPr>
            <w:r>
              <w:t>-80 - +20</w:t>
            </w:r>
          </w:p>
        </w:tc>
        <w:tc>
          <w:tcPr>
            <w:tcW w:w="1260" w:type="dxa"/>
          </w:tcPr>
          <w:p w14:paraId="755867F6" w14:textId="6C6F88A8" w:rsidR="00841BD6" w:rsidRDefault="00841BD6" w:rsidP="00EF0F3F">
            <w:pPr>
              <w:jc w:val="center"/>
            </w:pPr>
            <w:r>
              <w:t>100</w:t>
            </w:r>
          </w:p>
        </w:tc>
        <w:tc>
          <w:tcPr>
            <w:tcW w:w="1170" w:type="dxa"/>
          </w:tcPr>
          <w:p w14:paraId="0FF02C78" w14:textId="61A7E5CE" w:rsidR="00841BD6" w:rsidRDefault="00841BD6" w:rsidP="00EF0F3F">
            <w:pPr>
              <w:jc w:val="center"/>
            </w:pPr>
            <w:r>
              <w:t>3</w:t>
            </w:r>
            <w:r w:rsidR="00233B88">
              <w:t>62</w:t>
            </w:r>
            <w:r>
              <w:t>4</w:t>
            </w:r>
          </w:p>
        </w:tc>
        <w:tc>
          <w:tcPr>
            <w:tcW w:w="1170" w:type="dxa"/>
          </w:tcPr>
          <w:p w14:paraId="063F549A" w14:textId="00502BBA" w:rsidR="00841BD6" w:rsidRDefault="00841BD6" w:rsidP="00EF0F3F">
            <w:pPr>
              <w:jc w:val="center"/>
            </w:pPr>
            <w:r>
              <w:t>6992</w:t>
            </w:r>
          </w:p>
        </w:tc>
      </w:tr>
    </w:tbl>
    <w:p w14:paraId="7BFD9151" w14:textId="77777777" w:rsidR="003F2902" w:rsidRDefault="003F2902" w:rsidP="003F2902"/>
    <w:p w14:paraId="1ED05EE2" w14:textId="77777777" w:rsidR="00EC3612" w:rsidRPr="003F2902" w:rsidRDefault="00EC3612" w:rsidP="003F2902"/>
    <w:p w14:paraId="2669F68B" w14:textId="77777777" w:rsidR="003F2902" w:rsidRPr="003F2902" w:rsidRDefault="003F2902" w:rsidP="003F2902">
      <w:pPr>
        <w:rPr>
          <w:b/>
          <w:bCs/>
          <w:sz w:val="28"/>
          <w:szCs w:val="28"/>
        </w:rPr>
      </w:pPr>
      <w:r w:rsidRPr="003F2902">
        <w:rPr>
          <w:b/>
          <w:bCs/>
          <w:sz w:val="28"/>
          <w:szCs w:val="28"/>
        </w:rPr>
        <w:t>References</w:t>
      </w:r>
    </w:p>
    <w:p w14:paraId="3A6C3A50" w14:textId="77777777" w:rsidR="002D3475" w:rsidRPr="002D3475" w:rsidRDefault="002D3475" w:rsidP="002D3475">
      <w:r w:rsidRPr="002D3475">
        <w:t xml:space="preserve">[1] Gama-Castro, S., Salgado, H., Santos-Zavaleta, A., Ledezma-Tejeida, D., et al. (2016). RegulonDB version 9.0: High-level integration of gene regulation, coexpression, motif clustering and beyond. </w:t>
      </w:r>
      <w:r w:rsidRPr="002D3475">
        <w:rPr>
          <w:i/>
          <w:iCs/>
        </w:rPr>
        <w:t>Nucleic Acids Research, 44</w:t>
      </w:r>
      <w:r w:rsidRPr="002D3475">
        <w:t>(D1), D133–D143.</w:t>
      </w:r>
    </w:p>
    <w:p w14:paraId="6505D51E" w14:textId="77777777" w:rsidR="002D3475" w:rsidRPr="002D3475" w:rsidRDefault="002D3475" w:rsidP="002D3475">
      <w:r w:rsidRPr="002D3475">
        <w:t xml:space="preserve">[2] Ishii, T., Yoshida, K., Terai, G., Fujita, Y., and Nakai, K. (2001). DBTBS: A database of </w:t>
      </w:r>
      <w:r w:rsidRPr="002D3475">
        <w:rPr>
          <w:i/>
          <w:iCs/>
        </w:rPr>
        <w:t>Bacillus subtilis</w:t>
      </w:r>
      <w:r w:rsidRPr="002D3475">
        <w:t xml:space="preserve"> promoters and transcription factors. </w:t>
      </w:r>
      <w:r w:rsidRPr="002D3475">
        <w:rPr>
          <w:i/>
          <w:iCs/>
        </w:rPr>
        <w:t>Nucleic Acids Research, 29</w:t>
      </w:r>
      <w:r w:rsidRPr="002D3475">
        <w:t>(1), 278–280.</w:t>
      </w:r>
    </w:p>
    <w:p w14:paraId="2BCDD9BC" w14:textId="77777777" w:rsidR="002D3475" w:rsidRPr="002D3475" w:rsidRDefault="002D3475" w:rsidP="002D3475">
      <w:r w:rsidRPr="002D3475">
        <w:t xml:space="preserve">[3] Dreos, R., Ambrosini, G., Périer, R., and Bucher, P. (2013). EPD and EPDnew, high-quality promoter resources in the next-generation sequencing era. </w:t>
      </w:r>
      <w:r w:rsidRPr="002D3475">
        <w:rPr>
          <w:i/>
          <w:iCs/>
        </w:rPr>
        <w:t>Nucleic Acids Research, 41</w:t>
      </w:r>
      <w:r w:rsidRPr="002D3475">
        <w:t>(Database issue), D157–D164.</w:t>
      </w:r>
    </w:p>
    <w:p w14:paraId="1326C21D" w14:textId="77777777" w:rsidR="002D3475" w:rsidRPr="002D3475" w:rsidRDefault="002D3475" w:rsidP="002D3475">
      <w:r w:rsidRPr="002D3475">
        <w:lastRenderedPageBreak/>
        <w:t xml:space="preserve">[4] Suzuki, A., Wakaguri, H., Yamashita, R., Kawano, S., Tsuchihara, K., Sugano, S., Suzuki, Y., &amp; Nakai, K. (2015). DBTSS as an integrative platform for transcriptome, epigenome and genome sequence variation data. </w:t>
      </w:r>
      <w:r w:rsidRPr="002D3475">
        <w:rPr>
          <w:i/>
          <w:iCs/>
        </w:rPr>
        <w:t>Nucleic Acids Research, 43</w:t>
      </w:r>
      <w:r w:rsidRPr="002D3475">
        <w:t>(D1), D1–D5.</w:t>
      </w:r>
    </w:p>
    <w:p w14:paraId="57B35074" w14:textId="15225DAA" w:rsidR="002D3475" w:rsidRPr="003F2902" w:rsidRDefault="002D3475" w:rsidP="003F2902">
      <w:r w:rsidRPr="002D3475">
        <w:t>[5] Zhang M, et al. Multiply: a novel multi-layer predictor for discovering general and specific types of promoters. Bioinformatics. 2019;35(17):2957–65</w:t>
      </w:r>
      <w:r w:rsidR="003F2902" w:rsidRPr="003F2902">
        <w:t>.</w:t>
      </w:r>
    </w:p>
    <w:p w14:paraId="44D794E9" w14:textId="43CBC552" w:rsidR="003F2902" w:rsidRPr="003F2902" w:rsidRDefault="003F2902" w:rsidP="003F2902"/>
    <w:p w14:paraId="026D2BB4" w14:textId="77777777" w:rsidR="00ED0A2E" w:rsidRPr="007D12EE" w:rsidRDefault="00ED0A2E" w:rsidP="007D12EE"/>
    <w:p w14:paraId="37DECBA9" w14:textId="341FCC36" w:rsidR="007D12EE" w:rsidRPr="007D12EE" w:rsidRDefault="007D12EE" w:rsidP="007D12EE"/>
    <w:p w14:paraId="47E590EE" w14:textId="0D2213B5" w:rsidR="007D12EE" w:rsidRPr="003F2902" w:rsidRDefault="007D12EE"/>
    <w:sectPr w:rsidR="007D12EE" w:rsidRPr="003F2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47EE"/>
    <w:multiLevelType w:val="hybridMultilevel"/>
    <w:tmpl w:val="D7D0E4CC"/>
    <w:lvl w:ilvl="0" w:tplc="DDC202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4F0EBA"/>
    <w:multiLevelType w:val="hybridMultilevel"/>
    <w:tmpl w:val="760C1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267853">
    <w:abstractNumId w:val="0"/>
  </w:num>
  <w:num w:numId="2" w16cid:durableId="7490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03"/>
    <w:rsid w:val="0000514D"/>
    <w:rsid w:val="00051DB4"/>
    <w:rsid w:val="0008194A"/>
    <w:rsid w:val="00233B88"/>
    <w:rsid w:val="00274251"/>
    <w:rsid w:val="002D3475"/>
    <w:rsid w:val="003936F2"/>
    <w:rsid w:val="003F2902"/>
    <w:rsid w:val="00421A07"/>
    <w:rsid w:val="0057523C"/>
    <w:rsid w:val="005B7049"/>
    <w:rsid w:val="0073175B"/>
    <w:rsid w:val="007D12EE"/>
    <w:rsid w:val="00841BD6"/>
    <w:rsid w:val="00875AA3"/>
    <w:rsid w:val="00A87AE0"/>
    <w:rsid w:val="00C36BF0"/>
    <w:rsid w:val="00CE4BAF"/>
    <w:rsid w:val="00DB027C"/>
    <w:rsid w:val="00E721CC"/>
    <w:rsid w:val="00EC3612"/>
    <w:rsid w:val="00ED0A2E"/>
    <w:rsid w:val="00EF0F3F"/>
    <w:rsid w:val="00F53C57"/>
    <w:rsid w:val="00FA5FE8"/>
    <w:rsid w:val="00FB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4B4E"/>
  <w15:chartTrackingRefBased/>
  <w15:docId w15:val="{1CD7604C-304C-4656-8D04-C8EC182D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503"/>
    <w:rPr>
      <w:rFonts w:eastAsiaTheme="majorEastAsia" w:cstheme="majorBidi"/>
      <w:color w:val="272727" w:themeColor="text1" w:themeTint="D8"/>
    </w:rPr>
  </w:style>
  <w:style w:type="paragraph" w:styleId="Title">
    <w:name w:val="Title"/>
    <w:basedOn w:val="Normal"/>
    <w:next w:val="Normal"/>
    <w:link w:val="TitleChar"/>
    <w:uiPriority w:val="10"/>
    <w:qFormat/>
    <w:rsid w:val="00FB5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503"/>
    <w:pPr>
      <w:spacing w:before="160"/>
      <w:jc w:val="center"/>
    </w:pPr>
    <w:rPr>
      <w:i/>
      <w:iCs/>
      <w:color w:val="404040" w:themeColor="text1" w:themeTint="BF"/>
    </w:rPr>
  </w:style>
  <w:style w:type="character" w:customStyle="1" w:styleId="QuoteChar">
    <w:name w:val="Quote Char"/>
    <w:basedOn w:val="DefaultParagraphFont"/>
    <w:link w:val="Quote"/>
    <w:uiPriority w:val="29"/>
    <w:rsid w:val="00FB5503"/>
    <w:rPr>
      <w:i/>
      <w:iCs/>
      <w:color w:val="404040" w:themeColor="text1" w:themeTint="BF"/>
    </w:rPr>
  </w:style>
  <w:style w:type="paragraph" w:styleId="ListParagraph">
    <w:name w:val="List Paragraph"/>
    <w:basedOn w:val="Normal"/>
    <w:uiPriority w:val="34"/>
    <w:qFormat/>
    <w:rsid w:val="00FB5503"/>
    <w:pPr>
      <w:ind w:left="720"/>
      <w:contextualSpacing/>
    </w:pPr>
  </w:style>
  <w:style w:type="character" w:styleId="IntenseEmphasis">
    <w:name w:val="Intense Emphasis"/>
    <w:basedOn w:val="DefaultParagraphFont"/>
    <w:uiPriority w:val="21"/>
    <w:qFormat/>
    <w:rsid w:val="00FB5503"/>
    <w:rPr>
      <w:i/>
      <w:iCs/>
      <w:color w:val="2F5496" w:themeColor="accent1" w:themeShade="BF"/>
    </w:rPr>
  </w:style>
  <w:style w:type="paragraph" w:styleId="IntenseQuote">
    <w:name w:val="Intense Quote"/>
    <w:basedOn w:val="Normal"/>
    <w:next w:val="Normal"/>
    <w:link w:val="IntenseQuoteChar"/>
    <w:uiPriority w:val="30"/>
    <w:qFormat/>
    <w:rsid w:val="00FB5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503"/>
    <w:rPr>
      <w:i/>
      <w:iCs/>
      <w:color w:val="2F5496" w:themeColor="accent1" w:themeShade="BF"/>
    </w:rPr>
  </w:style>
  <w:style w:type="character" w:styleId="IntenseReference">
    <w:name w:val="Intense Reference"/>
    <w:basedOn w:val="DefaultParagraphFont"/>
    <w:uiPriority w:val="32"/>
    <w:qFormat/>
    <w:rsid w:val="00FB550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D12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12EE"/>
    <w:rPr>
      <w:rFonts w:ascii="Consolas" w:hAnsi="Consolas"/>
      <w:sz w:val="20"/>
      <w:szCs w:val="20"/>
    </w:rPr>
  </w:style>
  <w:style w:type="table" w:styleId="TableGrid">
    <w:name w:val="Table Grid"/>
    <w:basedOn w:val="TableNormal"/>
    <w:uiPriority w:val="39"/>
    <w:rsid w:val="003F2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Farooq</dc:creator>
  <cp:keywords/>
  <dc:description/>
  <cp:lastModifiedBy>Ahsan Farooq</cp:lastModifiedBy>
  <cp:revision>7</cp:revision>
  <dcterms:created xsi:type="dcterms:W3CDTF">2026-07-30T11:31:00Z</dcterms:created>
  <dcterms:modified xsi:type="dcterms:W3CDTF">2026-07-31T14:01:00Z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341f1cef-8797-45ca-8610-91fabd6754ba</vt:lpwstr>
  </property>
</Properties>
</file>