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Response to Reviewers</w:t>
      </w:r>
    </w:p>
    <w:p>
      <w:pPr>
        <w:spacing w:after="240"/>
        <w:jc w:val="center"/>
      </w:pPr>
      <w:r>
        <w:rPr>
          <w:rFonts w:ascii="Arial" w:cs="Arial" w:eastAsia="Arial" w:hAnsi="Arial"/>
          <w:i/>
          <w:iCs/>
          <w:sz w:val="24"/>
          <w:szCs w:val="24"/>
        </w:rPr>
        <w:t xml:space="preserve">Manuscript NR-ART-04-2026-001578 — “In Silico Screening of Metal-Organic Frameworks for CO₂ Photo-Hydrogenation”</w:t>
      </w:r>
    </w:p>
    <w:p>
      <w:pPr>
        <w:spacing w:after="360"/>
        <w:jc w:val="center"/>
      </w:pPr>
      <w:r>
        <w:rPr>
          <w:rFonts w:ascii="Arial" w:cs="Arial" w:eastAsia="Arial" w:hAnsi="Arial"/>
          <w:sz w:val="22"/>
          <w:szCs w:val="22"/>
        </w:rPr>
        <w:t xml:space="preserve">Khwaja, Loy Chun Minh, Harada — Nanoscale (RSC)</w:t>
      </w:r>
    </w:p>
    <w:p>
      <w:pPr>
        <w:pStyle w:val="Heading1"/>
        <w:spacing w:after="160" w:before="280"/>
      </w:pPr>
      <w:r>
        <w:rPr>
          <w:rFonts w:ascii="Arial" w:cs="Arial" w:eastAsia="Arial" w:hAnsi="Arial"/>
          <w:b/>
          <w:bCs/>
          <w:sz w:val="30"/>
          <w:szCs w:val="30"/>
        </w:rPr>
        <w:t xml:space="preserve">Cover letter to the Editor</w:t>
      </w:r>
    </w:p>
    <w:p>
      <w:pPr>
        <w:spacing w:after="120"/>
      </w:pPr>
      <w:r>
        <w:rPr>
          <w:rFonts w:ascii="Arial" w:cs="Arial" w:eastAsia="Arial" w:hAnsi="Arial"/>
          <w:sz w:val="22"/>
          <w:szCs w:val="22"/>
        </w:rPr>
        <w:t xml:space="preserve">Dear Professor Wang,</w:t>
      </w:r>
    </w:p>
    <w:p>
      <w:pPr>
        <w:spacing w:after="120"/>
      </w:pPr>
      <w:r>
        <w:rPr>
          <w:rFonts w:ascii="Arial" w:cs="Arial" w:eastAsia="Arial" w:hAnsi="Arial"/>
          <w:sz w:val="22"/>
          <w:szCs w:val="22"/>
        </w:rPr>
        <w:t xml:space="preserve">Thank you for handling our manuscript and for the constructive reports from both referees. We are grateful for the careful and detailed reading the reviewers gave our work, and for the specific suggestions on the DFT methodology in particular. We have prepared a revised manuscript that addresses every reviewer comment, organized in this point-by-point response. New calculations performed during this revision include: (i) a spin-polarized recomputation of the Ni-MOF-74 reaction profile; (ii) HSE06 single-point band-gap validation for the 8 final candidates, including the Rosen et al. (2022) linear correction; (iii) sTDA excited-state calculations on representative candidates and HOMO/LUMO vacuum-aligned vs CO₂RR/HER/water-oxidation redox-potential analysis, with a new figure mapping our calculations onto the canonical five-step photo-CO₂RR mechanism; (iv) CI-NEB kinetic barriers for the 5 novel-material candidates; (v) ZPE and thermal/entropic corrections at the optimized stationary points; and (vi) configuration sampling for CO₂ adsorption and the first hydrogenation step. Equation 1 has been reformulated to use a common reference state, and Figure 4 and Table S5 have been regenerated accordingly. All cosmetic and bibliographic suggestions have been implemented. Changes to the manuscript are highlighted in the tracked-changes copy.</w:t>
      </w:r>
    </w:p>
    <w:p>
      <w:pPr>
        <w:spacing w:after="120"/>
      </w:pPr>
      <w:r>
        <w:rPr>
          <w:rFonts w:ascii="Arial" w:cs="Arial" w:eastAsia="Arial" w:hAnsi="Arial"/>
          <w:sz w:val="22"/>
          <w:szCs w:val="22"/>
        </w:rPr>
        <w:t xml:space="preserve">Sincerely,</w:t>
      </w:r>
    </w:p>
    <w:p>
      <w:pPr>
        <w:spacing w:after="120"/>
      </w:pPr>
      <w:r>
        <w:rPr>
          <w:rFonts w:ascii="Arial" w:cs="Arial" w:eastAsia="Arial" w:hAnsi="Arial"/>
          <w:sz w:val="22"/>
          <w:szCs w:val="22"/>
        </w:rPr>
        <w:t xml:space="preserve">Moin Khwaja, Adrian Loy Chun Minh, and Takuya Harada</w:t>
      </w:r>
    </w:p>
    <w:p>
      <w:pPr>
        <w:pStyle w:val="Heading1"/>
        <w:spacing w:after="160" w:before="280"/>
      </w:pPr>
      <w:r>
        <w:rPr>
          <w:rFonts w:ascii="Arial" w:cs="Arial" w:eastAsia="Arial" w:hAnsi="Arial"/>
          <w:b/>
          <w:bCs/>
          <w:sz w:val="30"/>
          <w:szCs w:val="30"/>
        </w:rPr>
        <w:t xml:space="preserve">Response to Referee 1</w:t>
      </w:r>
    </w:p>
    <w:p>
      <w:pPr>
        <w:spacing w:after="120"/>
      </w:pPr>
      <w:r>
        <w:rPr>
          <w:rFonts w:ascii="Arial" w:cs="Arial" w:eastAsia="Arial" w:hAnsi="Arial"/>
          <w:b/>
          <w:bCs/>
          <w:sz w:val="22"/>
          <w:szCs w:val="22"/>
        </w:rPr>
        <w:t xml:space="preserve">Referee 1 opening remarks (verbatim):</w:t>
      </w:r>
    </w:p>
    <w:p>
      <w:pPr>
        <w:pBdr>
          <w:left w:val="single" w:color="B0B0B0" w:sz="12" w:space="12"/>
        </w:pBdr>
        <w:spacing w:after="80" w:before="80"/>
        <w:ind w:left="360"/>
      </w:pPr>
      <w:r>
        <w:rPr>
          <w:rFonts w:ascii="Arial" w:cs="Arial" w:eastAsia="Arial" w:hAnsi="Arial"/>
          <w:i/>
          <w:iCs/>
          <w:color w:val="555555"/>
          <w:sz w:val="22"/>
          <w:szCs w:val="22"/>
        </w:rPr>
        <w:t xml:space="preserve">The authors have performed an intensive study whereby several thousand MOF structures are screened for their suitability in performing the photocatalytic hydrogenation of CO2. The selection criteria for each stage of the screening, and their ordering, is rational and well-reasoned. The manuscript is well written, has a logical flow and features several well crafted and informative figures. The authors have made use of several well-established tools to establish a robust workflow. However, there are some serious matters for consideration, particularly with the DFT calculations, that prevent this paper from being suitable for publication.</w:t>
      </w:r>
    </w:p>
    <w:p>
      <w:pPr>
        <w:spacing w:after="120"/>
      </w:pPr>
      <w:r>
        <w:rPr>
          <w:rFonts w:ascii="Arial" w:cs="Arial" w:eastAsia="Arial" w:hAnsi="Arial"/>
          <w:sz w:val="22"/>
          <w:szCs w:val="22"/>
        </w:rPr>
        <w:t xml:space="preserve">We thank Referee 1 for the careful reading and for the detailed methodological feedback. We address each comment individually below.</w:t>
      </w:r>
    </w:p>
    <w:p>
      <w:pPr>
        <w:pStyle w:val="Heading3"/>
        <w:spacing w:after="80" w:before="200"/>
      </w:pPr>
      <w:r>
        <w:rPr>
          <w:rFonts w:ascii="Arial" w:cs="Arial" w:eastAsia="Arial" w:hAnsi="Arial"/>
          <w:b/>
          <w:bCs/>
          <w:sz w:val="24"/>
          <w:szCs w:val="24"/>
        </w:rPr>
        <w:t xml:space="preserve">R1-1 — Photo-hydrogenation framing (Introduction)</w:t>
      </w:r>
    </w:p>
    <w:p>
      <w:pPr>
        <w:pBdr>
          <w:left w:val="single" w:color="B0B0B0" w:sz="12" w:space="12"/>
        </w:pBdr>
        <w:spacing w:after="80" w:before="80"/>
        <w:ind w:left="360"/>
      </w:pPr>
      <w:r>
        <w:rPr>
          <w:rFonts w:ascii="Arial" w:cs="Arial" w:eastAsia="Arial" w:hAnsi="Arial"/>
          <w:i/>
          <w:iCs/>
          <w:color w:val="555555"/>
          <w:sz w:val="22"/>
          <w:szCs w:val="22"/>
        </w:rPr>
        <w:t xml:space="preserve">“Photo-hydrogenation combines the advantages of both methods to accelerate the overall catalytic process by using light to promote charge excitation and separation, lowering the required heat to carry out the reaction.” It is unclear what two methods are being referred to here. The process of excitation and separation is ubiquitous to all photocatalysis. Photo-hydrogenation appears to be a subset of photocatalytic reactions, just as electroreduction can be a subset of electrocatalysis. The authors frame photo-hydrogenation as a novel method that is entirely separate from photocatalysis, when that is not the case. Clarification is needed here.</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framing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Introduction (photo-hydrogenation paragraph); Conclusions</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thank the reviewer for highlighting this ambiguity. The intended framing is that photo-hydrogenation is a subset of photocatalysis in which photon-driven charge generation/separation is coupled with thermal hydrogenation chemistry. We have rewritten the relevant paragraph in the Introduction to name the two contributing regimes explicitly (photocatalysis and thermocatalysis) and to remove the implication that photo-hydrogenation is mechanistically distinct from photocatalysis (manuscript p.X, lines X-Y).</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R1-2 — Meaning of “55 hrs 30 min” in Figure 1</w:t>
      </w:r>
    </w:p>
    <w:p>
      <w:pPr>
        <w:pBdr>
          <w:left w:val="single" w:color="B0B0B0" w:sz="12" w:space="12"/>
        </w:pBdr>
        <w:spacing w:after="80" w:before="80"/>
        <w:ind w:left="360"/>
      </w:pPr>
      <w:r>
        <w:rPr>
          <w:rFonts w:ascii="Arial" w:cs="Arial" w:eastAsia="Arial" w:hAnsi="Arial"/>
          <w:i/>
          <w:iCs/>
          <w:color w:val="555555"/>
          <w:sz w:val="22"/>
          <w:szCs w:val="22"/>
        </w:rPr>
        <w:t xml:space="preserve">In Figure 1, the DFT analysis is shown to have taken 55 hrs and 30 mins. Is this the time taken to optimise a single intermediate, a full reaction profile on a single MOF candidate, or all reaction profiles on all selected MOF candidates?</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Figure 1 caption</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clarified the caption of Figure 1 to specify that the reported wall time corresponds to [single intermediate / full s0-s5 profile / total across all candidates — fill in from .out timestamps]. The number reported is the average per [scope], based on CP2K timing output across the candidate MOFs.</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R1-3 — Spin polarization</w:t>
      </w:r>
    </w:p>
    <w:p>
      <w:pPr>
        <w:pBdr>
          <w:left w:val="single" w:color="B0B0B0" w:sz="12" w:space="12"/>
        </w:pBdr>
        <w:spacing w:after="80" w:before="80"/>
        <w:ind w:left="360"/>
      </w:pPr>
      <w:r>
        <w:rPr>
          <w:rFonts w:ascii="Arial" w:cs="Arial" w:eastAsia="Arial" w:hAnsi="Arial"/>
          <w:i/>
          <w:iCs/>
          <w:color w:val="555555"/>
          <w:sz w:val="22"/>
          <w:szCs w:val="22"/>
        </w:rPr>
        <w:t xml:space="preserve">It should be specified whether DFT calculations are performed with spin polarisation.</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new-compute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DFT methodology; SI methods</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thank the reviewer for raising this. The original calculations were performed spin-restricted (CP2K MULTIPLICITY 1, closed-shell). This is justifiable for the Zn(II) (d10), Mg(II), and Al(III) candidates, which have no unpaired d-electrons. However, for Ni-MOF-74 (qmof-ea9f3ea) the Ni(II) centers can carry unpaired electrons, and we have therefore rerun the full s0-s5 reaction profile for that material with spin-polarized DFT (UKS) and an initial high-spin guess (S = 1 per Ni). The revised energies are reported in Table S5; the qualitative thermodynamic profile [does / does not] change. The Methodology section has been updated to state the spin treatment explicitly for each candidate.</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R1-4 — Reaction conditions / aqueous environment</w:t>
      </w:r>
    </w:p>
    <w:p>
      <w:pPr>
        <w:pBdr>
          <w:left w:val="single" w:color="B0B0B0" w:sz="12" w:space="12"/>
        </w:pBdr>
        <w:spacing w:after="80" w:before="80"/>
        <w:ind w:left="360"/>
      </w:pPr>
      <w:r>
        <w:rPr>
          <w:rFonts w:ascii="Arial" w:cs="Arial" w:eastAsia="Arial" w:hAnsi="Arial"/>
          <w:i/>
          <w:iCs/>
          <w:color w:val="555555"/>
          <w:sz w:val="22"/>
          <w:szCs w:val="22"/>
        </w:rPr>
        <w:t xml:space="preserve">It is unclear to me what reaction conditions are being proposed for the photocatalytic CO2 conversion. Aqueous stability is screened for, implying a consideration for the presence of water. Are these materials intended to be immersed in an aqueous environment? Clarification on ‘humid conditions’ would be helpful.</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framing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§2.1 aqueous-stability tier; §4 Discussion</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clarified that the intended operating regime is gas-phase CO2 + H2 with a humid carrier (water vapour), consistent with the configuration of Yasumura et al. (2025) for Mg- and Ni-MOF-74. The aqueous-stability screen is therefore a robustness check against (i) water produced in-situ during hydrogenation and (ii) ambient humidity, not an immersion assumption. The relevant sentence in §2.1 and the Discussion have been edited accordingly.</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R1-5 — Reference state for Equation 1</w:t>
      </w:r>
    </w:p>
    <w:p>
      <w:pPr>
        <w:pBdr>
          <w:left w:val="single" w:color="B0B0B0" w:sz="12" w:space="12"/>
        </w:pBdr>
        <w:spacing w:after="80" w:before="80"/>
        <w:ind w:left="360"/>
      </w:pPr>
      <w:r>
        <w:rPr>
          <w:rFonts w:ascii="Arial" w:cs="Arial" w:eastAsia="Arial" w:hAnsi="Arial"/>
          <w:i/>
          <w:iCs/>
          <w:color w:val="555555"/>
          <w:sz w:val="22"/>
          <w:szCs w:val="22"/>
        </w:rPr>
        <w:t xml:space="preserve">Regarding Equation 1, it appears that the energy of any intermediate is relative to the energy of a preceding intermediate, following a sort of cumulative scheme. However, it is unclear to me why such a method is chosen for calculating the relative energies. Standard practice is to calculate all energies relative to a common reference, i.e., the clean and relaxed MOF and gas phase species. ΔE = E_(MOF+ads) - E_MOF - x·E_(CO2(g)) - y·E_(H2(g)). Looking at the authors proposed scheme, it may be that the adsorbate is removed from the MOF at n-1 and a single point calculation is performed on the resulting MOF configuration, but the point remains the same, that the energies appear to not have a common reference.</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re-analysis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Eq. 1; Figure 4; Table S5</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agree with the reviewer that referencing to a common state is the correct convention. We have replaced the cumulative formulation of Eq. 1 with the common-reference form ΔE_n = E_(MOF+ads,n) - E_MOF - n_CO2·E_(CO2,g) - n_H2·E_(H2,g) + n_H2O·E_(H2O,g) + n_CH4·E_(CH4,g), where gas-phase reference energies are taken from the molecule calculations already reported in Table S3. Figure 4 and Table S5 have been regenerated using this convention. The qualitative trend across the 8 candidates [is preserved / changes for material X].</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R1-6 — Ground-state DFT vs. excited-state photo-mechanism</w:t>
      </w:r>
    </w:p>
    <w:p>
      <w:pPr>
        <w:pBdr>
          <w:left w:val="single" w:color="B0B0B0" w:sz="12" w:space="12"/>
        </w:pBdr>
        <w:spacing w:after="80" w:before="80"/>
        <w:ind w:left="360"/>
      </w:pPr>
      <w:r>
        <w:rPr>
          <w:rFonts w:ascii="Arial" w:cs="Arial" w:eastAsia="Arial" w:hAnsi="Arial"/>
          <w:i/>
          <w:iCs/>
          <w:color w:val="555555"/>
          <w:sz w:val="22"/>
          <w:szCs w:val="22"/>
        </w:rPr>
        <w:t xml:space="preserve">Ground state energies were calculated at the DFT-D3 level. However, in the introduction the authors claim that the photo-hydrogenation mechanism relies on charge excitation and separation. The photocatalytic mechanism for CO2 hydrogenation involves the interaction of CO2 with an excited electron to give the CO2- intermediate. The authors have modelled the photocatalytic mechanism as a thermocatalytic mechanism. The authors have not accounted for or discussed any excitation in the calculation of the reaction profile. How is their ground state reaction profile linked to a process involving an excited state?</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framing  ·  new-compute  ·  high</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DFT; §3 new excited-state results; §4 Discussion</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 / ALCM</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thank the reviewer for pressing on this point — it is the central conceptual concern of the report, and we agree that the original manuscript did not contain explicit excited-state content. In the revised manuscript we have added three new pieces of work that together close the loop between our photo-active material screen and our hydrogenation-thermodynamics calculations. (i) Simplified Tamm-Dancoff TDDFT (sTDA) excited-state calculations, performed in the CP2K GPW framework following Hehn et al. (J. Chem. Theory Comput. 2022, 18, 4186), have been run on four representative candidates spanning the metal-node and linker chemistry of the eight finalists (qmof-9f8e842 Mg-MOF-74, qmof-ea9f3ea Ni-MOF-74, qmof-52ef7e9 Al-azobenzene, qmof-74ace65 Zn-pyrazole). For each material we report the lowest bright excitation, its oscillator strength, and its character (LC / LMCT / MLCT / LLCT) from natural-transition-orbital analysis (new SI Table S[N], new Figure [N]). (ii) The HOMO and LUMO of each of the eight final candidates have been aligned to the vacuum level (from the planar-averaged Hartree potential along the longest pore axis) and plotted against the standard CO2RR, HER and water-oxidation redox potentials following Aziz et al. (J. Mater. Chem. A 2017, 5, 11894); this directly answers the reviewer's question about whether photoexcited electrons in our candidates are thermodynamically able to reduce CO2 to the CO2⁻ intermediate identified by Ingham et al. (Mater. Adv. 2023, 4, 5388, Section 7) (new Figure [N], new SI Table S[N]). (iii) A new schematic main-text figure maps each of our calculations onto the canonical five-step photocatalytic CO2RR mechanism of Chen et al. (Coord. Chem. Rev. 2022, 469, 214664) — light absorption (band gap from R1-10 + sTDA optical gap), charge separation (band-edge alignment vs CO2⁻ reduction potential), and proton-coupled hydrogenation steps (the s0→s5 PCET pathway with H2 as the proton/electron source) — making it explicit which step each calculation models and which step (water-oxidation as the hole acceptor) is intentionally outside the scope of this work. The Methodology section §2.2 has been expanded to describe sTDA and the redox-alignment procedure, and the Discussion in §4 now frames the work as the thermodynamic screen on top of a photo-active platform that the band-gap criterion and the new excited-state calculations validate. The supporting calculations and inputs are documented in new_calc/R1-6_excited_state_photomech/ of the project archive.</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R1-7 — “Hydrogenation reaction conditions” wording for qmof-52ef7e9</w:t>
      </w:r>
    </w:p>
    <w:p>
      <w:pPr>
        <w:pBdr>
          <w:left w:val="single" w:color="B0B0B0" w:sz="12" w:space="12"/>
        </w:pBdr>
        <w:spacing w:after="80" w:before="80"/>
        <w:ind w:left="360"/>
      </w:pPr>
      <w:r>
        <w:rPr>
          <w:rFonts w:ascii="Arial" w:cs="Arial" w:eastAsia="Arial" w:hAnsi="Arial"/>
          <w:i/>
          <w:iCs/>
          <w:color w:val="555555"/>
          <w:sz w:val="22"/>
          <w:szCs w:val="22"/>
        </w:rPr>
        <w:t xml:space="preserve">The authors also state, “One exception is qmof-52ef7e9, which exhibits a slight endothermic step at initial CO2 adsorption before proceeding exothermically through the remaining steps, though this barrier should be overcome by the hydrogenation reaction conditions.” What conditions are being referred to here?</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framing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§3.2 DFT results</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replaced the hand-wave with quantitative context: the endothermic CO2-adsorption step for qmof-52ef7e9 is [X] kJ/mol, which is thermally accessible at the proposed operating temperature (T ≈ [X] K) under elevated H2 partial pressure ([X] bar). The revised sentence in §3.2 now states these values explicitly rather than referring to unspecified ‘conditions’.</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R1-8 — Concerted PCET vs. independent proton/electron transfers</w:t>
      </w:r>
    </w:p>
    <w:p>
      <w:pPr>
        <w:pBdr>
          <w:left w:val="single" w:color="B0B0B0" w:sz="12" w:space="12"/>
        </w:pBdr>
        <w:spacing w:after="80" w:before="80"/>
        <w:ind w:left="360"/>
      </w:pPr>
      <w:r>
        <w:rPr>
          <w:rFonts w:ascii="Arial" w:cs="Arial" w:eastAsia="Arial" w:hAnsi="Arial"/>
          <w:i/>
          <w:iCs/>
          <w:color w:val="555555"/>
          <w:sz w:val="22"/>
          <w:szCs w:val="22"/>
        </w:rPr>
        <w:t xml:space="preserve">It should be made clear that all reaction steps involve the concerted hydrogenation of CO2 intermediates. Is H2 intended to be a feedstock? Or are holes used to oxidise water and generate protons? Justification is required for not modelling individual PCET steps.</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text-only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DFT methodology</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clarified in the Methodology section that H2 is treated as the feedstock and that each step is modelled as a concerted proton-coupled electron transfer (H-atom transfer) to preserve charge neutrality on the cluster, following McCarver et al. (2023). We have added a sentence acknowledging that decoupling the proton and electron transfers (e.g., separate H+/e⁻ addition) would yield further mechanistic insight and is appropriate for a follow-up study, but is outside the scope of this thermodynamic screen across multiple candidate materials.</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R1-9 — Configuration sampling for each step</w:t>
      </w:r>
    </w:p>
    <w:p>
      <w:pPr>
        <w:pBdr>
          <w:left w:val="single" w:color="B0B0B0" w:sz="12" w:space="12"/>
        </w:pBdr>
        <w:spacing w:after="80" w:before="80"/>
        <w:ind w:left="360"/>
      </w:pPr>
      <w:r>
        <w:rPr>
          <w:rFonts w:ascii="Arial" w:cs="Arial" w:eastAsia="Arial" w:hAnsi="Arial"/>
          <w:i/>
          <w:iCs/>
          <w:color w:val="555555"/>
          <w:sz w:val="22"/>
          <w:szCs w:val="22"/>
        </w:rPr>
        <w:t xml:space="preserve">It is unclear if the authors have sampled different configurations for each step. i.e., Have they tried to coordinate CO2 to the metal centre via the C atom, or have they attempted to hydrogenate the oxygen atom that is coordinated to the metal centre?</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new-compute  ·  high</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new SI section + SI table</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expanded the methodology to address configuration sampling. For each of the 8 final candidates (priority on the 5 novel materials), we optimized at least two alternative initial configurations per intermediate: (i) CO2 coordinated C-down vs O-down on the open metal site; and (ii) protonation of the proximal vs distal oxygen during the first hydrogenation. The lowest-energy configuration at each step is used in the main-text Figure 4; the full set of sampled configurations and their adsorption/relative energies is now reported in new Table S[N] in the SI.</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R1-10 — Hybrid-functional band-gap sanity check</w:t>
      </w:r>
    </w:p>
    <w:p>
      <w:pPr>
        <w:pBdr>
          <w:left w:val="single" w:color="B0B0B0" w:sz="12" w:space="12"/>
        </w:pBdr>
        <w:spacing w:after="80" w:before="80"/>
        <w:ind w:left="360"/>
      </w:pPr>
      <w:r>
        <w:rPr>
          <w:rFonts w:ascii="Arial" w:cs="Arial" w:eastAsia="Arial" w:hAnsi="Arial"/>
          <w:i/>
          <w:iCs/>
          <w:color w:val="555555"/>
          <w:sz w:val="22"/>
          <w:szCs w:val="22"/>
        </w:rPr>
        <w:t xml:space="preserve">The authors have screened 20,000 MOF structures using a correction to account for the well-known failing of GGA methods to reproduce the bandgap. While appropriate for such a large number of structures, the authors should validate the bandgaps of their successful candidate materials using a more accurate hybrid functional. This is a necessary sanity check for their workflow.</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validation  ·  new-compute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§3.1; new SI table</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agree this is a necessary check and have computed HSE06 (or PBE0) single-point band gaps for the 8 final candidate MOFs, restarting from the converged PBE wavefunctions. The hybrid-functional gaps and the empirically corrected PBE+0.85 eV values are compared in new Table S[N]. The mean absolute difference is [X] eV, supporting the empirical shift as a reasonable surrogate at the screening stage for these materials.</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R1-11 — Units in SI</w:t>
      </w:r>
    </w:p>
    <w:p>
      <w:pPr>
        <w:pBdr>
          <w:left w:val="single" w:color="B0B0B0" w:sz="12" w:space="12"/>
        </w:pBdr>
        <w:spacing w:after="80" w:before="80"/>
        <w:ind w:left="360"/>
      </w:pPr>
      <w:r>
        <w:rPr>
          <w:rFonts w:ascii="Arial" w:cs="Arial" w:eastAsia="Arial" w:hAnsi="Arial"/>
          <w:i/>
          <w:iCs/>
          <w:color w:val="555555"/>
          <w:sz w:val="22"/>
          <w:szCs w:val="22"/>
        </w:rPr>
        <w:t xml:space="preserve">All DFT energies in the SI should be in eV, as that is the convention used in the main text.</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SI tables (notably S3, S5)</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All DFT energies in the SI have been converted to eV to match the main-text convention.</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R1-12 — Captions for SI figures (esp. S7)</w:t>
      </w:r>
    </w:p>
    <w:p>
      <w:pPr>
        <w:pBdr>
          <w:left w:val="single" w:color="B0B0B0" w:sz="12" w:space="12"/>
        </w:pBdr>
        <w:spacing w:after="80" w:before="80"/>
        <w:ind w:left="360"/>
      </w:pPr>
      <w:r>
        <w:rPr>
          <w:rFonts w:ascii="Arial" w:cs="Arial" w:eastAsia="Arial" w:hAnsi="Arial"/>
          <w:i/>
          <w:iCs/>
          <w:color w:val="555555"/>
          <w:sz w:val="22"/>
          <w:szCs w:val="22"/>
        </w:rPr>
        <w:t xml:space="preserve">Figures in the SI should also have captions. It is unclear what is being measured in Table/Figure S7.</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SI figures, especially S7</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Captions have been added to every SI figure. The caption for Figure S7 now explicitly identifies the 18 ReCiPe 2016 (Midpoint, E) impact categories, the functional unit (1 g of MOF), the cradle-to-gate system boundary, and the units for each category.</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R1-13 — Suggested reference (Ingham et al. 2023)</w:t>
      </w:r>
    </w:p>
    <w:p>
      <w:pPr>
        <w:pBdr>
          <w:left w:val="single" w:color="B0B0B0" w:sz="12" w:space="12"/>
        </w:pBdr>
        <w:spacing w:after="80" w:before="80"/>
        <w:ind w:left="360"/>
      </w:pPr>
      <w:r>
        <w:rPr>
          <w:rFonts w:ascii="Arial" w:cs="Arial" w:eastAsia="Arial" w:hAnsi="Arial"/>
          <w:i/>
          <w:iCs/>
          <w:color w:val="555555"/>
          <w:sz w:val="22"/>
          <w:szCs w:val="22"/>
        </w:rPr>
        <w:t xml:space="preserve">References: (1) Ingham, M., Aziz, A., Di Tommaso, D., Crespo-Otero, R. Mater. Adv. 2023, 4 (22), 5388–5419.</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bibliography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Introduction / Discussion; references.bib</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thank the reviewer for the reference. We now cite Ingham et al. (Mater. Adv. 2023) in the Discussion when introducing the CO2⁻ intermediate and the excited-state context for photocatalytic CO2 reduction (see R1-6).</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1"/>
        <w:spacing w:after="160" w:before="280"/>
      </w:pPr>
      <w:r>
        <w:rPr>
          <w:rFonts w:ascii="Arial" w:cs="Arial" w:eastAsia="Arial" w:hAnsi="Arial"/>
          <w:b/>
          <w:bCs/>
          <w:sz w:val="30"/>
          <w:szCs w:val="30"/>
        </w:rPr>
        <w:t xml:space="preserve">Response to Referee 2</w:t>
      </w:r>
    </w:p>
    <w:p>
      <w:pPr>
        <w:spacing w:after="120"/>
      </w:pPr>
      <w:r>
        <w:rPr>
          <w:rFonts w:ascii="Arial" w:cs="Arial" w:eastAsia="Arial" w:hAnsi="Arial"/>
          <w:b/>
          <w:bCs/>
          <w:sz w:val="22"/>
          <w:szCs w:val="22"/>
        </w:rPr>
        <w:t xml:space="preserve">Referee 2 opening remarks (verbatim):</w:t>
      </w:r>
    </w:p>
    <w:p>
      <w:pPr>
        <w:pBdr>
          <w:left w:val="single" w:color="B0B0B0" w:sz="12" w:space="12"/>
        </w:pBdr>
        <w:spacing w:after="80" w:before="80"/>
        <w:ind w:left="360"/>
      </w:pPr>
      <w:r>
        <w:rPr>
          <w:rFonts w:ascii="Arial" w:cs="Arial" w:eastAsia="Arial" w:hAnsi="Arial"/>
          <w:i/>
          <w:iCs/>
          <w:color w:val="555555"/>
          <w:sz w:val="22"/>
          <w:szCs w:val="22"/>
        </w:rPr>
        <w:t xml:space="preserve">The article “In Silico Screening of Metal-Organic Frameworks for CO2 Photo-Hydrogenation” by Moin Khwaja, Adrian Loy Chun Minh, and Takuya Harada reports a study that is highly relevant for the circular carbon economy. This study illustrates the application of high-throughput theoretical screening in applied research. The implemented protocol can also be applied to other similar applications. Additionally, the material cost analysis is a good inclusion, as the authors are also considering economic feasibility.</w:t>
      </w:r>
    </w:p>
    <w:p>
      <w:pPr>
        <w:spacing w:after="120"/>
      </w:pPr>
      <w:r>
        <w:rPr>
          <w:rFonts w:ascii="Arial" w:cs="Arial" w:eastAsia="Arial" w:hAnsi="Arial"/>
          <w:sz w:val="22"/>
          <w:szCs w:val="22"/>
        </w:rPr>
        <w:t xml:space="preserve">We thank Referee 2 for the supportive framing and for the constructive suggestions on broadening the kinetic analysis and the scientific discussion. We address each comment individually below.</w:t>
      </w:r>
    </w:p>
    <w:p>
      <w:pPr>
        <w:pStyle w:val="Heading3"/>
        <w:spacing w:after="80" w:before="200"/>
      </w:pPr>
      <w:r>
        <w:rPr>
          <w:rFonts w:ascii="Arial" w:cs="Arial" w:eastAsia="Arial" w:hAnsi="Arial"/>
          <w:b/>
          <w:bCs/>
          <w:sz w:val="24"/>
          <w:szCs w:val="24"/>
        </w:rPr>
        <w:t xml:space="preserve">R2-1 — Deeper discussion of differences across the 8 candidates</w:t>
      </w:r>
    </w:p>
    <w:p>
      <w:pPr>
        <w:pBdr>
          <w:left w:val="single" w:color="B0B0B0" w:sz="12" w:space="12"/>
        </w:pBdr>
        <w:spacing w:after="80" w:before="80"/>
        <w:ind w:left="360"/>
      </w:pPr>
      <w:r>
        <w:rPr>
          <w:rFonts w:ascii="Arial" w:cs="Arial" w:eastAsia="Arial" w:hAnsi="Arial"/>
          <w:i/>
          <w:iCs/>
          <w:color w:val="555555"/>
          <w:sz w:val="22"/>
          <w:szCs w:val="22"/>
        </w:rPr>
        <w:t xml:space="preserve">However, the study lacks scientific discussion, and the results are reported as they are obtained. The authors didn’t sufficiently discuss the reasons for the differences in observations among the various candidates they are considering. Such a discussion is needed, at least for the 8 MOFs that were finally screened.</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discussion  ·  re-analysis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§4 Discussion (new subsection)</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 / ALCM</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added a new subsection to the Discussion that interprets the differences across the 8 candidates in terms of (i) metal-node electronegativity and d-electron count, which set the strength of the M–O bond at CO2 adsorption; (ii) pore size, which governs the kinetics of water egress at the C–O cleavage step; (iii) linker electronic character (donating vs withdrawing), which modulates the LUMO at the OMS; and (iv) OMS coordination number. We tie these to the trends reported by McCarver et al. (2023) for X-MOF-74 where they overlap.</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R2-2 — Kinetic analysis via CI-NEB on the 5 novel materials</w:t>
      </w:r>
    </w:p>
    <w:p>
      <w:pPr>
        <w:pBdr>
          <w:left w:val="single" w:color="B0B0B0" w:sz="12" w:space="12"/>
        </w:pBdr>
        <w:spacing w:after="80" w:before="80"/>
        <w:ind w:left="360"/>
      </w:pPr>
      <w:r>
        <w:rPr>
          <w:rFonts w:ascii="Arial" w:cs="Arial" w:eastAsia="Arial" w:hAnsi="Arial"/>
          <w:i/>
          <w:iCs/>
          <w:color w:val="555555"/>
          <w:sz w:val="22"/>
          <w:szCs w:val="22"/>
        </w:rPr>
        <w:t xml:space="preserve">For the DFT analysis, the authors performed thermodynamic screening and duly noted that the kinetic barriers were not calculated. Given the computations performed in this manuscript, it is necessary to include a kinetic analysis to strengthen the conclusions. If the aim is to reduce computational cost, the kinetic barriers (via Cl-NEB) can be performed on the last 5 novel materials they have identified for experimental research.</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new-compute  ·  high</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§3.2; new figure (main or SI)</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run climbing-image nudged elastic band (CI-NEB) calculations in CP2K on the 5 novel materials (qmof-0e64acd, -52ef7e9, -91692c9, -07c07d3, -74ace65), using the previously optimized s_n / s_(n+1) endpoints as initial and final images (5–8 images per band). Activation energies for each PCET step are reported in new Figure [N] / Table S[N] and are discussed in §3.2 and §4. We thank the reviewer for the scoping suggestion to limit kinetic analysis to the novel candidates; this kept the additional compute cost tractable while answering the methodological concern.</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R2-3 — ZPE / entropy contributions in Eq. 1</w:t>
      </w:r>
    </w:p>
    <w:p>
      <w:pPr>
        <w:pBdr>
          <w:left w:val="single" w:color="B0B0B0" w:sz="12" w:space="12"/>
        </w:pBdr>
        <w:spacing w:after="80" w:before="80"/>
        <w:ind w:left="360"/>
      </w:pPr>
      <w:r>
        <w:rPr>
          <w:rFonts w:ascii="Arial" w:cs="Arial" w:eastAsia="Arial" w:hAnsi="Arial"/>
          <w:i/>
          <w:iCs/>
          <w:color w:val="555555"/>
          <w:sz w:val="22"/>
          <w:szCs w:val="22"/>
        </w:rPr>
        <w:t xml:space="preserve">There are major concerns about the calculation of the total energy (in eq 1). Which energy is used from the DFT results? Do they consist of only DFT energy, or is there an inclusion of ZPE and entropy contribution? If they are included, it should also be mentioned in the computation section. If they are not included, they should also be added to the energy values for more accurate results.</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new-compute  ·  high</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Eq. 1; Figure 4; Table S5</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The originally reported energies were DFT electronic energies only. In the revised manuscript we have added zero-point and thermal/entropic corrections at T = 298 K (P = 1 atm) using harmonic vibrational frequency calculations at each optimized stationary point. The revised quantity reported in Figure 4 and Table S5 is therefore the Gibbs free energy change ΔG_n = ΔE_n + ΔZPE_n + ΔH_T,n − T·ΔS_n. The Methodology section has been updated to describe this procedure; the qualitative shape of the reaction profiles is [preserved / modified] for each candidate.</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R2-4 — Ground-state geometry confirmation; active-site identification</w:t>
      </w:r>
    </w:p>
    <w:p>
      <w:pPr>
        <w:pBdr>
          <w:left w:val="single" w:color="B0B0B0" w:sz="12" w:space="12"/>
        </w:pBdr>
        <w:spacing w:after="80" w:before="80"/>
        <w:ind w:left="360"/>
      </w:pPr>
      <w:r>
        <w:rPr>
          <w:rFonts w:ascii="Arial" w:cs="Arial" w:eastAsia="Arial" w:hAnsi="Arial"/>
          <w:i/>
          <w:iCs/>
          <w:color w:val="555555"/>
          <w:sz w:val="22"/>
          <w:szCs w:val="22"/>
        </w:rPr>
        <w:t xml:space="preserve">Additionally, how are the ground state geometries confirmed after SCF analysis? How are the active sites and stable geometries of adsorbents identified? Data on the screening of these should also be provided (at least in the SI file) on adsorption energies for different active sites and orientations.</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methodology  ·  new-compute  ·  medium</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§2.2; new SI table</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Geometry convergence was assessed against the CP2K BFGS criteria (MAX_DR / MAX_FORCE / RMS_DR / RMS_FORCE all = 3 × 10⁻³ a.u.); we have made these criteria explicit in the Methodology. Active sites were identified as the open metal sites detected by the Chung et al. (2019) OMS algorithm during the screening tier (Methods §2.1); for each candidate we now report the adsorption energies sampled across alternative orientations and active sites in new Table S[N] (this overlaps with R1-9). Vibrational analysis confirmed all reported intermediates are minima (no imaginary frequencies &gt; [threshold]).</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R2-5 — Reference 59 not found</w:t>
      </w:r>
    </w:p>
    <w:p>
      <w:pPr>
        <w:pBdr>
          <w:left w:val="single" w:color="B0B0B0" w:sz="12" w:space="12"/>
        </w:pBdr>
        <w:spacing w:after="80" w:before="80"/>
        <w:ind w:left="360"/>
      </w:pPr>
      <w:r>
        <w:rPr>
          <w:rFonts w:ascii="Arial" w:cs="Arial" w:eastAsia="Arial" w:hAnsi="Arial"/>
          <w:i/>
          <w:iCs/>
          <w:color w:val="555555"/>
          <w:sz w:val="22"/>
          <w:szCs w:val="22"/>
        </w:rPr>
        <w:t xml:space="preserve">Also, Ref 59 is not found; check it and correct it.</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bibliography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references.bib</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We have identified reference 59 in the compiled bibliography as [bib key] and corrected the metadata (DOI / URL / page range) to point to the intended source.</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R2-6 — Figure 4 x-axis labels</w:t>
      </w:r>
    </w:p>
    <w:p>
      <w:pPr>
        <w:pBdr>
          <w:left w:val="single" w:color="B0B0B0" w:sz="12" w:space="12"/>
        </w:pBdr>
        <w:spacing w:after="80" w:before="80"/>
        <w:ind w:left="360"/>
      </w:pPr>
      <w:r>
        <w:rPr>
          <w:rFonts w:ascii="Arial" w:cs="Arial" w:eastAsia="Arial" w:hAnsi="Arial"/>
          <w:i/>
          <w:iCs/>
          <w:color w:val="555555"/>
          <w:sz w:val="22"/>
          <w:szCs w:val="22"/>
        </w:rPr>
        <w:t xml:space="preserve">In Figure 4, instead of Frame 2a.. in the X-axis, give the reaction which is referred (Eg, CO2(ads)/*CO2)</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Figure 4</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Figure 4 has been relabelled with explicit chemistry: *, *CO2, *COOH, *CO + H2O, *CHO, *CH2O, *CH3O, * + CH4 + H2O (or the equivalent labels matching each intermediate). The legend and Figure 2 frame references are kept consistent.</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R2-7 — Table S5 column titles and “Total” → “Relative”</w:t>
      </w:r>
    </w:p>
    <w:p>
      <w:pPr>
        <w:pBdr>
          <w:left w:val="single" w:color="B0B0B0" w:sz="12" w:space="12"/>
        </w:pBdr>
        <w:spacing w:after="80" w:before="80"/>
        <w:ind w:left="360"/>
      </w:pPr>
      <w:r>
        <w:rPr>
          <w:rFonts w:ascii="Arial" w:cs="Arial" w:eastAsia="Arial" w:hAnsi="Arial"/>
          <w:i/>
          <w:iCs/>
          <w:color w:val="555555"/>
          <w:sz w:val="22"/>
          <w:szCs w:val="22"/>
        </w:rPr>
        <w:t xml:space="preserve">In Table S5, instead of total energy, change it to relative energy. Also, the column title can also be modified similar to Figure 4, instead of add H2, add co2 ...</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re-analysis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Table S5</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Table S5 has been reformatted: the header now reads “Relative energy (eV)” (or “Relative Gibbs free energy (eV)” after R2-3 corrections) and the step columns use the same chemistry labels as the revised Figure 4 (*CO2, *COOH, etc.) rather than “add H2”.</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R2-8 — Figure 6 colour scheme</w:t>
      </w:r>
    </w:p>
    <w:p>
      <w:pPr>
        <w:pBdr>
          <w:left w:val="single" w:color="B0B0B0" w:sz="12" w:space="12"/>
        </w:pBdr>
        <w:spacing w:after="80" w:before="80"/>
        <w:ind w:left="360"/>
      </w:pPr>
      <w:r>
        <w:rPr>
          <w:rFonts w:ascii="Arial" w:cs="Arial" w:eastAsia="Arial" w:hAnsi="Arial"/>
          <w:i/>
          <w:iCs/>
          <w:color w:val="555555"/>
          <w:sz w:val="22"/>
          <w:szCs w:val="22"/>
        </w:rPr>
        <w:t xml:space="preserve">In Figure 6, instead of using different gradients of green, use three distinct colors in the graph.</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Figure 6</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Figure 6 has been recoloured with three perceptually distinct, colour-blind-safe hues (e.g., from the Okabe–Ito palette) for the three materials.</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R2-9 — Table 1 placement</w:t>
      </w:r>
    </w:p>
    <w:p>
      <w:pPr>
        <w:pBdr>
          <w:left w:val="single" w:color="B0B0B0" w:sz="12" w:space="12"/>
        </w:pBdr>
        <w:spacing w:after="80" w:before="80"/>
        <w:ind w:left="360"/>
      </w:pPr>
      <w:r>
        <w:rPr>
          <w:rFonts w:ascii="Arial" w:cs="Arial" w:eastAsia="Arial" w:hAnsi="Arial"/>
          <w:i/>
          <w:iCs/>
          <w:color w:val="555555"/>
          <w:sz w:val="22"/>
          <w:szCs w:val="22"/>
        </w:rPr>
        <w:t xml:space="preserve">Table 1 should be given before section 4, as the table is first mentioned in section 3.2.</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cosmetic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Table 1</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Table 1 has been moved to appear immediately after its first reference in §3.2.</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p>
      <w:pPr>
        <w:pStyle w:val="Heading3"/>
        <w:spacing w:after="80" w:before="200"/>
      </w:pPr>
      <w:r>
        <w:rPr>
          <w:rFonts w:ascii="Arial" w:cs="Arial" w:eastAsia="Arial" w:hAnsi="Arial"/>
          <w:b/>
          <w:bCs/>
          <w:sz w:val="24"/>
          <w:szCs w:val="24"/>
        </w:rPr>
        <w:t xml:space="preserve">R2-10 — Access dates on website citations</w:t>
      </w:r>
    </w:p>
    <w:p>
      <w:pPr>
        <w:pBdr>
          <w:left w:val="single" w:color="B0B0B0" w:sz="12" w:space="12"/>
        </w:pBdr>
        <w:spacing w:after="80" w:before="80"/>
        <w:ind w:left="360"/>
      </w:pPr>
      <w:r>
        <w:rPr>
          <w:rFonts w:ascii="Arial" w:cs="Arial" w:eastAsia="Arial" w:hAnsi="Arial"/>
          <w:i/>
          <w:iCs/>
          <w:color w:val="555555"/>
          <w:sz w:val="22"/>
          <w:szCs w:val="22"/>
        </w:rPr>
        <w:t xml:space="preserve">While citing Websites, the date accessed should also be included.</w:t>
      </w:r>
    </w:p>
    <w:p>
      <w:pPr>
        <w:spacing w:after="40"/>
        <w:ind w:left="360"/>
      </w:pPr>
      <w:r>
        <w:rPr>
          <w:rFonts w:ascii="Arial" w:cs="Arial" w:eastAsia="Arial" w:hAnsi="Arial"/>
          <w:b/>
          <w:bCs/>
          <w:sz w:val="20"/>
          <w:szCs w:val="20"/>
        </w:rPr>
        <w:t xml:space="preserve">Category / Classification / Effort: </w:t>
      </w:r>
      <w:r>
        <w:rPr>
          <w:rFonts w:ascii="Arial" w:cs="Arial" w:eastAsia="Arial" w:hAnsi="Arial"/>
          <w:sz w:val="20"/>
          <w:szCs w:val="20"/>
        </w:rPr>
        <w:t xml:space="preserve">bibliography  ·  text-only  ·  low</w:t>
      </w:r>
    </w:p>
    <w:p>
      <w:pPr>
        <w:spacing w:after="40"/>
        <w:ind w:left="360"/>
      </w:pPr>
      <w:r>
        <w:rPr>
          <w:rFonts w:ascii="Arial" w:cs="Arial" w:eastAsia="Arial" w:hAnsi="Arial"/>
          <w:b/>
          <w:bCs/>
          <w:sz w:val="20"/>
          <w:szCs w:val="20"/>
        </w:rPr>
        <w:t xml:space="preserve">Target section(s): </w:t>
      </w:r>
      <w:r>
        <w:rPr>
          <w:rFonts w:ascii="Arial" w:cs="Arial" w:eastAsia="Arial" w:hAnsi="Arial"/>
          <w:sz w:val="20"/>
          <w:szCs w:val="20"/>
        </w:rPr>
        <w:t xml:space="preserve">references.bib (website entries)</w:t>
      </w:r>
    </w:p>
    <w:p>
      <w:pPr>
        <w:spacing w:after="40"/>
        <w:ind w:left="360"/>
      </w:pPr>
      <w:r>
        <w:rPr>
          <w:rFonts w:ascii="Arial" w:cs="Arial" w:eastAsia="Arial" w:hAnsi="Arial"/>
          <w:b/>
          <w:bCs/>
          <w:sz w:val="20"/>
          <w:szCs w:val="20"/>
        </w:rPr>
        <w:t xml:space="preserve">Owner: </w:t>
      </w:r>
      <w:r>
        <w:rPr>
          <w:rFonts w:ascii="Arial" w:cs="Arial" w:eastAsia="Arial" w:hAnsi="Arial"/>
          <w:sz w:val="20"/>
          <w:szCs w:val="20"/>
        </w:rPr>
        <w:t xml:space="preserve">MK</w:t>
      </w:r>
    </w:p>
    <w:p>
      <w:pPr>
        <w:spacing w:after="200" w:before="80"/>
        <w:ind w:left="360"/>
      </w:pPr>
      <w:r>
        <w:rPr>
          <w:rFonts w:ascii="Arial" w:cs="Arial" w:eastAsia="Arial" w:hAnsi="Arial"/>
          <w:b/>
          <w:bCs/>
          <w:sz w:val="22"/>
          <w:szCs w:val="22"/>
        </w:rPr>
        <w:t xml:space="preserve">Response (DRAFT): </w:t>
      </w:r>
      <w:r>
        <w:rPr>
          <w:rFonts w:ascii="Arial" w:cs="Arial" w:eastAsia="Arial" w:hAnsi="Arial"/>
          <w:color w:val="7F7F7F"/>
          <w:sz w:val="22"/>
          <w:szCs w:val="22"/>
        </w:rPr>
        <w:t xml:space="preserve">Access dates have been added to all website citations (Sigma-Aldrich, SimaPro, Ecoinvent, QMOF Database, Materials Project, etc.) via the urldate / note fields in references.bib.</w:t>
      </w:r>
    </w:p>
    <w:p>
      <w:pPr>
        <w:spacing w:after="240" w:before="0"/>
        <w:ind w:left="360"/>
      </w:pPr>
      <w:r>
        <w:rPr>
          <w:rFonts w:ascii="Arial" w:cs="Arial" w:eastAsia="Arial" w:hAnsi="Arial"/>
          <w:i/>
          <w:iCs/>
          <w:color w:val="C00000"/>
          <w:sz w:val="22"/>
          <w:szCs w:val="22"/>
        </w:rPr>
        <w:t xml:space="preserve">[TODO — author reply here. Reference revised manuscript line numbers / SI table / new figure as appropriate.]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NR-ART-04-2026-001578</dc:title>
  <dc:creator>Khwaja</dc:creator>
  <cp:lastModifiedBy>Un-named</cp:lastModifiedBy>
  <cp:revision>1</cp:revision>
  <dcterms:created xsi:type="dcterms:W3CDTF">2026-05-18T03:42:29.857Z</dcterms:created>
  <dcterms:modified xsi:type="dcterms:W3CDTF">2026-05-18T03:42:29.857Z</dcterms:modified>
</cp:coreProperties>
</file>

<file path=docProps/custom.xml><?xml version="1.0" encoding="utf-8"?>
<Properties xmlns="http://schemas.openxmlformats.org/officeDocument/2006/custom-properties" xmlns:vt="http://schemas.openxmlformats.org/officeDocument/2006/docPropsVTypes"/>
</file>