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A57" w:rsidRPr="00482A57" w:rsidRDefault="00482A57" w:rsidP="00482A57">
      <w:pPr>
        <w:jc w:val="center"/>
        <w:rPr>
          <w:rFonts w:ascii="Times New Roman" w:hAnsi="Times New Roman" w:cs="Times New Roman"/>
          <w:b/>
          <w:sz w:val="36"/>
          <w:szCs w:val="36"/>
        </w:rPr>
      </w:pPr>
      <w:r w:rsidRPr="00482A57">
        <w:rPr>
          <w:rFonts w:ascii="Times New Roman" w:hAnsi="Times New Roman" w:cs="Times New Roman"/>
          <w:b/>
          <w:sz w:val="36"/>
          <w:szCs w:val="36"/>
        </w:rPr>
        <w:t>ANALYSIS OF CORPORATE ANNOUNCEMENTS ON STOCK PRICE AND TRADING VOLUME</w:t>
      </w:r>
    </w:p>
    <w:p w:rsidR="00482A57" w:rsidRPr="002A766F" w:rsidRDefault="00482A57" w:rsidP="00482A57">
      <w:pPr>
        <w:rPr>
          <w:rFonts w:ascii="Times New Roman" w:hAnsi="Times New Roman" w:cs="Times New Roman"/>
          <w:sz w:val="24"/>
          <w:szCs w:val="24"/>
        </w:rPr>
      </w:pPr>
    </w:p>
    <w:p w:rsidR="00482A57" w:rsidRPr="002A766F" w:rsidRDefault="00482A57" w:rsidP="00482A57">
      <w:pPr>
        <w:rPr>
          <w:rFonts w:ascii="Times New Roman" w:hAnsi="Times New Roman" w:cs="Times New Roman"/>
          <w:b/>
          <w:sz w:val="24"/>
          <w:szCs w:val="24"/>
        </w:rPr>
      </w:pPr>
      <w:r w:rsidRPr="002A766F">
        <w:rPr>
          <w:rFonts w:ascii="Times New Roman" w:hAnsi="Times New Roman" w:cs="Times New Roman"/>
          <w:b/>
          <w:sz w:val="24"/>
          <w:szCs w:val="24"/>
        </w:rPr>
        <w:t>1. Introduction</w:t>
      </w:r>
    </w:p>
    <w:p w:rsidR="00482A57" w:rsidRPr="00482A57" w:rsidRDefault="00482A57" w:rsidP="00482A57">
      <w:pPr>
        <w:rPr>
          <w:rFonts w:ascii="Times New Roman" w:hAnsi="Times New Roman" w:cs="Times New Roman"/>
        </w:rPr>
      </w:pPr>
      <w:r w:rsidRPr="00482A57">
        <w:rPr>
          <w:rFonts w:ascii="Times New Roman" w:hAnsi="Times New Roman" w:cs="Times New Roman"/>
        </w:rPr>
        <w:t>Corporate announcements can introduce new information into the market and may affect stock prices, trading volume, and short-term volatility. This study analyzes the market response to BSE corporate announcements using announcement-level data and one-minute OHLCV market data for five stocks: RELIANCE, HDFCBANK, NYKAA, HAL, and RVNL.</w:t>
      </w:r>
    </w:p>
    <w:p w:rsidR="00482A57" w:rsidRPr="00482A57" w:rsidRDefault="00482A57" w:rsidP="00482A57">
      <w:pPr>
        <w:rPr>
          <w:rFonts w:ascii="Times New Roman" w:hAnsi="Times New Roman" w:cs="Times New Roman"/>
        </w:rPr>
      </w:pPr>
      <w:r w:rsidRPr="00482A57">
        <w:rPr>
          <w:rFonts w:ascii="Times New Roman" w:hAnsi="Times New Roman" w:cs="Times New Roman"/>
        </w:rPr>
        <w:t>The analysis combines announcement fields such as company, category, subcategory, subject, narrative information, and dissemination timestamp with market variables including open, high, low, close, vol</w:t>
      </w:r>
      <w:r>
        <w:rPr>
          <w:rFonts w:ascii="Times New Roman" w:hAnsi="Times New Roman" w:cs="Times New Roman"/>
        </w:rPr>
        <w:t xml:space="preserve">ume, and open interest. </w:t>
      </w:r>
    </w:p>
    <w:p w:rsidR="00482A57" w:rsidRPr="002A766F" w:rsidRDefault="00482A57" w:rsidP="00482A57">
      <w:pPr>
        <w:rPr>
          <w:rFonts w:ascii="Times New Roman" w:hAnsi="Times New Roman" w:cs="Times New Roman"/>
          <w:b/>
          <w:sz w:val="24"/>
          <w:szCs w:val="24"/>
        </w:rPr>
      </w:pPr>
      <w:r w:rsidRPr="002A766F">
        <w:rPr>
          <w:rFonts w:ascii="Times New Roman" w:hAnsi="Times New Roman" w:cs="Times New Roman"/>
          <w:b/>
          <w:sz w:val="24"/>
          <w:szCs w:val="24"/>
        </w:rPr>
        <w:t>2. Objective</w:t>
      </w:r>
    </w:p>
    <w:p w:rsidR="00482A57" w:rsidRPr="00482A57" w:rsidRDefault="00482A57" w:rsidP="00482A57">
      <w:pPr>
        <w:rPr>
          <w:rFonts w:ascii="Times New Roman" w:hAnsi="Times New Roman" w:cs="Times New Roman"/>
        </w:rPr>
      </w:pPr>
      <w:r w:rsidRPr="00482A57">
        <w:rPr>
          <w:rFonts w:ascii="Times New Roman" w:hAnsi="Times New Roman" w:cs="Times New Roman"/>
        </w:rPr>
        <w:t>The main objective is to analyze how different types of corporate announcements are associated with changes in stock price and trading activity.</w:t>
      </w:r>
    </w:p>
    <w:p w:rsidR="00431CFF" w:rsidRPr="00431CFF" w:rsidRDefault="00482A57" w:rsidP="00431CFF">
      <w:pPr>
        <w:rPr>
          <w:rFonts w:ascii="Times New Roman" w:hAnsi="Times New Roman" w:cs="Times New Roman"/>
        </w:rPr>
      </w:pPr>
      <w:r w:rsidRPr="00482A57">
        <w:rPr>
          <w:rFonts w:ascii="Times New Roman" w:hAnsi="Times New Roman" w:cs="Times New Roman"/>
        </w:rPr>
        <w:t>The analysis specifically aims to:</w:t>
      </w:r>
    </w:p>
    <w:p w:rsidR="00431CFF" w:rsidRPr="00431CFF" w:rsidRDefault="00431CFF" w:rsidP="00431CFF">
      <w:pPr>
        <w:rPr>
          <w:rFonts w:ascii="Times New Roman" w:hAnsi="Times New Roman" w:cs="Times New Roman"/>
        </w:rPr>
      </w:pPr>
      <w:r w:rsidRPr="00431CFF">
        <w:rPr>
          <w:rFonts w:ascii="Times New Roman" w:hAnsi="Times New Roman" w:cs="Times New Roman"/>
        </w:rPr>
        <w:t>- Clean, validate, and correctly align announcement and market data using the first complete one-minute bar at or after dissemination, while handling pre-market, in-session, post-market, weekend, and non-standard sessions.</w:t>
      </w:r>
    </w:p>
    <w:p w:rsidR="00431CFF" w:rsidRPr="00431CFF" w:rsidRDefault="00431CFF" w:rsidP="00431CFF">
      <w:pPr>
        <w:rPr>
          <w:rFonts w:ascii="Times New Roman" w:hAnsi="Times New Roman" w:cs="Times New Roman"/>
        </w:rPr>
      </w:pPr>
      <w:r w:rsidRPr="00431CFF">
        <w:rPr>
          <w:rFonts w:ascii="Times New Roman" w:hAnsi="Times New Roman" w:cs="Times New Roman"/>
        </w:rPr>
        <w:t>- Identify and cluster related announcements representing the same underlying event and classify them into meaningful subject groups.</w:t>
      </w:r>
    </w:p>
    <w:p w:rsidR="00431CFF" w:rsidRPr="00431CFF" w:rsidRDefault="00431CFF" w:rsidP="00431CFF">
      <w:pPr>
        <w:rPr>
          <w:rFonts w:ascii="Times New Roman" w:hAnsi="Times New Roman" w:cs="Times New Roman"/>
        </w:rPr>
      </w:pPr>
      <w:r w:rsidRPr="00431CFF">
        <w:rPr>
          <w:rFonts w:ascii="Times New Roman" w:hAnsi="Times New Roman" w:cs="Times New Roman"/>
        </w:rPr>
        <w:t>- Measure and compare price returns, volume changes, and volatility across short- and long-term horizons, subjects, and stocks using appropriate statistical methods.</w:t>
      </w:r>
    </w:p>
    <w:p w:rsidR="00431CFF" w:rsidRPr="00482A57" w:rsidRDefault="00431CFF" w:rsidP="00431CFF">
      <w:pPr>
        <w:rPr>
          <w:rFonts w:ascii="Times New Roman" w:hAnsi="Times New Roman" w:cs="Times New Roman"/>
        </w:rPr>
      </w:pPr>
      <w:r w:rsidRPr="00431CFF">
        <w:rPr>
          <w:rFonts w:ascii="Times New Roman" w:hAnsi="Times New Roman" w:cs="Times New Roman"/>
        </w:rPr>
        <w:t>- Analyze price-conditioned PEAD following independent financial-results events to determine whether the initial price reaction continues over subsequent trading sessions.</w:t>
      </w:r>
    </w:p>
    <w:p w:rsidR="00482A57" w:rsidRPr="002A766F" w:rsidRDefault="00482A57" w:rsidP="00482A57">
      <w:pPr>
        <w:rPr>
          <w:rFonts w:ascii="Times New Roman" w:hAnsi="Times New Roman" w:cs="Times New Roman"/>
          <w:b/>
          <w:sz w:val="24"/>
          <w:szCs w:val="24"/>
        </w:rPr>
      </w:pPr>
      <w:r w:rsidRPr="002A766F">
        <w:rPr>
          <w:rFonts w:ascii="Times New Roman" w:hAnsi="Times New Roman" w:cs="Times New Roman"/>
          <w:b/>
          <w:sz w:val="24"/>
          <w:szCs w:val="24"/>
        </w:rPr>
        <w:t>3. Scope of Analysis</w:t>
      </w:r>
    </w:p>
    <w:p w:rsidR="00431CFF" w:rsidRDefault="00482A57" w:rsidP="00482A57">
      <w:pPr>
        <w:rPr>
          <w:rFonts w:ascii="Times New Roman" w:hAnsi="Times New Roman" w:cs="Times New Roman"/>
        </w:rPr>
      </w:pPr>
      <w:r w:rsidRPr="00482A57">
        <w:rPr>
          <w:rFonts w:ascii="Times New Roman" w:hAnsi="Times New Roman" w:cs="Times New Roman"/>
        </w:rPr>
        <w:t>The study is restricted to the five supplied companies and the provided announcement and one-minute market datasets. Price impact is measured over the first 5, 30, and 60 minutes, through the trading-session close, and over D+1, D+5, D+10, and D+20 trading sessions.</w:t>
      </w:r>
    </w:p>
    <w:p w:rsidR="00DD14DC" w:rsidRDefault="00DD14DC" w:rsidP="00DD14DC">
      <w:pPr>
        <w:rPr>
          <w:rFonts w:ascii="Times New Roman" w:hAnsi="Times New Roman" w:cs="Times New Roman"/>
        </w:rPr>
      </w:pPr>
      <w:r w:rsidRPr="00DD14DC">
        <w:rPr>
          <w:rFonts w:ascii="Times New Roman" w:hAnsi="Times New Roman" w:cs="Times New Roman"/>
        </w:rPr>
        <w:t>For earnings events, the analysis examines the initial D0 reaction and subsequent returns through D+1, D+3, D+5, D+10, and D+20. As earnings-surprise data was unavailable, the analysis focuses on price-conditioned post-earnings drift.</w:t>
      </w:r>
    </w:p>
    <w:p w:rsidR="00BB14CB" w:rsidRDefault="00BB14CB" w:rsidP="002A766F">
      <w:pPr>
        <w:rPr>
          <w:rFonts w:ascii="Times New Roman" w:hAnsi="Times New Roman" w:cs="Times New Roman"/>
        </w:rPr>
      </w:pPr>
    </w:p>
    <w:p w:rsidR="002A766F" w:rsidRPr="002A766F" w:rsidRDefault="002A766F" w:rsidP="002A766F">
      <w:pPr>
        <w:rPr>
          <w:rFonts w:ascii="Times New Roman" w:hAnsi="Times New Roman" w:cs="Times New Roman"/>
          <w:b/>
          <w:sz w:val="24"/>
          <w:szCs w:val="24"/>
        </w:rPr>
      </w:pPr>
      <w:r w:rsidRPr="002A766F">
        <w:rPr>
          <w:rFonts w:ascii="Times New Roman" w:hAnsi="Times New Roman" w:cs="Times New Roman"/>
          <w:b/>
          <w:sz w:val="24"/>
          <w:szCs w:val="24"/>
        </w:rPr>
        <w:lastRenderedPageBreak/>
        <w:t>4. Dataset Description</w:t>
      </w:r>
    </w:p>
    <w:p w:rsidR="002A766F" w:rsidRPr="002A766F" w:rsidRDefault="002A766F" w:rsidP="002A766F">
      <w:pPr>
        <w:rPr>
          <w:rFonts w:ascii="Times New Roman" w:hAnsi="Times New Roman" w:cs="Times New Roman"/>
        </w:rPr>
      </w:pPr>
      <w:r w:rsidRPr="002A766F">
        <w:rPr>
          <w:rFonts w:ascii="Times New Roman" w:hAnsi="Times New Roman" w:cs="Times New Roman"/>
        </w:rPr>
        <w:t>The analysis uses BSE corporate announcements and one-minute OHLCV data for five stocks: RELIANCE, HDFCBANK, NYKAA, HAL, and RVNL. The announcement dataset contains 2,530 records and 28 fields, including announcement details, subject, category, narrative information, and dissemination timestamps. The market files contain open, high, low, close, volume, and open interest (OI) data.</w:t>
      </w:r>
    </w:p>
    <w:p w:rsidR="002A766F" w:rsidRPr="002A766F" w:rsidRDefault="002A766F" w:rsidP="002A766F">
      <w:pPr>
        <w:rPr>
          <w:rFonts w:ascii="Times New Roman" w:hAnsi="Times New Roman" w:cs="Times New Roman"/>
          <w:b/>
          <w:sz w:val="24"/>
          <w:szCs w:val="24"/>
        </w:rPr>
      </w:pPr>
      <w:r w:rsidRPr="002A766F">
        <w:rPr>
          <w:rFonts w:ascii="Times New Roman" w:hAnsi="Times New Roman" w:cs="Times New Roman"/>
          <w:b/>
          <w:sz w:val="24"/>
          <w:szCs w:val="24"/>
        </w:rPr>
        <w:t>5. Data Preparation and Validation</w:t>
      </w:r>
    </w:p>
    <w:p w:rsidR="002A766F" w:rsidRPr="002A766F" w:rsidRDefault="002A766F" w:rsidP="002A766F">
      <w:pPr>
        <w:rPr>
          <w:rFonts w:ascii="Times New Roman" w:hAnsi="Times New Roman" w:cs="Times New Roman"/>
        </w:rPr>
      </w:pPr>
      <w:r w:rsidRPr="002A766F">
        <w:rPr>
          <w:rFonts w:ascii="Times New Roman" w:hAnsi="Times New Roman" w:cs="Times New Roman"/>
        </w:rPr>
        <w:t xml:space="preserve">The announcement timestamps were parsed using mixed-format </w:t>
      </w:r>
      <w:proofErr w:type="spellStart"/>
      <w:r w:rsidRPr="002A766F">
        <w:rPr>
          <w:rFonts w:ascii="Times New Roman" w:hAnsi="Times New Roman" w:cs="Times New Roman"/>
        </w:rPr>
        <w:t>datetime</w:t>
      </w:r>
      <w:proofErr w:type="spellEnd"/>
      <w:r w:rsidRPr="002A766F">
        <w:rPr>
          <w:rFonts w:ascii="Times New Roman" w:hAnsi="Times New Roman" w:cs="Times New Roman"/>
        </w:rPr>
        <w:t xml:space="preserve"> handling. </w:t>
      </w:r>
      <w:proofErr w:type="spellStart"/>
      <w:r w:rsidRPr="002A766F">
        <w:rPr>
          <w:rFonts w:ascii="Times New Roman" w:hAnsi="Times New Roman" w:cs="Times New Roman"/>
        </w:rPr>
        <w:t>DissemDT</w:t>
      </w:r>
      <w:proofErr w:type="spellEnd"/>
      <w:r w:rsidRPr="002A766F">
        <w:rPr>
          <w:rFonts w:ascii="Times New Roman" w:hAnsi="Times New Roman" w:cs="Times New Roman"/>
        </w:rPr>
        <w:t xml:space="preserve"> was treated as the primary event timestamp, with DT_TM retained as the documented fallback. Under standard parsing, 2,519 </w:t>
      </w:r>
      <w:proofErr w:type="spellStart"/>
      <w:r w:rsidRPr="002A766F">
        <w:rPr>
          <w:rFonts w:ascii="Times New Roman" w:hAnsi="Times New Roman" w:cs="Times New Roman"/>
        </w:rPr>
        <w:t>DissemDT</w:t>
      </w:r>
      <w:proofErr w:type="spellEnd"/>
      <w:r w:rsidRPr="002A766F">
        <w:rPr>
          <w:rFonts w:ascii="Times New Roman" w:hAnsi="Times New Roman" w:cs="Times New Roman"/>
        </w:rPr>
        <w:t xml:space="preserve"> values were parsed and 11 were initially unparsed. Inspection showed that these 11 records contained corresponding DT_TM values identical to </w:t>
      </w:r>
      <w:proofErr w:type="spellStart"/>
      <w:r w:rsidRPr="002A766F">
        <w:rPr>
          <w:rFonts w:ascii="Times New Roman" w:hAnsi="Times New Roman" w:cs="Times New Roman"/>
        </w:rPr>
        <w:t>DissemDT</w:t>
      </w:r>
      <w:proofErr w:type="spellEnd"/>
      <w:r w:rsidRPr="002A766F">
        <w:rPr>
          <w:rFonts w:ascii="Times New Roman" w:hAnsi="Times New Roman" w:cs="Times New Roman"/>
        </w:rPr>
        <w:t xml:space="preserve">. </w:t>
      </w:r>
      <w:r w:rsidR="00BB14CB">
        <w:rPr>
          <w:rFonts w:ascii="Times New Roman" w:hAnsi="Times New Roman" w:cs="Times New Roman"/>
        </w:rPr>
        <w:t xml:space="preserve"> </w:t>
      </w:r>
      <w:r w:rsidRPr="002A766F">
        <w:rPr>
          <w:rFonts w:ascii="Times New Roman" w:hAnsi="Times New Roman" w:cs="Times New Roman"/>
        </w:rPr>
        <w:t xml:space="preserve">Mixed-format parsing successfully handled these representations, resulting in 2,530 valid </w:t>
      </w:r>
      <w:proofErr w:type="spellStart"/>
      <w:r w:rsidRPr="002A766F">
        <w:rPr>
          <w:rFonts w:ascii="Times New Roman" w:hAnsi="Times New Roman" w:cs="Times New Roman"/>
        </w:rPr>
        <w:t>DissemDT</w:t>
      </w:r>
      <w:proofErr w:type="spellEnd"/>
      <w:r w:rsidRPr="002A766F">
        <w:rPr>
          <w:rFonts w:ascii="Times New Roman" w:hAnsi="Times New Roman" w:cs="Times New Roman"/>
        </w:rPr>
        <w:t xml:space="preserve"> values. The final "</w:t>
      </w:r>
      <w:proofErr w:type="spellStart"/>
      <w:r w:rsidRPr="002A766F">
        <w:rPr>
          <w:rFonts w:ascii="Times New Roman" w:hAnsi="Times New Roman" w:cs="Times New Roman"/>
        </w:rPr>
        <w:t>event_time</w:t>
      </w:r>
      <w:proofErr w:type="spellEnd"/>
      <w:r w:rsidRPr="002A766F">
        <w:rPr>
          <w:rFonts w:ascii="Times New Roman" w:hAnsi="Times New Roman" w:cs="Times New Roman"/>
        </w:rPr>
        <w:t>" field therefore contained 2,530 valid timestamps with no missing values.</w:t>
      </w:r>
    </w:p>
    <w:p w:rsidR="002A766F" w:rsidRPr="002A766F" w:rsidRDefault="002A766F" w:rsidP="002A766F">
      <w:pPr>
        <w:rPr>
          <w:rFonts w:ascii="Times New Roman" w:hAnsi="Times New Roman" w:cs="Times New Roman"/>
        </w:rPr>
      </w:pPr>
      <w:r w:rsidRPr="002A766F">
        <w:rPr>
          <w:rFonts w:ascii="Times New Roman" w:hAnsi="Times New Roman" w:cs="Times New Roman"/>
        </w:rPr>
        <w:t>Each announcement was subsequently aligned to the first complete one-minute market bar beginning at or after dissemination, avoiding the use of a bar that had s</w:t>
      </w:r>
      <w:r>
        <w:rPr>
          <w:rFonts w:ascii="Times New Roman" w:hAnsi="Times New Roman" w:cs="Times New Roman"/>
        </w:rPr>
        <w:t>tarted before the announcement.</w:t>
      </w:r>
    </w:p>
    <w:p w:rsidR="002A766F" w:rsidRPr="002A766F" w:rsidRDefault="002A766F" w:rsidP="002A766F">
      <w:pPr>
        <w:rPr>
          <w:rFonts w:ascii="Times New Roman" w:hAnsi="Times New Roman" w:cs="Times New Roman"/>
          <w:b/>
        </w:rPr>
      </w:pPr>
      <w:r w:rsidRPr="002A766F">
        <w:rPr>
          <w:rFonts w:ascii="Times New Roman" w:hAnsi="Times New Roman" w:cs="Times New Roman"/>
          <w:b/>
        </w:rPr>
        <w:t>6. Data Quality Checks</w:t>
      </w:r>
    </w:p>
    <w:p w:rsidR="002A766F" w:rsidRDefault="002A766F" w:rsidP="002A766F">
      <w:pPr>
        <w:rPr>
          <w:rFonts w:ascii="Times New Roman" w:hAnsi="Times New Roman" w:cs="Times New Roman"/>
        </w:rPr>
      </w:pPr>
      <w:r w:rsidRPr="002A766F">
        <w:rPr>
          <w:rFonts w:ascii="Times New Roman" w:hAnsi="Times New Roman" w:cs="Times New Roman"/>
        </w:rPr>
        <w:t>The datasets were checked for timestamp issues, missing and duplicate records, invalid OHLC values, zero-volume observations, and incomplete event windows. Material exclusions were recorded rather than silently discarded.</w:t>
      </w:r>
    </w:p>
    <w:p w:rsidR="00BB14CB" w:rsidRDefault="002A766F" w:rsidP="002A766F">
      <w:pPr>
        <w:rPr>
          <w:rFonts w:ascii="Times New Roman" w:hAnsi="Times New Roman" w:cs="Times New Roman"/>
        </w:rPr>
      </w:pPr>
      <w:r>
        <w:rPr>
          <w:rFonts w:ascii="Times New Roman" w:hAnsi="Times New Roman" w:cs="Times New Roman"/>
          <w:noProof/>
        </w:rPr>
        <w:drawing>
          <wp:inline distT="0" distB="0" distL="0" distR="0">
            <wp:extent cx="5467350" cy="2857230"/>
            <wp:effectExtent l="114300" t="76200" r="114300" b="76470"/>
            <wp:docPr id="2" name="Picture 0" descr="Figure_1_Timestamp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Timestamp_Validation.png"/>
                    <pic:cNvPicPr/>
                  </pic:nvPicPr>
                  <pic:blipFill>
                    <a:blip r:embed="rId4"/>
                    <a:stretch>
                      <a:fillRect/>
                    </a:stretch>
                  </pic:blipFill>
                  <pic:spPr>
                    <a:xfrm>
                      <a:off x="0" y="0"/>
                      <a:ext cx="5471225" cy="2859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A766F" w:rsidRDefault="00BB14CB" w:rsidP="00BB14CB">
      <w:pPr>
        <w:rPr>
          <w:rFonts w:ascii="Times New Roman" w:hAnsi="Times New Roman" w:cs="Times New Roman"/>
        </w:rPr>
      </w:pPr>
      <w:r w:rsidRPr="00BB14CB">
        <w:rPr>
          <w:rFonts w:ascii="Times New Roman" w:hAnsi="Times New Roman" w:cs="Times New Roman"/>
        </w:rPr>
        <w:t xml:space="preserve">Initially, 11 </w:t>
      </w:r>
      <w:proofErr w:type="spellStart"/>
      <w:r w:rsidRPr="00BB14CB">
        <w:rPr>
          <w:rFonts w:ascii="Times New Roman" w:hAnsi="Times New Roman" w:cs="Times New Roman"/>
        </w:rPr>
        <w:t>DissemDT</w:t>
      </w:r>
      <w:proofErr w:type="spellEnd"/>
      <w:r w:rsidRPr="00BB14CB">
        <w:rPr>
          <w:rFonts w:ascii="Times New Roman" w:hAnsi="Times New Roman" w:cs="Times New Roman"/>
        </w:rPr>
        <w:t xml:space="preserve"> values were unparsed under standard parsing; their corresponding DT_TM values were identical, and mixed-format parsing resulted in 2,530 valid </w:t>
      </w:r>
      <w:proofErr w:type="spellStart"/>
      <w:r w:rsidRPr="00BB14CB">
        <w:rPr>
          <w:rFonts w:ascii="Times New Roman" w:hAnsi="Times New Roman" w:cs="Times New Roman"/>
        </w:rPr>
        <w:t>event_time</w:t>
      </w:r>
      <w:proofErr w:type="spellEnd"/>
      <w:r w:rsidRPr="00BB14CB">
        <w:rPr>
          <w:rFonts w:ascii="Times New Roman" w:hAnsi="Times New Roman" w:cs="Times New Roman"/>
        </w:rPr>
        <w:t xml:space="preserve"> values.</w:t>
      </w:r>
    </w:p>
    <w:p w:rsidR="00312E78" w:rsidRPr="00312E78" w:rsidRDefault="00312E78" w:rsidP="00312E78">
      <w:pPr>
        <w:rPr>
          <w:rFonts w:ascii="Times New Roman" w:hAnsi="Times New Roman" w:cs="Times New Roman"/>
          <w:b/>
          <w:sz w:val="24"/>
          <w:szCs w:val="24"/>
        </w:rPr>
      </w:pPr>
      <w:r w:rsidRPr="00312E78">
        <w:rPr>
          <w:rFonts w:ascii="Times New Roman" w:hAnsi="Times New Roman" w:cs="Times New Roman"/>
          <w:b/>
          <w:sz w:val="24"/>
          <w:szCs w:val="24"/>
        </w:rPr>
        <w:lastRenderedPageBreak/>
        <w:t>7. Event Alignment</w:t>
      </w:r>
    </w:p>
    <w:p w:rsidR="00312E78" w:rsidRPr="00312E78" w:rsidRDefault="00312E78" w:rsidP="00312E78">
      <w:pPr>
        <w:rPr>
          <w:rFonts w:ascii="Times New Roman" w:hAnsi="Times New Roman" w:cs="Times New Roman"/>
        </w:rPr>
      </w:pPr>
      <w:r w:rsidRPr="00312E78">
        <w:rPr>
          <w:rFonts w:ascii="Times New Roman" w:hAnsi="Times New Roman" w:cs="Times New Roman"/>
        </w:rPr>
        <w:t>Announcements were aligned with the first complete one-minute market bar beginning at or after dissemination time. Outside-session announcements were mapped to the next available trading session.</w:t>
      </w:r>
    </w:p>
    <w:p w:rsidR="00312E78" w:rsidRPr="00312E78" w:rsidRDefault="00312E78" w:rsidP="00312E78">
      <w:pPr>
        <w:rPr>
          <w:rFonts w:ascii="Times New Roman" w:hAnsi="Times New Roman" w:cs="Times New Roman"/>
          <w:b/>
          <w:sz w:val="24"/>
          <w:szCs w:val="24"/>
        </w:rPr>
      </w:pPr>
      <w:r w:rsidRPr="00312E78">
        <w:rPr>
          <w:rFonts w:ascii="Times New Roman" w:hAnsi="Times New Roman" w:cs="Times New Roman"/>
          <w:b/>
          <w:sz w:val="24"/>
          <w:szCs w:val="24"/>
        </w:rPr>
        <w:t>8. Event Clustering</w:t>
      </w:r>
    </w:p>
    <w:p w:rsidR="00312E78" w:rsidRPr="00312E78" w:rsidRDefault="00312E78" w:rsidP="00312E78">
      <w:pPr>
        <w:rPr>
          <w:rFonts w:ascii="Times New Roman" w:hAnsi="Times New Roman" w:cs="Times New Roman"/>
        </w:rPr>
      </w:pPr>
      <w:r w:rsidRPr="00312E78">
        <w:rPr>
          <w:rFonts w:ascii="Times New Roman" w:hAnsi="Times New Roman" w:cs="Times New Roman"/>
        </w:rPr>
        <w:t>Closely timed, related announcements from the same company were grouped using company, announcement type, subject information, and time proximity. This reduced potential double-counting. The 2,528 announcements formed 2,396 rule-based event clusters.</w:t>
      </w:r>
    </w:p>
    <w:p w:rsidR="00312E78" w:rsidRPr="00312E78" w:rsidRDefault="00312E78" w:rsidP="00312E78">
      <w:pPr>
        <w:rPr>
          <w:rFonts w:ascii="Times New Roman" w:hAnsi="Times New Roman" w:cs="Times New Roman"/>
          <w:b/>
          <w:sz w:val="24"/>
          <w:szCs w:val="24"/>
        </w:rPr>
      </w:pPr>
      <w:r w:rsidRPr="00312E78">
        <w:rPr>
          <w:rFonts w:ascii="Times New Roman" w:hAnsi="Times New Roman" w:cs="Times New Roman"/>
          <w:b/>
          <w:sz w:val="24"/>
          <w:szCs w:val="24"/>
        </w:rPr>
        <w:t>9. Subject Taxonomy</w:t>
      </w:r>
    </w:p>
    <w:p w:rsidR="00BB14CB" w:rsidRDefault="00312E78" w:rsidP="00312E78">
      <w:pPr>
        <w:rPr>
          <w:rFonts w:ascii="Times New Roman" w:hAnsi="Times New Roman" w:cs="Times New Roman"/>
        </w:rPr>
      </w:pPr>
      <w:r w:rsidRPr="00312E78">
        <w:rPr>
          <w:rFonts w:ascii="Times New Roman" w:hAnsi="Times New Roman" w:cs="Times New Roman"/>
        </w:rPr>
        <w:t>Announcements were classified into seven groups using announcement subject fields: Financial Results, Board / Management, Investor Communication, Corporate Actions, Orders / Business, Regulatory / Compliance, and Press / Public Updates.</w:t>
      </w:r>
    </w:p>
    <w:p w:rsidR="00312E78" w:rsidRPr="00312E78" w:rsidRDefault="00312E78" w:rsidP="00312E78">
      <w:pPr>
        <w:jc w:val="center"/>
        <w:rPr>
          <w:rFonts w:ascii="Times New Roman" w:hAnsi="Times New Roman" w:cs="Times New Roman"/>
          <w:b/>
          <w:sz w:val="24"/>
          <w:szCs w:val="24"/>
        </w:rPr>
      </w:pPr>
      <w:r w:rsidRPr="00312E78">
        <w:rPr>
          <w:rFonts w:ascii="Times New Roman" w:hAnsi="Times New Roman" w:cs="Times New Roman"/>
          <w:b/>
          <w:sz w:val="24"/>
          <w:szCs w:val="24"/>
        </w:rPr>
        <w:t>Independent Event Clusters by Subject Group</w:t>
      </w:r>
    </w:p>
    <w:tbl>
      <w:tblPr>
        <w:tblStyle w:val="TableGrid"/>
        <w:tblW w:w="0" w:type="auto"/>
        <w:tblLook w:val="04A0"/>
      </w:tblPr>
      <w:tblGrid>
        <w:gridCol w:w="4788"/>
        <w:gridCol w:w="4788"/>
      </w:tblGrid>
      <w:tr w:rsidR="00312E78" w:rsidTr="00312E78">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Subject Group</w:t>
            </w:r>
          </w:p>
          <w:p w:rsidR="00312E78" w:rsidRDefault="00312E78" w:rsidP="00312E78">
            <w:pPr>
              <w:jc w:val="center"/>
              <w:rPr>
                <w:rFonts w:ascii="Times New Roman" w:hAnsi="Times New Roman" w:cs="Times New Roman"/>
              </w:rPr>
            </w:pPr>
          </w:p>
        </w:tc>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Independent Events</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Press / Public Update</w:t>
            </w:r>
            <w:r>
              <w:rPr>
                <w:rFonts w:ascii="Times New Roman" w:hAnsi="Times New Roman" w:cs="Times New Roman"/>
              </w:rPr>
              <w:t>s</w:t>
            </w:r>
          </w:p>
        </w:tc>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943</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Regulatory / Compliance</w:t>
            </w:r>
          </w:p>
        </w:tc>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483</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Investor Communication</w:t>
            </w:r>
          </w:p>
        </w:tc>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315</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Board / Management</w:t>
            </w:r>
          </w:p>
        </w:tc>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258</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Corporate Actions</w:t>
            </w:r>
          </w:p>
        </w:tc>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252</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Orders / Business</w:t>
            </w:r>
          </w:p>
        </w:tc>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135</w:t>
            </w:r>
          </w:p>
        </w:tc>
      </w:tr>
      <w:tr w:rsidR="00312E78" w:rsidTr="00312E78">
        <w:tc>
          <w:tcPr>
            <w:tcW w:w="4788" w:type="dxa"/>
          </w:tcPr>
          <w:p w:rsidR="00312E78" w:rsidRDefault="00312E78" w:rsidP="00312E78">
            <w:pPr>
              <w:jc w:val="center"/>
              <w:rPr>
                <w:rFonts w:ascii="Times New Roman" w:hAnsi="Times New Roman" w:cs="Times New Roman"/>
              </w:rPr>
            </w:pPr>
            <w:r w:rsidRPr="00312E78">
              <w:rPr>
                <w:rFonts w:ascii="Times New Roman" w:hAnsi="Times New Roman" w:cs="Times New Roman"/>
              </w:rPr>
              <w:t>Financial Results</w:t>
            </w:r>
          </w:p>
        </w:tc>
        <w:tc>
          <w:tcPr>
            <w:tcW w:w="4788" w:type="dxa"/>
          </w:tcPr>
          <w:p w:rsidR="00312E78" w:rsidRDefault="00312E78" w:rsidP="00312E78">
            <w:pPr>
              <w:jc w:val="center"/>
              <w:rPr>
                <w:rFonts w:ascii="Times New Roman" w:hAnsi="Times New Roman" w:cs="Times New Roman"/>
              </w:rPr>
            </w:pPr>
            <w:r>
              <w:rPr>
                <w:rFonts w:ascii="Times New Roman" w:hAnsi="Times New Roman" w:cs="Times New Roman"/>
              </w:rPr>
              <w:t>52</w:t>
            </w:r>
          </w:p>
        </w:tc>
      </w:tr>
    </w:tbl>
    <w:p w:rsidR="00312E78" w:rsidRDefault="00312E78" w:rsidP="00312E78">
      <w:pPr>
        <w:rPr>
          <w:rFonts w:ascii="Times New Roman" w:hAnsi="Times New Roman" w:cs="Times New Roman"/>
        </w:rPr>
      </w:pPr>
    </w:p>
    <w:p w:rsidR="00A9620A" w:rsidRDefault="00A9620A" w:rsidP="00A9620A">
      <w:pPr>
        <w:jc w:val="center"/>
        <w:rPr>
          <w:rFonts w:ascii="Times New Roman" w:hAnsi="Times New Roman" w:cs="Times New Roman"/>
        </w:rPr>
      </w:pPr>
    </w:p>
    <w:p w:rsidR="00A9620A" w:rsidRPr="00A9620A" w:rsidRDefault="00A9620A" w:rsidP="00A9620A">
      <w:pPr>
        <w:jc w:val="center"/>
        <w:rPr>
          <w:rFonts w:ascii="Times New Roman" w:hAnsi="Times New Roman" w:cs="Times New Roman"/>
          <w:b/>
        </w:rPr>
      </w:pPr>
      <w:r w:rsidRPr="00A9620A">
        <w:rPr>
          <w:rFonts w:ascii="Times New Roman" w:hAnsi="Times New Roman" w:cs="Times New Roman"/>
          <w:b/>
        </w:rPr>
        <w:t xml:space="preserve">Figure </w:t>
      </w:r>
      <w:proofErr w:type="gramStart"/>
      <w:r w:rsidRPr="00A9620A">
        <w:rPr>
          <w:rFonts w:ascii="Times New Roman" w:hAnsi="Times New Roman" w:cs="Times New Roman"/>
          <w:b/>
        </w:rPr>
        <w:t>2 :</w:t>
      </w:r>
      <w:proofErr w:type="gramEnd"/>
      <w:r w:rsidRPr="00A9620A">
        <w:rPr>
          <w:rFonts w:ascii="Times New Roman" w:hAnsi="Times New Roman" w:cs="Times New Roman"/>
          <w:b/>
        </w:rPr>
        <w:t xml:space="preserve"> Independent Event Clusters by Subject Group</w:t>
      </w:r>
    </w:p>
    <w:p w:rsidR="00A9620A" w:rsidRDefault="00A9620A" w:rsidP="00312E78">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simplePos x="0" y="0"/>
            <wp:positionH relativeFrom="margin">
              <wp:align>center</wp:align>
            </wp:positionH>
            <wp:positionV relativeFrom="margin">
              <wp:align>bottom</wp:align>
            </wp:positionV>
            <wp:extent cx="4581525" cy="2260600"/>
            <wp:effectExtent l="19050" t="0" r="9525" b="0"/>
            <wp:wrapSquare wrapText="bothSides"/>
            <wp:docPr id="3" name="Picture 2" descr="Figure_2_Event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ent_Clusters.png"/>
                    <pic:cNvPicPr/>
                  </pic:nvPicPr>
                  <pic:blipFill>
                    <a:blip r:embed="rId5" cstate="print"/>
                    <a:stretch>
                      <a:fillRect/>
                    </a:stretch>
                  </pic:blipFill>
                  <pic:spPr>
                    <a:xfrm>
                      <a:off x="0" y="0"/>
                      <a:ext cx="4581525" cy="2260600"/>
                    </a:xfrm>
                    <a:prstGeom prst="rect">
                      <a:avLst/>
                    </a:prstGeom>
                  </pic:spPr>
                </pic:pic>
              </a:graphicData>
            </a:graphic>
          </wp:anchor>
        </w:drawing>
      </w: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A9620A" w:rsidRDefault="00A9620A" w:rsidP="00312E78">
      <w:pPr>
        <w:rPr>
          <w:rFonts w:ascii="Times New Roman" w:hAnsi="Times New Roman" w:cs="Times New Roman"/>
        </w:rPr>
      </w:pPr>
    </w:p>
    <w:p w:rsidR="00C85DCB" w:rsidRPr="00187BF0" w:rsidRDefault="00C85DCB" w:rsidP="00C85DCB">
      <w:pPr>
        <w:rPr>
          <w:rFonts w:ascii="Times New Roman" w:hAnsi="Times New Roman" w:cs="Times New Roman"/>
          <w:b/>
          <w:sz w:val="24"/>
          <w:szCs w:val="24"/>
        </w:rPr>
      </w:pPr>
      <w:r w:rsidRPr="00187BF0">
        <w:rPr>
          <w:rFonts w:ascii="Times New Roman" w:hAnsi="Times New Roman" w:cs="Times New Roman"/>
          <w:b/>
          <w:sz w:val="24"/>
          <w:szCs w:val="24"/>
        </w:rPr>
        <w:lastRenderedPageBreak/>
        <w:t>10. Price Impact Methodology</w:t>
      </w:r>
    </w:p>
    <w:p w:rsidR="00C85DCB" w:rsidRPr="00C85DCB" w:rsidRDefault="00C85DCB" w:rsidP="00C85DCB">
      <w:pPr>
        <w:rPr>
          <w:rFonts w:ascii="Times New Roman" w:hAnsi="Times New Roman" w:cs="Times New Roman"/>
        </w:rPr>
      </w:pPr>
    </w:p>
    <w:p w:rsidR="00C85DCB" w:rsidRPr="00C85DCB" w:rsidRDefault="00C85DCB" w:rsidP="00C85DCB">
      <w:pPr>
        <w:rPr>
          <w:rFonts w:ascii="Times New Roman" w:hAnsi="Times New Roman" w:cs="Times New Roman"/>
        </w:rPr>
      </w:pPr>
      <w:r w:rsidRPr="00C85DCB">
        <w:rPr>
          <w:rFonts w:ascii="Times New Roman" w:hAnsi="Times New Roman" w:cs="Times New Roman"/>
        </w:rPr>
        <w:t>Price reaction was measured using returns over 5-minute, 30-minute, 60-minute, market-close, and subsequent daily windows. Short-term returns were small and statistically insignificant, while the average market-close return was +0.177% and statistically significant.</w:t>
      </w:r>
    </w:p>
    <w:p w:rsidR="00C85DCB" w:rsidRPr="00C85DCB" w:rsidRDefault="00C85DCB" w:rsidP="00C85DCB">
      <w:pPr>
        <w:rPr>
          <w:rFonts w:ascii="Times New Roman" w:hAnsi="Times New Roman" w:cs="Times New Roman"/>
        </w:rPr>
      </w:pPr>
    </w:p>
    <w:p w:rsidR="00C85DCB" w:rsidRPr="00187BF0" w:rsidRDefault="00C85DCB" w:rsidP="00C85DCB">
      <w:pPr>
        <w:rPr>
          <w:rFonts w:ascii="Times New Roman" w:hAnsi="Times New Roman" w:cs="Times New Roman"/>
          <w:b/>
          <w:sz w:val="24"/>
          <w:szCs w:val="24"/>
        </w:rPr>
      </w:pPr>
      <w:r w:rsidRPr="00187BF0">
        <w:rPr>
          <w:rFonts w:ascii="Times New Roman" w:hAnsi="Times New Roman" w:cs="Times New Roman"/>
          <w:b/>
          <w:sz w:val="24"/>
          <w:szCs w:val="24"/>
        </w:rPr>
        <w:t>11. Volume Methodology</w:t>
      </w:r>
    </w:p>
    <w:p w:rsidR="00C85DCB" w:rsidRPr="00C85DCB" w:rsidRDefault="00C85DCB" w:rsidP="00C85DCB">
      <w:pPr>
        <w:rPr>
          <w:rFonts w:ascii="Times New Roman" w:hAnsi="Times New Roman" w:cs="Times New Roman"/>
        </w:rPr>
      </w:pPr>
    </w:p>
    <w:p w:rsidR="00C85DCB" w:rsidRPr="00C85DCB" w:rsidRDefault="00C85DCB" w:rsidP="00C85DCB">
      <w:pPr>
        <w:rPr>
          <w:rFonts w:ascii="Times New Roman" w:hAnsi="Times New Roman" w:cs="Times New Roman"/>
        </w:rPr>
      </w:pPr>
      <w:r w:rsidRPr="00C85DCB">
        <w:rPr>
          <w:rFonts w:ascii="Times New Roman" w:hAnsi="Times New Roman" w:cs="Times New Roman"/>
        </w:rPr>
        <w:t>Volume impact was measured relative to the normal trading activity around each announcement. The average volume impact was +81.54% and was statistically significant. However, the median impact was only +0.42%, indicating that extreme volume spikes influenced the mean substantially.</w:t>
      </w:r>
    </w:p>
    <w:p w:rsidR="00C85DCB" w:rsidRPr="00C85DCB" w:rsidRDefault="00C85DCB" w:rsidP="00C85DCB">
      <w:pPr>
        <w:rPr>
          <w:rFonts w:ascii="Times New Roman" w:hAnsi="Times New Roman" w:cs="Times New Roman"/>
        </w:rPr>
      </w:pPr>
    </w:p>
    <w:p w:rsidR="00C85DCB" w:rsidRPr="00187BF0" w:rsidRDefault="00C85DCB" w:rsidP="00C85DCB">
      <w:pPr>
        <w:rPr>
          <w:rFonts w:ascii="Times New Roman" w:hAnsi="Times New Roman" w:cs="Times New Roman"/>
          <w:b/>
          <w:sz w:val="24"/>
          <w:szCs w:val="24"/>
        </w:rPr>
      </w:pPr>
      <w:r w:rsidRPr="00187BF0">
        <w:rPr>
          <w:rFonts w:ascii="Times New Roman" w:hAnsi="Times New Roman" w:cs="Times New Roman"/>
          <w:b/>
          <w:sz w:val="24"/>
          <w:szCs w:val="24"/>
        </w:rPr>
        <w:t>12. Volatility</w:t>
      </w:r>
    </w:p>
    <w:p w:rsidR="00C85DCB" w:rsidRPr="00C85DCB" w:rsidRDefault="00C85DCB" w:rsidP="00C85DCB">
      <w:pPr>
        <w:rPr>
          <w:rFonts w:ascii="Times New Roman" w:hAnsi="Times New Roman" w:cs="Times New Roman"/>
        </w:rPr>
      </w:pPr>
    </w:p>
    <w:p w:rsidR="00C85DCB" w:rsidRPr="00C85DCB" w:rsidRDefault="00C85DCB" w:rsidP="00C85DCB">
      <w:pPr>
        <w:rPr>
          <w:rFonts w:ascii="Times New Roman" w:hAnsi="Times New Roman" w:cs="Times New Roman"/>
        </w:rPr>
      </w:pPr>
      <w:r w:rsidRPr="00C85DCB">
        <w:rPr>
          <w:rFonts w:ascii="Times New Roman" w:hAnsi="Times New Roman" w:cs="Times New Roman"/>
        </w:rPr>
        <w:t>Event-window volatility was calculated as the standard deviation of 5-, 30-, and 60-minute returns. The mean volatility was 0.410, with a median of 0.271.</w:t>
      </w:r>
    </w:p>
    <w:p w:rsidR="00C85DCB" w:rsidRPr="00C85DCB" w:rsidRDefault="00C85DCB" w:rsidP="00C85DCB">
      <w:pPr>
        <w:rPr>
          <w:rFonts w:ascii="Times New Roman" w:hAnsi="Times New Roman" w:cs="Times New Roman"/>
        </w:rPr>
      </w:pPr>
    </w:p>
    <w:p w:rsidR="00C85DCB" w:rsidRPr="00187BF0" w:rsidRDefault="00C85DCB" w:rsidP="00C85DCB">
      <w:pPr>
        <w:rPr>
          <w:rFonts w:ascii="Times New Roman" w:hAnsi="Times New Roman" w:cs="Times New Roman"/>
          <w:b/>
          <w:sz w:val="24"/>
          <w:szCs w:val="24"/>
        </w:rPr>
      </w:pPr>
      <w:r w:rsidRPr="00187BF0">
        <w:rPr>
          <w:rFonts w:ascii="Times New Roman" w:hAnsi="Times New Roman" w:cs="Times New Roman"/>
          <w:b/>
          <w:sz w:val="24"/>
          <w:szCs w:val="24"/>
        </w:rPr>
        <w:t>13. Statistical Methodology</w:t>
      </w:r>
    </w:p>
    <w:p w:rsidR="00C85DCB" w:rsidRPr="00C85DCB" w:rsidRDefault="00C85DCB" w:rsidP="00C85DCB">
      <w:pPr>
        <w:rPr>
          <w:rFonts w:ascii="Times New Roman" w:hAnsi="Times New Roman" w:cs="Times New Roman"/>
        </w:rPr>
      </w:pPr>
    </w:p>
    <w:p w:rsidR="00C85DCB" w:rsidRPr="00C85DCB" w:rsidRDefault="00C85DCB" w:rsidP="00C85DCB">
      <w:pPr>
        <w:rPr>
          <w:rFonts w:ascii="Times New Roman" w:hAnsi="Times New Roman" w:cs="Times New Roman"/>
        </w:rPr>
      </w:pPr>
      <w:r w:rsidRPr="00C85DCB">
        <w:rPr>
          <w:rFonts w:ascii="Times New Roman" w:hAnsi="Times New Roman" w:cs="Times New Roman"/>
        </w:rPr>
        <w:t>One-sample t-tests were applied to determine whether average returns and volume impact differed significantly from zero. Statistical significance was assessed using the resulting p-values.</w:t>
      </w:r>
    </w:p>
    <w:p w:rsidR="00C85DCB" w:rsidRPr="00C85DCB" w:rsidRDefault="00C85DCB" w:rsidP="00C85DCB">
      <w:pPr>
        <w:rPr>
          <w:rFonts w:ascii="Times New Roman" w:hAnsi="Times New Roman" w:cs="Times New Roman"/>
        </w:rPr>
      </w:pPr>
    </w:p>
    <w:p w:rsidR="00C85DCB" w:rsidRPr="00187BF0" w:rsidRDefault="00C85DCB" w:rsidP="00C85DCB">
      <w:pPr>
        <w:rPr>
          <w:rFonts w:ascii="Times New Roman" w:hAnsi="Times New Roman" w:cs="Times New Roman"/>
          <w:b/>
          <w:sz w:val="24"/>
          <w:szCs w:val="24"/>
        </w:rPr>
      </w:pPr>
      <w:r w:rsidRPr="00187BF0">
        <w:rPr>
          <w:rFonts w:ascii="Times New Roman" w:hAnsi="Times New Roman" w:cs="Times New Roman"/>
          <w:b/>
          <w:sz w:val="24"/>
          <w:szCs w:val="24"/>
        </w:rPr>
        <w:t>14. Strong Impact Definition</w:t>
      </w:r>
    </w:p>
    <w:p w:rsidR="00C85DCB" w:rsidRPr="00C85DCB" w:rsidRDefault="00C85DCB" w:rsidP="00C85DCB">
      <w:pPr>
        <w:rPr>
          <w:rFonts w:ascii="Times New Roman" w:hAnsi="Times New Roman" w:cs="Times New Roman"/>
        </w:rPr>
      </w:pPr>
    </w:p>
    <w:p w:rsidR="00A9620A" w:rsidRDefault="00C85DCB" w:rsidP="00C85DCB">
      <w:pPr>
        <w:rPr>
          <w:rFonts w:ascii="Times New Roman" w:hAnsi="Times New Roman" w:cs="Times New Roman"/>
        </w:rPr>
      </w:pPr>
      <w:r w:rsidRPr="00C85DCB">
        <w:rPr>
          <w:rFonts w:ascii="Times New Roman" w:hAnsi="Times New Roman" w:cs="Times New Roman"/>
        </w:rPr>
        <w:t>An event was classified as having a strong price impact when the absolute market-close return was at least 2%. Under this definition, 597 of 2,528 events (23.6%) showed strong price impact.</w:t>
      </w:r>
    </w:p>
    <w:p w:rsidR="00187BF0" w:rsidRDefault="00187BF0" w:rsidP="00C85DCB">
      <w:pPr>
        <w:rPr>
          <w:rFonts w:ascii="Times New Roman" w:hAnsi="Times New Roman" w:cs="Times New Roman"/>
        </w:rPr>
      </w:pPr>
    </w:p>
    <w:p w:rsidR="00187BF0" w:rsidRDefault="00187BF0" w:rsidP="00C85DCB">
      <w:pPr>
        <w:rPr>
          <w:rFonts w:ascii="Times New Roman" w:hAnsi="Times New Roman" w:cs="Times New Roman"/>
        </w:rPr>
      </w:pPr>
    </w:p>
    <w:p w:rsidR="00187BF0" w:rsidRDefault="00187BF0" w:rsidP="00C85DCB">
      <w:pPr>
        <w:rPr>
          <w:rFonts w:ascii="Times New Roman" w:hAnsi="Times New Roman" w:cs="Times New Roman"/>
        </w:rPr>
      </w:pPr>
    </w:p>
    <w:p w:rsidR="00187BF0" w:rsidRPr="00187BF0" w:rsidRDefault="00187BF0" w:rsidP="00187BF0">
      <w:pPr>
        <w:rPr>
          <w:rFonts w:ascii="Times New Roman" w:hAnsi="Times New Roman" w:cs="Times New Roman"/>
          <w:b/>
          <w:sz w:val="24"/>
          <w:szCs w:val="24"/>
        </w:rPr>
      </w:pPr>
      <w:r w:rsidRPr="00187BF0">
        <w:rPr>
          <w:rFonts w:ascii="Times New Roman" w:hAnsi="Times New Roman" w:cs="Times New Roman"/>
          <w:b/>
          <w:sz w:val="24"/>
          <w:szCs w:val="24"/>
        </w:rPr>
        <w:lastRenderedPageBreak/>
        <w:t>15. Overall Impact Results</w:t>
      </w:r>
    </w:p>
    <w:p w:rsidR="00187BF0" w:rsidRDefault="00187BF0" w:rsidP="00187BF0">
      <w:pPr>
        <w:rPr>
          <w:rFonts w:ascii="Times New Roman" w:hAnsi="Times New Roman" w:cs="Times New Roman"/>
        </w:rPr>
      </w:pPr>
      <w:r w:rsidRPr="00187BF0">
        <w:rPr>
          <w:rFonts w:ascii="Times New Roman" w:hAnsi="Times New Roman" w:cs="Times New Roman"/>
        </w:rPr>
        <w:t>The analysis shows that corporate announcements had a stronger effect on trading activity than on immediate price returns. Short-term returns were generally small, while the market-close return showed a statistically significant positive average of +0.1774%. Average volume impact was +81.54%, indicating increased trading activity around announcements.</w:t>
      </w:r>
    </w:p>
    <w:p w:rsidR="00187BF0" w:rsidRPr="00187BF0" w:rsidRDefault="00187BF0" w:rsidP="00187BF0">
      <w:pPr>
        <w:rPr>
          <w:rFonts w:ascii="Times New Roman" w:hAnsi="Times New Roman" w:cs="Times New Roman"/>
        </w:rPr>
      </w:pPr>
    </w:p>
    <w:p w:rsidR="00187BF0" w:rsidRPr="00187BF0" w:rsidRDefault="00187BF0" w:rsidP="00187BF0">
      <w:pPr>
        <w:rPr>
          <w:rFonts w:ascii="Times New Roman" w:hAnsi="Times New Roman" w:cs="Times New Roman"/>
          <w:b/>
          <w:sz w:val="24"/>
          <w:szCs w:val="24"/>
        </w:rPr>
      </w:pPr>
      <w:r w:rsidRPr="00187BF0">
        <w:rPr>
          <w:rFonts w:ascii="Times New Roman" w:hAnsi="Times New Roman" w:cs="Times New Roman"/>
          <w:b/>
          <w:sz w:val="24"/>
          <w:szCs w:val="24"/>
        </w:rPr>
        <w:t>16. Subject-wise Results</w:t>
      </w:r>
    </w:p>
    <w:p w:rsidR="00187BF0" w:rsidRDefault="00187BF0" w:rsidP="00187BF0">
      <w:pPr>
        <w:rPr>
          <w:rFonts w:ascii="Times New Roman" w:hAnsi="Times New Roman" w:cs="Times New Roman"/>
        </w:rPr>
      </w:pPr>
      <w:r w:rsidRPr="00187BF0">
        <w:rPr>
          <w:rFonts w:ascii="Times New Roman" w:hAnsi="Times New Roman" w:cs="Times New Roman"/>
        </w:rPr>
        <w:t>The magnitude of the reaction varied considerably across announcement categories. Orders / Business produced the highest average market-close return (+0.903%), followed by Press / Public Updates (+0.269%). Financial Results showed the lowest average return (−0.416%) but the highest average volume impact (+476.51%). This indicates that earnings-related announcements generated substantial trading activity despite their negative average price reaction.</w:t>
      </w:r>
    </w:p>
    <w:p w:rsidR="00E72076" w:rsidRDefault="00E72076" w:rsidP="00E72076">
      <w:pPr>
        <w:rPr>
          <w:rFonts w:ascii="Times New Roman" w:hAnsi="Times New Roman" w:cs="Times New Roman"/>
        </w:rPr>
      </w:pPr>
    </w:p>
    <w:p w:rsidR="00187BF0" w:rsidRPr="00E72076" w:rsidRDefault="00187BF0" w:rsidP="00E72076">
      <w:pPr>
        <w:jc w:val="center"/>
        <w:rPr>
          <w:rFonts w:ascii="Times New Roman" w:hAnsi="Times New Roman" w:cs="Times New Roman"/>
          <w:b/>
          <w:sz w:val="24"/>
          <w:szCs w:val="24"/>
        </w:rPr>
      </w:pPr>
      <w:r w:rsidRPr="00E72076">
        <w:rPr>
          <w:rFonts w:ascii="Times New Roman" w:hAnsi="Times New Roman" w:cs="Times New Roman"/>
          <w:b/>
          <w:sz w:val="24"/>
          <w:szCs w:val="24"/>
        </w:rPr>
        <w:t>Subject –wise Event Impact</w:t>
      </w:r>
    </w:p>
    <w:tbl>
      <w:tblPr>
        <w:tblStyle w:val="TableGrid"/>
        <w:tblW w:w="5000" w:type="pct"/>
        <w:tblLook w:val="04A0"/>
      </w:tblPr>
      <w:tblGrid>
        <w:gridCol w:w="1916"/>
        <w:gridCol w:w="1915"/>
        <w:gridCol w:w="1915"/>
        <w:gridCol w:w="1915"/>
        <w:gridCol w:w="1915"/>
      </w:tblGrid>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Subject Group</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Events</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Mean Close Return (%)</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Mean Volume Impact (%)</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Strong Impact Events</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Orders / Business</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135</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0.903</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239.642</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43</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Press / Public Updates</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943</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0.269</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78.225</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254</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Investor Communication</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315</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0.130</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120.972</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89</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Regulatory / Compliance</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483</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0.064</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7.233</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65</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Corporate Actions</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252</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0.032</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5.526</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41</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Board / Management</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258</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0.006</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101.137</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75</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Financial Results</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52</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-0.416</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476.515</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30</w:t>
            </w:r>
          </w:p>
        </w:tc>
      </w:tr>
      <w:tr w:rsidR="00187BF0" w:rsidRPr="00187BF0" w:rsidTr="00187BF0">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Total</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2,396</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w:t>
            </w:r>
          </w:p>
        </w:tc>
        <w:tc>
          <w:tcPr>
            <w:tcW w:w="1000" w:type="pct"/>
          </w:tcPr>
          <w:p w:rsidR="00187BF0" w:rsidRPr="00187BF0" w:rsidRDefault="00187BF0" w:rsidP="00E911B5">
            <w:pPr>
              <w:rPr>
                <w:rFonts w:ascii="Times New Roman" w:hAnsi="Times New Roman" w:cs="Times New Roman"/>
              </w:rPr>
            </w:pPr>
            <w:r w:rsidRPr="00187BF0">
              <w:rPr>
                <w:rFonts w:ascii="Times New Roman" w:hAnsi="Times New Roman" w:cs="Times New Roman"/>
              </w:rPr>
              <w:t xml:space="preserve"> 597</w:t>
            </w:r>
          </w:p>
        </w:tc>
      </w:tr>
    </w:tbl>
    <w:p w:rsidR="00187BF0" w:rsidRDefault="00187BF0" w:rsidP="00187BF0">
      <w:pPr>
        <w:rPr>
          <w:rFonts w:ascii="Times New Roman" w:hAnsi="Times New Roman" w:cs="Times New Roman"/>
        </w:rPr>
      </w:pPr>
    </w:p>
    <w:p w:rsidR="00E72076" w:rsidRDefault="00E72076" w:rsidP="00E72076">
      <w:pPr>
        <w:tabs>
          <w:tab w:val="left" w:pos="5355"/>
        </w:tabs>
        <w:rPr>
          <w:rFonts w:ascii="Times New Roman" w:hAnsi="Times New Roman" w:cs="Times New Roman"/>
        </w:rPr>
      </w:pPr>
      <w:r>
        <w:rPr>
          <w:rFonts w:ascii="Times New Roman" w:hAnsi="Times New Roman" w:cs="Times New Roman"/>
        </w:rPr>
        <w:tab/>
      </w:r>
    </w:p>
    <w:p w:rsidR="00A05D45" w:rsidRDefault="00A05D45" w:rsidP="00187BF0">
      <w:pPr>
        <w:rPr>
          <w:rFonts w:ascii="Times New Roman" w:hAnsi="Times New Roman" w:cs="Times New Roman"/>
        </w:rPr>
      </w:pPr>
    </w:p>
    <w:p w:rsidR="00A05D45" w:rsidRDefault="00A05D45" w:rsidP="00187BF0">
      <w:pPr>
        <w:rPr>
          <w:rFonts w:ascii="Times New Roman" w:hAnsi="Times New Roman" w:cs="Times New Roman"/>
        </w:rPr>
      </w:pPr>
    </w:p>
    <w:p w:rsidR="00A05D45" w:rsidRDefault="00A05D45" w:rsidP="00187BF0">
      <w:pPr>
        <w:rPr>
          <w:rFonts w:ascii="Times New Roman" w:hAnsi="Times New Roman" w:cs="Times New Roman"/>
        </w:rPr>
      </w:pPr>
    </w:p>
    <w:p w:rsidR="00A05D45" w:rsidRDefault="00A05D45" w:rsidP="00187BF0">
      <w:pPr>
        <w:rPr>
          <w:rFonts w:ascii="Times New Roman" w:hAnsi="Times New Roman" w:cs="Times New Roman"/>
        </w:rPr>
      </w:pPr>
    </w:p>
    <w:p w:rsidR="00E72076" w:rsidRDefault="00E72076" w:rsidP="00187BF0">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posOffset>3495675</wp:posOffset>
            </wp:positionH>
            <wp:positionV relativeFrom="margin">
              <wp:posOffset>6496050</wp:posOffset>
            </wp:positionV>
            <wp:extent cx="3173095" cy="1581150"/>
            <wp:effectExtent l="19050" t="0" r="8255" b="0"/>
            <wp:wrapSquare wrapText="bothSides"/>
            <wp:docPr id="8" name="Picture 3" descr="Figure_3_Subject_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ubject_Return.png"/>
                    <pic:cNvPicPr/>
                  </pic:nvPicPr>
                  <pic:blipFill>
                    <a:blip r:embed="rId6" cstate="print"/>
                    <a:stretch>
                      <a:fillRect/>
                    </a:stretch>
                  </pic:blipFill>
                  <pic:spPr>
                    <a:xfrm>
                      <a:off x="0" y="0"/>
                      <a:ext cx="3173095" cy="1581150"/>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0288" behindDoc="0" locked="0" layoutInCell="1" allowOverlap="1">
            <wp:simplePos x="0" y="0"/>
            <wp:positionH relativeFrom="margin">
              <wp:posOffset>-285750</wp:posOffset>
            </wp:positionH>
            <wp:positionV relativeFrom="margin">
              <wp:posOffset>6496050</wp:posOffset>
            </wp:positionV>
            <wp:extent cx="3219450" cy="1581150"/>
            <wp:effectExtent l="19050" t="0" r="0" b="0"/>
            <wp:wrapSquare wrapText="bothSides"/>
            <wp:docPr id="7" name="Picture 6" descr="Figure_4_Subject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ubject_Volume.png"/>
                    <pic:cNvPicPr/>
                  </pic:nvPicPr>
                  <pic:blipFill>
                    <a:blip r:embed="rId7" cstate="print"/>
                    <a:stretch>
                      <a:fillRect/>
                    </a:stretch>
                  </pic:blipFill>
                  <pic:spPr>
                    <a:xfrm>
                      <a:off x="0" y="0"/>
                      <a:ext cx="3219450" cy="1581150"/>
                    </a:xfrm>
                    <a:prstGeom prst="rect">
                      <a:avLst/>
                    </a:prstGeom>
                  </pic:spPr>
                </pic:pic>
              </a:graphicData>
            </a:graphic>
          </wp:anchor>
        </w:drawing>
      </w:r>
    </w:p>
    <w:p w:rsidR="0014155B" w:rsidRDefault="0014155B" w:rsidP="0014155B">
      <w:pPr>
        <w:rPr>
          <w:rFonts w:ascii="Times New Roman" w:hAnsi="Times New Roman" w:cs="Times New Roman"/>
        </w:rPr>
      </w:pPr>
    </w:p>
    <w:p w:rsidR="0014155B" w:rsidRPr="0014155B" w:rsidRDefault="0014155B" w:rsidP="0014155B">
      <w:pPr>
        <w:rPr>
          <w:rFonts w:ascii="Times New Roman" w:hAnsi="Times New Roman" w:cs="Times New Roman"/>
          <w:b/>
          <w:sz w:val="24"/>
          <w:szCs w:val="24"/>
        </w:rPr>
      </w:pPr>
      <w:r>
        <w:rPr>
          <w:rFonts w:ascii="Times New Roman" w:hAnsi="Times New Roman" w:cs="Times New Roman"/>
          <w:b/>
          <w:sz w:val="24"/>
          <w:szCs w:val="24"/>
        </w:rPr>
        <w:t xml:space="preserve">17. </w:t>
      </w:r>
      <w:r w:rsidRPr="0014155B">
        <w:rPr>
          <w:rFonts w:ascii="Times New Roman" w:hAnsi="Times New Roman" w:cs="Times New Roman"/>
          <w:b/>
          <w:sz w:val="24"/>
          <w:szCs w:val="24"/>
        </w:rPr>
        <w:t>Stock-wise Results</w:t>
      </w:r>
    </w:p>
    <w:p w:rsidR="0014155B" w:rsidRPr="0014155B" w:rsidRDefault="0014155B" w:rsidP="0014155B">
      <w:pPr>
        <w:rPr>
          <w:rFonts w:ascii="Times New Roman" w:hAnsi="Times New Roman" w:cs="Times New Roman"/>
        </w:rPr>
      </w:pPr>
      <w:r w:rsidRPr="0014155B">
        <w:rPr>
          <w:rFonts w:ascii="Times New Roman" w:hAnsi="Times New Roman" w:cs="Times New Roman"/>
        </w:rPr>
        <w:t>PEAD results varied substantially across stocks. HAL and RVNL showed the strongest positive post-earnings drift, while HDFCBANK remained negative. RELIANCE showed relatively weak drift, and NYKAA became more positive at longer horizons.</w:t>
      </w:r>
    </w:p>
    <w:p w:rsidR="0014155B" w:rsidRPr="0014155B" w:rsidRDefault="0014155B" w:rsidP="0014155B">
      <w:pPr>
        <w:rPr>
          <w:rFonts w:ascii="Times New Roman" w:hAnsi="Times New Roman" w:cs="Times New Roman"/>
        </w:rPr>
      </w:pPr>
    </w:p>
    <w:p w:rsidR="0014155B" w:rsidRPr="0014155B" w:rsidRDefault="0014155B" w:rsidP="0014155B">
      <w:pPr>
        <w:jc w:val="center"/>
        <w:rPr>
          <w:rFonts w:ascii="Times New Roman" w:hAnsi="Times New Roman" w:cs="Times New Roman"/>
          <w:b/>
          <w:sz w:val="24"/>
          <w:szCs w:val="24"/>
        </w:rPr>
      </w:pPr>
      <w:r w:rsidRPr="0014155B">
        <w:rPr>
          <w:rFonts w:ascii="Times New Roman" w:hAnsi="Times New Roman" w:cs="Times New Roman"/>
          <w:b/>
          <w:sz w:val="24"/>
          <w:szCs w:val="24"/>
        </w:rPr>
        <w:t>Table 3: Stock-wise PEAD Results</w:t>
      </w:r>
    </w:p>
    <w:tbl>
      <w:tblPr>
        <w:tblStyle w:val="TableGrid"/>
        <w:tblW w:w="5000" w:type="pct"/>
        <w:tblLook w:val="04A0"/>
      </w:tblPr>
      <w:tblGrid>
        <w:gridCol w:w="1427"/>
        <w:gridCol w:w="1358"/>
        <w:gridCol w:w="1358"/>
        <w:gridCol w:w="1358"/>
        <w:gridCol w:w="1358"/>
        <w:gridCol w:w="1358"/>
        <w:gridCol w:w="1359"/>
      </w:tblGrid>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Stock</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Events</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D0 Mean (%)</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D+1 Mean (%)</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D+5 Mean (%)</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D+10 Mean (%)</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D+20 Mean (%)</w:t>
            </w:r>
          </w:p>
        </w:tc>
      </w:tr>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HAL</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11</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0.859</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0.280</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1.623</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1.552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6.341</w:t>
            </w:r>
          </w:p>
        </w:tc>
      </w:tr>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HDFCBANK</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6</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-0.397</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-0.101</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-1.132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-0.884</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-2.013</w:t>
            </w:r>
          </w:p>
        </w:tc>
      </w:tr>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NYKAA</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0.172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-0.402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0.694</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1.294</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3.727</w:t>
            </w:r>
          </w:p>
        </w:tc>
      </w:tr>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RELIANCE</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0.048</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-0.333</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0.505</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-0.256</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0.556</w:t>
            </w:r>
          </w:p>
        </w:tc>
      </w:tr>
      <w:tr w:rsidR="0014155B" w:rsidRPr="0014155B" w:rsidTr="0014155B">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RVNL</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11</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-2.189</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-0.632</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2.415</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2.748</w:t>
            </w:r>
          </w:p>
        </w:tc>
        <w:tc>
          <w:tcPr>
            <w:tcW w:w="714" w:type="pct"/>
          </w:tcPr>
          <w:p w:rsidR="0014155B" w:rsidRPr="0014155B" w:rsidRDefault="0014155B" w:rsidP="007A5E0B">
            <w:pPr>
              <w:rPr>
                <w:rFonts w:ascii="Times New Roman" w:hAnsi="Times New Roman" w:cs="Times New Roman"/>
              </w:rPr>
            </w:pPr>
            <w:r w:rsidRPr="0014155B">
              <w:rPr>
                <w:rFonts w:ascii="Times New Roman" w:hAnsi="Times New Roman" w:cs="Times New Roman"/>
              </w:rPr>
              <w:t xml:space="preserve"> 3.205</w:t>
            </w:r>
          </w:p>
        </w:tc>
      </w:tr>
    </w:tbl>
    <w:p w:rsidR="0014155B" w:rsidRPr="0014155B" w:rsidRDefault="0014155B" w:rsidP="0014155B">
      <w:pPr>
        <w:rPr>
          <w:rFonts w:ascii="Times New Roman" w:hAnsi="Times New Roman" w:cs="Times New Roman"/>
        </w:rPr>
      </w:pPr>
    </w:p>
    <w:p w:rsidR="0014155B" w:rsidRDefault="0014155B" w:rsidP="0014155B">
      <w:pPr>
        <w:rPr>
          <w:rFonts w:ascii="Times New Roman" w:hAnsi="Times New Roman" w:cs="Times New Roman"/>
        </w:rPr>
      </w:pPr>
      <w:r w:rsidRPr="0014155B">
        <w:rPr>
          <w:rFonts w:ascii="Times New Roman" w:hAnsi="Times New Roman" w:cs="Times New Roman"/>
        </w:rPr>
        <w:t>Note: Event counts represent independent earnings events. The usable sample decreases at longer horizons because recent announcements do not yet have complete D+10 or D+20 trading-session windows.</w:t>
      </w:r>
    </w:p>
    <w:p w:rsidR="0014155B" w:rsidRPr="0014155B" w:rsidRDefault="0014155B" w:rsidP="0014155B">
      <w:pPr>
        <w:rPr>
          <w:rFonts w:ascii="Times New Roman" w:hAnsi="Times New Roman" w:cs="Times New Roman"/>
        </w:rPr>
      </w:pPr>
    </w:p>
    <w:p w:rsidR="0014155B" w:rsidRPr="0014155B" w:rsidRDefault="0014155B" w:rsidP="0014155B">
      <w:pPr>
        <w:rPr>
          <w:rFonts w:ascii="Times New Roman" w:hAnsi="Times New Roman" w:cs="Times New Roman"/>
          <w:b/>
          <w:sz w:val="24"/>
          <w:szCs w:val="24"/>
        </w:rPr>
      </w:pPr>
      <w:r w:rsidRPr="0014155B">
        <w:rPr>
          <w:rFonts w:ascii="Times New Roman" w:hAnsi="Times New Roman" w:cs="Times New Roman"/>
          <w:b/>
          <w:sz w:val="24"/>
          <w:szCs w:val="24"/>
        </w:rPr>
        <w:t>18. PEAD Introduction</w:t>
      </w:r>
    </w:p>
    <w:p w:rsidR="0014155B" w:rsidRPr="0014155B" w:rsidRDefault="0014155B" w:rsidP="0014155B">
      <w:pPr>
        <w:rPr>
          <w:rFonts w:ascii="Times New Roman" w:hAnsi="Times New Roman" w:cs="Times New Roman"/>
        </w:rPr>
      </w:pPr>
      <w:r w:rsidRPr="0014155B">
        <w:rPr>
          <w:rFonts w:ascii="Times New Roman" w:hAnsi="Times New Roman" w:cs="Times New Roman"/>
        </w:rPr>
        <w:t>Independent financial-result announcements were examined to test whether the initial earnings-day price response was followed by movement in the same direction over subsequent trading sessions. This is treated as price-conditioned post-earnings drift because analyst-expectation or earnings-surprise data was not available.</w:t>
      </w:r>
    </w:p>
    <w:p w:rsidR="0014155B" w:rsidRDefault="0014155B" w:rsidP="0014155B">
      <w:pPr>
        <w:rPr>
          <w:rFonts w:ascii="Times New Roman" w:hAnsi="Times New Roman" w:cs="Times New Roman"/>
        </w:rPr>
      </w:pPr>
    </w:p>
    <w:p w:rsidR="0014155B" w:rsidRPr="0014155B" w:rsidRDefault="0014155B" w:rsidP="0014155B">
      <w:pPr>
        <w:rPr>
          <w:rFonts w:ascii="Times New Roman" w:hAnsi="Times New Roman" w:cs="Times New Roman"/>
          <w:b/>
          <w:sz w:val="24"/>
          <w:szCs w:val="24"/>
        </w:rPr>
      </w:pPr>
      <w:r w:rsidRPr="0014155B">
        <w:rPr>
          <w:rFonts w:ascii="Times New Roman" w:hAnsi="Times New Roman" w:cs="Times New Roman"/>
          <w:b/>
          <w:sz w:val="24"/>
          <w:szCs w:val="24"/>
        </w:rPr>
        <w:t>19. Earnings Event Identification</w:t>
      </w:r>
    </w:p>
    <w:p w:rsidR="0014155B" w:rsidRPr="0014155B" w:rsidRDefault="0014155B" w:rsidP="0014155B">
      <w:pPr>
        <w:rPr>
          <w:rFonts w:ascii="Times New Roman" w:hAnsi="Times New Roman" w:cs="Times New Roman"/>
        </w:rPr>
      </w:pPr>
      <w:r w:rsidRPr="0014155B">
        <w:rPr>
          <w:rFonts w:ascii="Times New Roman" w:hAnsi="Times New Roman" w:cs="Times New Roman"/>
        </w:rPr>
        <w:t>53 financial-result announcements were identified initially. After correcting for related announcements and clustering, 52 independent earnings events remained. All 52 had sufficient market data for the PEAD analysis.</w:t>
      </w:r>
    </w:p>
    <w:p w:rsidR="0014155B" w:rsidRPr="0014155B" w:rsidRDefault="0014155B" w:rsidP="0014155B">
      <w:pPr>
        <w:rPr>
          <w:rFonts w:ascii="Times New Roman" w:hAnsi="Times New Roman" w:cs="Times New Roman"/>
        </w:rPr>
      </w:pPr>
    </w:p>
    <w:p w:rsidR="0014155B" w:rsidRPr="0014155B" w:rsidRDefault="0014155B" w:rsidP="0014155B">
      <w:pPr>
        <w:rPr>
          <w:rFonts w:ascii="Times New Roman" w:hAnsi="Times New Roman" w:cs="Times New Roman"/>
          <w:b/>
          <w:sz w:val="24"/>
          <w:szCs w:val="24"/>
        </w:rPr>
      </w:pPr>
      <w:r w:rsidRPr="0014155B">
        <w:rPr>
          <w:rFonts w:ascii="Times New Roman" w:hAnsi="Times New Roman" w:cs="Times New Roman"/>
          <w:b/>
          <w:sz w:val="24"/>
          <w:szCs w:val="24"/>
        </w:rPr>
        <w:t>20. D0 Methodology</w:t>
      </w:r>
    </w:p>
    <w:p w:rsidR="00A05D45" w:rsidRDefault="0014155B" w:rsidP="0014155B">
      <w:pPr>
        <w:rPr>
          <w:rFonts w:ascii="Times New Roman" w:hAnsi="Times New Roman" w:cs="Times New Roman"/>
        </w:rPr>
      </w:pPr>
      <w:r w:rsidRPr="0014155B">
        <w:rPr>
          <w:rFonts w:ascii="Times New Roman" w:hAnsi="Times New Roman" w:cs="Times New Roman"/>
        </w:rPr>
        <w:t>D0 represents the first trading session in which the earnings information could be acted upon. The initial reaction was measured from the last available pre-announcement price to the D0 closing price. Subsequent returns were measured at D+1, D+3, D+5, D+10 and D+20.</w:t>
      </w:r>
    </w:p>
    <w:p w:rsidR="00217085" w:rsidRPr="00217085" w:rsidRDefault="00217085" w:rsidP="00217085">
      <w:pPr>
        <w:rPr>
          <w:rFonts w:ascii="Times New Roman" w:hAnsi="Times New Roman" w:cs="Times New Roman"/>
          <w:b/>
          <w:sz w:val="24"/>
          <w:szCs w:val="24"/>
        </w:rPr>
      </w:pPr>
      <w:r w:rsidRPr="00217085">
        <w:rPr>
          <w:rFonts w:ascii="Times New Roman" w:hAnsi="Times New Roman" w:cs="Times New Roman"/>
          <w:b/>
          <w:sz w:val="24"/>
          <w:szCs w:val="24"/>
        </w:rPr>
        <w:lastRenderedPageBreak/>
        <w:t>21. Post-Earnings Announcement Drift Results</w:t>
      </w:r>
    </w:p>
    <w:p w:rsidR="00217085" w:rsidRPr="00217085" w:rsidRDefault="00217085" w:rsidP="00217085">
      <w:pPr>
        <w:rPr>
          <w:rFonts w:ascii="Times New Roman" w:hAnsi="Times New Roman" w:cs="Times New Roman"/>
        </w:rPr>
      </w:pPr>
    </w:p>
    <w:p w:rsidR="00217085" w:rsidRPr="00217085" w:rsidRDefault="00217085" w:rsidP="00217085">
      <w:pPr>
        <w:rPr>
          <w:rFonts w:ascii="Times New Roman" w:hAnsi="Times New Roman" w:cs="Times New Roman"/>
        </w:rPr>
      </w:pPr>
      <w:r w:rsidRPr="00217085">
        <w:rPr>
          <w:rFonts w:ascii="Times New Roman" w:hAnsi="Times New Roman" w:cs="Times New Roman"/>
        </w:rPr>
        <w:t>Across 52 independent earnings events, the average D0 reaction was -0.276%, followed by -0.256% at D+1 and positive average returns from D+3 onward. The mean drift reached 1.</w:t>
      </w:r>
      <w:r>
        <w:rPr>
          <w:rFonts w:ascii="Times New Roman" w:hAnsi="Times New Roman" w:cs="Times New Roman"/>
        </w:rPr>
        <w:t>000% at D+5 and 2.675% at D+20.</w:t>
      </w:r>
    </w:p>
    <w:p w:rsidR="00217085" w:rsidRPr="00217085" w:rsidRDefault="00217085" w:rsidP="00217085">
      <w:pPr>
        <w:rPr>
          <w:rFonts w:ascii="Times New Roman" w:hAnsi="Times New Roman" w:cs="Times New Roman"/>
        </w:rPr>
      </w:pPr>
      <w:r w:rsidRPr="00217085">
        <w:rPr>
          <w:rFonts w:ascii="Times New Roman" w:hAnsi="Times New Roman" w:cs="Times New Roman"/>
        </w:rPr>
        <w:t>However, the results do not provide strong evidence of statistically significant PEAD at the 5% level. The D+20 result was the closest to significance (p = 0.057), while earlier horizons were statistically insignificant.</w:t>
      </w:r>
    </w:p>
    <w:p w:rsidR="00217085" w:rsidRPr="00217085" w:rsidRDefault="00217085" w:rsidP="00217085">
      <w:pPr>
        <w:rPr>
          <w:rFonts w:ascii="Times New Roman" w:hAnsi="Times New Roman" w:cs="Times New Roman"/>
        </w:rPr>
      </w:pPr>
      <w:r w:rsidRPr="00217085">
        <w:rPr>
          <w:rFonts w:ascii="Times New Roman" w:hAnsi="Times New Roman" w:cs="Times New Roman"/>
        </w:rPr>
        <w:t xml:space="preserve">The percentage of events continuing in the initial D0 direction increased from 53.8% at D+1 to 61.5% at D+5 and 74.0% at D+10, before declining to 63.3% at D+20. This suggests some persistence in the price-conditioned direction, but the evidence is not sufficiently consistent to establish </w:t>
      </w:r>
      <w:r>
        <w:rPr>
          <w:rFonts w:ascii="Times New Roman" w:hAnsi="Times New Roman" w:cs="Times New Roman"/>
        </w:rPr>
        <w:t>strong post-earnings drift.</w:t>
      </w:r>
    </w:p>
    <w:p w:rsidR="00217085" w:rsidRPr="00217085" w:rsidRDefault="00217085" w:rsidP="00217085">
      <w:pPr>
        <w:rPr>
          <w:rFonts w:ascii="Times New Roman" w:hAnsi="Times New Roman" w:cs="Times New Roman"/>
        </w:rPr>
      </w:pPr>
      <w:r w:rsidRPr="00217085">
        <w:rPr>
          <w:rFonts w:ascii="Times New Roman" w:hAnsi="Times New Roman" w:cs="Times New Roman"/>
        </w:rPr>
        <w:t>Stock-level results were heterogeneous. HAL showed the strongest positive D+20 drift (+6.341%), followed by NYKAA (+3.727%) and RVNL (+3.205%). HDFCBANK remained negative at D+20 (-2.013%), while RELIANCE showed only a small positive drift (+0.556%).</w:t>
      </w:r>
    </w:p>
    <w:p w:rsidR="00217085" w:rsidRPr="00217085" w:rsidRDefault="00217085" w:rsidP="00217085">
      <w:pPr>
        <w:rPr>
          <w:rFonts w:ascii="Times New Roman" w:hAnsi="Times New Roman" w:cs="Times New Roman"/>
        </w:rPr>
      </w:pPr>
      <w:r w:rsidRPr="00217085">
        <w:rPr>
          <w:rFonts w:ascii="Times New Roman" w:hAnsi="Times New Roman" w:cs="Times New Roman"/>
        </w:rPr>
        <w:t>Overall, the evidence indicates that longer-horizon movement exists after some earnings announcements, but it is inconsistent across stocks and does not provide conclusi</w:t>
      </w:r>
      <w:r>
        <w:rPr>
          <w:rFonts w:ascii="Times New Roman" w:hAnsi="Times New Roman" w:cs="Times New Roman"/>
        </w:rPr>
        <w:t>ve evidence of systematic PEAD.</w:t>
      </w:r>
    </w:p>
    <w:p w:rsidR="00217085" w:rsidRDefault="00217085" w:rsidP="00217085">
      <w:pPr>
        <w:rPr>
          <w:rFonts w:ascii="Times New Roman" w:hAnsi="Times New Roman" w:cs="Times New Roman"/>
        </w:rPr>
      </w:pPr>
      <w:r>
        <w:rPr>
          <w:rFonts w:ascii="Times New Roman" w:hAnsi="Times New Roman" w:cs="Times New Roman"/>
          <w:noProof/>
        </w:rPr>
        <w:drawing>
          <wp:inline distT="0" distB="0" distL="0" distR="0">
            <wp:extent cx="5943600" cy="3263265"/>
            <wp:effectExtent l="19050" t="0" r="0" b="0"/>
            <wp:docPr id="9" name="Picture 8" descr="Figure5_P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PEAD.png"/>
                    <pic:cNvPicPr/>
                  </pic:nvPicPr>
                  <pic:blipFill>
                    <a:blip r:embed="rId8" cstate="print"/>
                    <a:stretch>
                      <a:fillRect/>
                    </a:stretch>
                  </pic:blipFill>
                  <pic:spPr>
                    <a:xfrm>
                      <a:off x="0" y="0"/>
                      <a:ext cx="5943600" cy="3263265"/>
                    </a:xfrm>
                    <a:prstGeom prst="rect">
                      <a:avLst/>
                    </a:prstGeom>
                  </pic:spPr>
                </pic:pic>
              </a:graphicData>
            </a:graphic>
          </wp:inline>
        </w:drawing>
      </w:r>
    </w:p>
    <w:p w:rsidR="00217085" w:rsidRDefault="00217085" w:rsidP="00217085">
      <w:pPr>
        <w:rPr>
          <w:rFonts w:ascii="Times New Roman" w:hAnsi="Times New Roman" w:cs="Times New Roman"/>
        </w:rPr>
      </w:pPr>
      <w:r>
        <w:rPr>
          <w:rFonts w:ascii="Times New Roman" w:hAnsi="Times New Roman" w:cs="Times New Roman"/>
        </w:rPr>
        <w:t xml:space="preserve">Figure </w:t>
      </w:r>
      <w:proofErr w:type="gramStart"/>
      <w:r>
        <w:rPr>
          <w:rFonts w:ascii="Times New Roman" w:hAnsi="Times New Roman" w:cs="Times New Roman"/>
        </w:rPr>
        <w:t xml:space="preserve">5 </w:t>
      </w:r>
      <w:r w:rsidRPr="00217085">
        <w:rPr>
          <w:rFonts w:ascii="Times New Roman" w:hAnsi="Times New Roman" w:cs="Times New Roman"/>
        </w:rPr>
        <w:t>:</w:t>
      </w:r>
      <w:proofErr w:type="gramEnd"/>
      <w:r w:rsidRPr="00217085">
        <w:rPr>
          <w:rFonts w:ascii="Times New Roman" w:hAnsi="Times New Roman" w:cs="Times New Roman"/>
        </w:rPr>
        <w:t xml:space="preserve"> Mean post-earnings returns across D0, D+1, D+3, D+5, D+10 and D+20. The figure illustrates the gradual increase in pooled mean returns, while statistical testing indicates that the observed drift is not statistically significant at the conventional 5% level.</w:t>
      </w:r>
    </w:p>
    <w:p w:rsidR="00E850FF" w:rsidRDefault="00E850FF" w:rsidP="00E850FF">
      <w:pPr>
        <w:rPr>
          <w:rFonts w:ascii="Times New Roman" w:hAnsi="Times New Roman" w:cs="Times New Roman"/>
        </w:rPr>
      </w:pPr>
    </w:p>
    <w:p w:rsidR="00E850FF" w:rsidRPr="00E850FF" w:rsidRDefault="00E850FF" w:rsidP="00E850FF">
      <w:pPr>
        <w:rPr>
          <w:rFonts w:ascii="Times New Roman" w:hAnsi="Times New Roman" w:cs="Times New Roman"/>
          <w:b/>
          <w:sz w:val="24"/>
          <w:szCs w:val="24"/>
        </w:rPr>
      </w:pPr>
      <w:r w:rsidRPr="00E850FF">
        <w:rPr>
          <w:rFonts w:ascii="Times New Roman" w:hAnsi="Times New Roman" w:cs="Times New Roman"/>
          <w:b/>
          <w:sz w:val="24"/>
          <w:szCs w:val="24"/>
        </w:rPr>
        <w:lastRenderedPageBreak/>
        <w:t>Key Findings</w:t>
      </w:r>
    </w:p>
    <w:p w:rsidR="00E850FF" w:rsidRPr="00E850FF" w:rsidRDefault="00E850FF" w:rsidP="00E850FF">
      <w:pPr>
        <w:rPr>
          <w:rFonts w:ascii="Times New Roman" w:hAnsi="Times New Roman" w:cs="Times New Roman"/>
        </w:rPr>
      </w:pPr>
      <w:r w:rsidRPr="00E850FF">
        <w:rPr>
          <w:rFonts w:ascii="Times New Roman" w:hAnsi="Times New Roman" w:cs="Times New Roman"/>
        </w:rPr>
        <w:t>1. 2,396 independent events were identified across seven subject groups after event clustering and correction.</w:t>
      </w:r>
    </w:p>
    <w:p w:rsidR="00E850FF" w:rsidRPr="00E850FF" w:rsidRDefault="00E850FF" w:rsidP="00E850FF">
      <w:pPr>
        <w:rPr>
          <w:rFonts w:ascii="Times New Roman" w:hAnsi="Times New Roman" w:cs="Times New Roman"/>
        </w:rPr>
      </w:pPr>
      <w:r w:rsidRPr="00E850FF">
        <w:rPr>
          <w:rFonts w:ascii="Times New Roman" w:hAnsi="Times New Roman" w:cs="Times New Roman"/>
        </w:rPr>
        <w:t>2. Orders / Business announcements had the highest mean close return (+0.903%), while Financial Results had the lowest (-0.416%).</w:t>
      </w:r>
    </w:p>
    <w:p w:rsidR="00E850FF" w:rsidRPr="00E850FF" w:rsidRDefault="00E850FF" w:rsidP="00E850FF">
      <w:pPr>
        <w:rPr>
          <w:rFonts w:ascii="Times New Roman" w:hAnsi="Times New Roman" w:cs="Times New Roman"/>
        </w:rPr>
      </w:pPr>
      <w:r w:rsidRPr="00E850FF">
        <w:rPr>
          <w:rFonts w:ascii="Times New Roman" w:hAnsi="Times New Roman" w:cs="Times New Roman"/>
        </w:rPr>
        <w:t>3. Financial Results generated the highest mean volume impact (+476.515%), indicating substantially elevated trading activity.</w:t>
      </w:r>
    </w:p>
    <w:p w:rsidR="00E850FF" w:rsidRPr="00E850FF" w:rsidRDefault="00E850FF" w:rsidP="00E850FF">
      <w:pPr>
        <w:rPr>
          <w:rFonts w:ascii="Times New Roman" w:hAnsi="Times New Roman" w:cs="Times New Roman"/>
        </w:rPr>
      </w:pPr>
      <w:r w:rsidRPr="00E850FF">
        <w:rPr>
          <w:rFonts w:ascii="Times New Roman" w:hAnsi="Times New Roman" w:cs="Times New Roman"/>
        </w:rPr>
        <w:t>4. RVNL recorded the highest stock-level mean close return (+0.563%), followed by HAL (+0.403%).</w:t>
      </w:r>
    </w:p>
    <w:p w:rsidR="00E850FF" w:rsidRPr="00E850FF" w:rsidRDefault="00E850FF" w:rsidP="00E850FF">
      <w:pPr>
        <w:rPr>
          <w:rFonts w:ascii="Times New Roman" w:hAnsi="Times New Roman" w:cs="Times New Roman"/>
        </w:rPr>
      </w:pPr>
      <w:r w:rsidRPr="00E850FF">
        <w:rPr>
          <w:rFonts w:ascii="Times New Roman" w:hAnsi="Times New Roman" w:cs="Times New Roman"/>
        </w:rPr>
        <w:t>5. Overall mean close return was +0.177%, while the median was +0.038%, indicating some influence from large positive observations.</w:t>
      </w:r>
    </w:p>
    <w:p w:rsidR="00E850FF" w:rsidRPr="00E850FF" w:rsidRDefault="00E850FF" w:rsidP="00E850FF">
      <w:pPr>
        <w:rPr>
          <w:rFonts w:ascii="Times New Roman" w:hAnsi="Times New Roman" w:cs="Times New Roman"/>
        </w:rPr>
      </w:pPr>
      <w:r w:rsidRPr="00E850FF">
        <w:rPr>
          <w:rFonts w:ascii="Times New Roman" w:hAnsi="Times New Roman" w:cs="Times New Roman"/>
        </w:rPr>
        <w:t>6. Mean volume impact was +81.542%, with a highly significant test result (p &lt; 0.001).</w:t>
      </w:r>
    </w:p>
    <w:p w:rsidR="00E850FF" w:rsidRPr="00E850FF" w:rsidRDefault="00E850FF" w:rsidP="00E850FF">
      <w:pPr>
        <w:rPr>
          <w:rFonts w:ascii="Times New Roman" w:hAnsi="Times New Roman" w:cs="Times New Roman"/>
        </w:rPr>
      </w:pPr>
      <w:r w:rsidRPr="00E850FF">
        <w:rPr>
          <w:rFonts w:ascii="Times New Roman" w:hAnsi="Times New Roman" w:cs="Times New Roman"/>
        </w:rPr>
        <w:t>7. 597 events (23.6%) were classified as strong-impact events using the predefined price-volume criteria.</w:t>
      </w:r>
    </w:p>
    <w:p w:rsidR="00E850FF" w:rsidRPr="00E850FF" w:rsidRDefault="00E850FF" w:rsidP="00E850FF">
      <w:pPr>
        <w:rPr>
          <w:rFonts w:ascii="Times New Roman" w:hAnsi="Times New Roman" w:cs="Times New Roman"/>
        </w:rPr>
      </w:pPr>
      <w:r w:rsidRPr="00E850FF">
        <w:rPr>
          <w:rFonts w:ascii="Times New Roman" w:hAnsi="Times New Roman" w:cs="Times New Roman"/>
        </w:rPr>
        <w:t>8. Among 52 independent earnings events, mean post-earnings return increased to +2.675% at D+20, but the result was not significant at the 5% level (p = 0.057).</w:t>
      </w:r>
    </w:p>
    <w:p w:rsidR="00E850FF" w:rsidRPr="00E850FF" w:rsidRDefault="00E850FF" w:rsidP="00E850FF">
      <w:pPr>
        <w:rPr>
          <w:rFonts w:ascii="Times New Roman" w:hAnsi="Times New Roman" w:cs="Times New Roman"/>
        </w:rPr>
      </w:pPr>
      <w:r w:rsidRPr="00E850FF">
        <w:rPr>
          <w:rFonts w:ascii="Times New Roman" w:hAnsi="Times New Roman" w:cs="Times New Roman"/>
        </w:rPr>
        <w:t>9. PEAD continuation reached 74.0% at D+10, but varied considerably across stocks, indicating hetero</w:t>
      </w:r>
      <w:r>
        <w:rPr>
          <w:rFonts w:ascii="Times New Roman" w:hAnsi="Times New Roman" w:cs="Times New Roman"/>
        </w:rPr>
        <w:t>geneous post-earnings behavior.</w:t>
      </w:r>
    </w:p>
    <w:p w:rsidR="00E850FF" w:rsidRDefault="00E850FF" w:rsidP="00E850FF">
      <w:pPr>
        <w:rPr>
          <w:rFonts w:ascii="Times New Roman" w:hAnsi="Times New Roman" w:cs="Times New Roman"/>
        </w:rPr>
      </w:pPr>
      <w:r>
        <w:rPr>
          <w:rFonts w:ascii="Times New Roman" w:hAnsi="Times New Roman" w:cs="Times New Roman"/>
        </w:rPr>
        <w:t>Interpretation</w:t>
      </w:r>
    </w:p>
    <w:p w:rsidR="00E850FF" w:rsidRPr="00E850FF" w:rsidRDefault="00E850FF" w:rsidP="00E850FF">
      <w:pPr>
        <w:rPr>
          <w:rFonts w:ascii="Times New Roman" w:hAnsi="Times New Roman" w:cs="Times New Roman"/>
        </w:rPr>
      </w:pPr>
      <w:r w:rsidRPr="00E850FF">
        <w:rPr>
          <w:rFonts w:ascii="Times New Roman" w:hAnsi="Times New Roman" w:cs="Times New Roman"/>
        </w:rPr>
        <w:t>Corporate announcements were associated with measurable changes in both price and trading activity, but the magnitude differed substantially by announcement type and company. The strongest evidence was observed in trading volume. The post-earnings analysis showed some longer-horizon persistence, but the evidence was insufficient to conclude that systematic PEAD exists in the sample.</w:t>
      </w:r>
    </w:p>
    <w:p w:rsidR="00E850FF" w:rsidRPr="00E850FF" w:rsidRDefault="00E850FF" w:rsidP="00E850FF">
      <w:pPr>
        <w:rPr>
          <w:rFonts w:ascii="Times New Roman" w:hAnsi="Times New Roman" w:cs="Times New Roman"/>
        </w:rPr>
      </w:pPr>
      <w:r>
        <w:rPr>
          <w:rFonts w:ascii="Times New Roman" w:hAnsi="Times New Roman" w:cs="Times New Roman"/>
        </w:rPr>
        <w:t>Limitations</w:t>
      </w:r>
    </w:p>
    <w:p w:rsidR="00E850FF" w:rsidRPr="00E850FF" w:rsidRDefault="00E850FF" w:rsidP="00E850FF">
      <w:pPr>
        <w:rPr>
          <w:rFonts w:ascii="Times New Roman" w:hAnsi="Times New Roman" w:cs="Times New Roman"/>
        </w:rPr>
      </w:pPr>
      <w:r w:rsidRPr="00E850FF">
        <w:rPr>
          <w:rFonts w:ascii="Times New Roman" w:hAnsi="Times New Roman" w:cs="Times New Roman"/>
        </w:rPr>
        <w:t>The analysis covers only five BSE-listed companies and the supplied observation period. Extreme price and volume observations can influence means. Later PEAD horizons have smaller samples because recent event</w:t>
      </w:r>
      <w:r>
        <w:rPr>
          <w:rFonts w:ascii="Times New Roman" w:hAnsi="Times New Roman" w:cs="Times New Roman"/>
        </w:rPr>
        <w:t>s lack complete forward windows</w:t>
      </w:r>
      <w:r w:rsidRPr="00E850FF">
        <w:rPr>
          <w:rFonts w:ascii="Times New Roman" w:hAnsi="Times New Roman" w:cs="Times New Roman"/>
        </w:rPr>
        <w:t>.</w:t>
      </w:r>
    </w:p>
    <w:p w:rsidR="00E850FF" w:rsidRPr="00E850FF" w:rsidRDefault="00E850FF" w:rsidP="00E850FF">
      <w:pPr>
        <w:rPr>
          <w:rFonts w:ascii="Times New Roman" w:hAnsi="Times New Roman" w:cs="Times New Roman"/>
          <w:b/>
          <w:sz w:val="24"/>
          <w:szCs w:val="24"/>
        </w:rPr>
      </w:pPr>
      <w:r w:rsidRPr="00E850FF">
        <w:rPr>
          <w:rFonts w:ascii="Times New Roman" w:hAnsi="Times New Roman" w:cs="Times New Roman"/>
          <w:b/>
          <w:sz w:val="24"/>
          <w:szCs w:val="24"/>
        </w:rPr>
        <w:t>Conclusion</w:t>
      </w:r>
      <w:r>
        <w:rPr>
          <w:rFonts w:ascii="Times New Roman" w:hAnsi="Times New Roman" w:cs="Times New Roman"/>
          <w:b/>
          <w:sz w:val="24"/>
          <w:szCs w:val="24"/>
        </w:rPr>
        <w:t>:-</w:t>
      </w:r>
    </w:p>
    <w:p w:rsidR="00E850FF" w:rsidRPr="00E850FF" w:rsidRDefault="00E850FF" w:rsidP="00E850FF">
      <w:pPr>
        <w:rPr>
          <w:rFonts w:ascii="Times New Roman" w:hAnsi="Times New Roman" w:cs="Times New Roman"/>
        </w:rPr>
      </w:pPr>
      <w:r w:rsidRPr="00E850FF">
        <w:rPr>
          <w:rFonts w:ascii="Times New Roman" w:hAnsi="Times New Roman" w:cs="Times New Roman"/>
        </w:rPr>
        <w:t>The analysis shows that corporate announcements can coincide with meaningful changes in stock returns and trading volume. Effects vary across subjects and companies, with volume responses generally more</w:t>
      </w:r>
      <w:r>
        <w:rPr>
          <w:rFonts w:ascii="Times New Roman" w:hAnsi="Times New Roman" w:cs="Times New Roman"/>
        </w:rPr>
        <w:t xml:space="preserve"> </w:t>
      </w:r>
      <w:r w:rsidRPr="00E850FF">
        <w:rPr>
          <w:rFonts w:ascii="Times New Roman" w:hAnsi="Times New Roman" w:cs="Times New Roman"/>
        </w:rPr>
        <w:t>pronounced than short-term price responses</w:t>
      </w:r>
      <w:proofErr w:type="gramStart"/>
      <w:r w:rsidRPr="00E850FF">
        <w:rPr>
          <w:rFonts w:ascii="Times New Roman" w:hAnsi="Times New Roman" w:cs="Times New Roman"/>
        </w:rPr>
        <w:t>..</w:t>
      </w:r>
      <w:proofErr w:type="gramEnd"/>
    </w:p>
    <w:p w:rsidR="00217085" w:rsidRPr="00E850FF" w:rsidRDefault="00E850FF" w:rsidP="00217085">
      <w:pPr>
        <w:rPr>
          <w:rFonts w:ascii="Times New Roman" w:hAnsi="Times New Roman" w:cs="Times New Roman"/>
          <w:b/>
          <w:sz w:val="24"/>
          <w:szCs w:val="24"/>
        </w:rPr>
      </w:pPr>
      <w:r w:rsidRPr="00E850FF">
        <w:rPr>
          <w:rFonts w:ascii="Times New Roman" w:hAnsi="Times New Roman" w:cs="Times New Roman"/>
          <w:b/>
          <w:sz w:val="24"/>
          <w:szCs w:val="24"/>
        </w:rPr>
        <w:t xml:space="preserve">AI </w:t>
      </w:r>
      <w:proofErr w:type="gramStart"/>
      <w:r w:rsidRPr="00E850FF">
        <w:rPr>
          <w:rFonts w:ascii="Times New Roman" w:hAnsi="Times New Roman" w:cs="Times New Roman"/>
          <w:b/>
          <w:sz w:val="24"/>
          <w:szCs w:val="24"/>
        </w:rPr>
        <w:t>Disclosure</w:t>
      </w:r>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r w:rsidRPr="00E850FF">
        <w:rPr>
          <w:rFonts w:ascii="Times New Roman" w:hAnsi="Times New Roman" w:cs="Times New Roman"/>
        </w:rPr>
        <w:t>AI-assisted tools were used during the analysis and report preparation for code assistance, debugging, structuring the methodology, and improving report wording. All analytical decisions, outputs, calculations, and final interpretations were reviewed against the supplied data and assessment requirements.</w:t>
      </w:r>
    </w:p>
    <w:sectPr w:rsidR="00217085" w:rsidRPr="00E850FF" w:rsidSect="00F950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2A57"/>
    <w:rsid w:val="0014155B"/>
    <w:rsid w:val="00187BF0"/>
    <w:rsid w:val="00217085"/>
    <w:rsid w:val="002A766F"/>
    <w:rsid w:val="00312E78"/>
    <w:rsid w:val="00431CFF"/>
    <w:rsid w:val="00482A57"/>
    <w:rsid w:val="00A05D45"/>
    <w:rsid w:val="00A9620A"/>
    <w:rsid w:val="00BB14CB"/>
    <w:rsid w:val="00C85DCB"/>
    <w:rsid w:val="00DD14DC"/>
    <w:rsid w:val="00E72076"/>
    <w:rsid w:val="00E850FF"/>
    <w:rsid w:val="00F950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0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7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766F"/>
    <w:rPr>
      <w:rFonts w:ascii="Tahoma" w:hAnsi="Tahoma" w:cs="Tahoma"/>
      <w:sz w:val="16"/>
      <w:szCs w:val="16"/>
    </w:rPr>
  </w:style>
  <w:style w:type="table" w:styleId="TableGrid">
    <w:name w:val="Table Grid"/>
    <w:basedOn w:val="TableNormal"/>
    <w:uiPriority w:val="59"/>
    <w:rsid w:val="00312E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329</TotalTime>
  <Pages>8</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2026-08-30T09:45:00Z</dcterms:created>
  <dcterms:modified xsi:type="dcterms:W3CDTF">2026-08-30T15:14:00Z</dcterms:modified>
</cp:coreProperties>
</file>