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C2A264" w14:textId="6BD7D097" w:rsidR="00550136" w:rsidRDefault="00AA1D86" w:rsidP="007A2835">
      <w:pPr>
        <w:spacing w:line="360" w:lineRule="auto"/>
        <w:jc w:val="center"/>
        <w:rPr>
          <w:rFonts w:ascii="华文中宋" w:eastAsia="华文中宋" w:hAnsi="华文中宋" w:cs="Times New Roman"/>
          <w:sz w:val="28"/>
          <w:szCs w:val="28"/>
        </w:rPr>
      </w:pPr>
      <w:r>
        <w:rPr>
          <w:rFonts w:ascii="华文中宋" w:eastAsia="华文中宋" w:hAnsi="华文中宋" w:cs="Times New Roman" w:hint="eastAsia"/>
          <w:sz w:val="28"/>
          <w:szCs w:val="28"/>
        </w:rPr>
        <w:t>美国经济增长模式解析：表外增长</w:t>
      </w:r>
    </w:p>
    <w:p w14:paraId="711AC0F1" w14:textId="77777777" w:rsidR="00FB5DF4" w:rsidRDefault="00FB5DF4" w:rsidP="007A2835">
      <w:pPr>
        <w:spacing w:line="360" w:lineRule="auto"/>
        <w:jc w:val="center"/>
        <w:rPr>
          <w:rFonts w:cs="Times New Roman"/>
        </w:rPr>
      </w:pPr>
    </w:p>
    <w:p w14:paraId="72793A1C" w14:textId="2ECDD792" w:rsidR="00E60DAD" w:rsidRPr="00E60DAD" w:rsidRDefault="00197777" w:rsidP="003E2133">
      <w:pPr>
        <w:spacing w:line="360" w:lineRule="auto"/>
        <w:jc w:val="center"/>
        <w:rPr>
          <w:rFonts w:cs="Times New Roman"/>
        </w:rPr>
      </w:pPr>
      <w:r w:rsidRPr="00E60DAD">
        <w:rPr>
          <w:rFonts w:cs="Times New Roman" w:hint="eastAsia"/>
        </w:rPr>
        <w:t>郭杰振</w:t>
      </w:r>
      <w:r w:rsidR="003E2133">
        <w:rPr>
          <w:rFonts w:cs="Times New Roman" w:hint="eastAsia"/>
        </w:rPr>
        <w:t xml:space="preserve"> </w:t>
      </w:r>
      <w:r w:rsidR="003E2133">
        <w:rPr>
          <w:rFonts w:cs="Times New Roman"/>
        </w:rPr>
        <w:t xml:space="preserve"> </w:t>
      </w:r>
      <w:r w:rsidR="00E60DAD" w:rsidRPr="00E60DAD">
        <w:rPr>
          <w:rFonts w:cs="Times New Roman" w:hint="eastAsia"/>
        </w:rPr>
        <w:t>周原</w:t>
      </w:r>
    </w:p>
    <w:p w14:paraId="5EDCC78B" w14:textId="77777777" w:rsidR="007A2835" w:rsidRPr="00C3146C" w:rsidRDefault="007A2835" w:rsidP="007762FF">
      <w:pPr>
        <w:spacing w:line="360" w:lineRule="auto"/>
        <w:rPr>
          <w:rFonts w:ascii="Times New Roman" w:hAnsi="Times New Roman" w:cs="Times New Roman"/>
        </w:rPr>
      </w:pPr>
    </w:p>
    <w:p w14:paraId="397487C5" w14:textId="3E93BC82" w:rsidR="00837338" w:rsidRDefault="003E2133" w:rsidP="007762FF">
      <w:pPr>
        <w:spacing w:line="360" w:lineRule="auto"/>
        <w:rPr>
          <w:rFonts w:ascii="Times New Roman" w:hAnsi="Times New Roman" w:cs="Times New Roman"/>
        </w:rPr>
      </w:pPr>
      <w:r>
        <w:rPr>
          <w:rFonts w:ascii="Times New Roman" w:hAnsi="Times New Roman" w:cs="Times New Roman" w:hint="eastAsia"/>
          <w:b/>
          <w:bCs/>
        </w:rPr>
        <w:t>[</w:t>
      </w:r>
      <w:r>
        <w:rPr>
          <w:rFonts w:ascii="Times New Roman" w:hAnsi="Times New Roman" w:cs="Times New Roman" w:hint="eastAsia"/>
          <w:b/>
          <w:bCs/>
        </w:rPr>
        <w:t>内容</w:t>
      </w:r>
      <w:r w:rsidR="00837338" w:rsidRPr="00C3146C">
        <w:rPr>
          <w:rFonts w:ascii="Times New Roman" w:hAnsi="Times New Roman" w:cs="Times New Roman" w:hint="eastAsia"/>
          <w:b/>
          <w:bCs/>
        </w:rPr>
        <w:t>摘要</w:t>
      </w:r>
      <w:r>
        <w:rPr>
          <w:rFonts w:ascii="Times New Roman" w:hAnsi="Times New Roman" w:cs="Times New Roman" w:hint="eastAsia"/>
          <w:b/>
          <w:bCs/>
        </w:rPr>
        <w:t>]</w:t>
      </w:r>
      <w:r>
        <w:rPr>
          <w:rFonts w:ascii="Times New Roman" w:hAnsi="Times New Roman" w:cs="Times New Roman"/>
          <w:b/>
          <w:bCs/>
        </w:rPr>
        <w:t xml:space="preserve"> </w:t>
      </w:r>
      <w:r>
        <w:rPr>
          <w:rFonts w:ascii="Times New Roman" w:hAnsi="Times New Roman" w:cs="Times New Roman" w:hint="eastAsia"/>
          <w:b/>
          <w:bCs/>
        </w:rPr>
        <w:t>二</w:t>
      </w:r>
      <w:r w:rsidR="00837338" w:rsidRPr="00C3146C">
        <w:rPr>
          <w:rFonts w:ascii="Times New Roman" w:hAnsi="Times New Roman" w:cs="Times New Roman" w:hint="eastAsia"/>
        </w:rPr>
        <w:t>战后</w:t>
      </w:r>
      <w:r w:rsidR="00730C7B" w:rsidRPr="00C3146C">
        <w:rPr>
          <w:rFonts w:ascii="Times New Roman" w:hAnsi="Times New Roman" w:cs="Times New Roman" w:hint="eastAsia"/>
        </w:rPr>
        <w:t>，</w:t>
      </w:r>
      <w:r w:rsidR="00837338" w:rsidRPr="00C3146C">
        <w:rPr>
          <w:rFonts w:ascii="Times New Roman" w:hAnsi="Times New Roman" w:cs="Times New Roman" w:hint="eastAsia"/>
        </w:rPr>
        <w:t>美国经济的增长呈现出一种新发展趋势：经济增长的表外化，即以国民经济账户</w:t>
      </w:r>
      <w:r w:rsidR="006A0148">
        <w:rPr>
          <w:rFonts w:ascii="Times New Roman" w:hAnsi="Times New Roman" w:cs="Times New Roman" w:hint="eastAsia"/>
        </w:rPr>
        <w:t>体系</w:t>
      </w:r>
      <w:r w:rsidR="00837338" w:rsidRPr="00C3146C">
        <w:rPr>
          <w:rFonts w:ascii="Times New Roman" w:hAnsi="Times New Roman" w:cs="Times New Roman" w:hint="eastAsia"/>
        </w:rPr>
        <w:t>表外资源的扩张支撑表内支出的持续增长。国民经济账户体系以平均化的数字指标掩盖了上述</w:t>
      </w:r>
      <w:r w:rsidR="00E54BD5" w:rsidRPr="00C3146C">
        <w:rPr>
          <w:rFonts w:ascii="Times New Roman" w:hAnsi="Times New Roman" w:cs="Times New Roman" w:hint="eastAsia"/>
        </w:rPr>
        <w:t>趋势</w:t>
      </w:r>
      <w:r w:rsidR="00837338" w:rsidRPr="00C3146C">
        <w:rPr>
          <w:rFonts w:ascii="Times New Roman" w:hAnsi="Times New Roman" w:cs="Times New Roman" w:hint="eastAsia"/>
        </w:rPr>
        <w:t>，如表内家庭部门收支平衡与表外收支恶化、表内企业利润增速放缓与表外投资带来的利润总额快速增长、表内政府支出平稳与表外债务的急剧膨胀。表内增长的表外化形成了一个又一个阻碍经济增长的藩篱，如</w:t>
      </w:r>
      <w:r w:rsidR="009860B6" w:rsidRPr="00C3146C">
        <w:rPr>
          <w:rFonts w:ascii="Times New Roman" w:hAnsi="Times New Roman" w:cs="Times New Roman" w:hint="eastAsia"/>
        </w:rPr>
        <w:t>家庭部门极端化的收入分配结构、私营公司部门的金融化活动与利润藏匿等</w:t>
      </w:r>
      <w:r w:rsidR="00072B44" w:rsidRPr="00C3146C">
        <w:rPr>
          <w:rFonts w:ascii="Times New Roman" w:hAnsi="Times New Roman" w:cs="Times New Roman" w:hint="eastAsia"/>
        </w:rPr>
        <w:t>。这种趋势</w:t>
      </w:r>
      <w:r w:rsidR="009860B6" w:rsidRPr="00C3146C">
        <w:rPr>
          <w:rFonts w:ascii="Times New Roman" w:hAnsi="Times New Roman" w:cs="Times New Roman" w:hint="eastAsia"/>
        </w:rPr>
        <w:t>迫使政府以三类债务的快速扩张</w:t>
      </w:r>
      <w:r w:rsidR="00E54BD5" w:rsidRPr="00C3146C">
        <w:rPr>
          <w:rFonts w:ascii="Times New Roman" w:hAnsi="Times New Roman" w:cs="Times New Roman" w:hint="eastAsia"/>
        </w:rPr>
        <w:t>为代价，</w:t>
      </w:r>
      <w:r w:rsidR="00E572ED" w:rsidRPr="00C3146C">
        <w:rPr>
          <w:rFonts w:ascii="Times New Roman" w:hAnsi="Times New Roman" w:cs="Times New Roman" w:hint="eastAsia"/>
        </w:rPr>
        <w:t>被动</w:t>
      </w:r>
      <w:r w:rsidR="009860B6" w:rsidRPr="00C3146C">
        <w:rPr>
          <w:rFonts w:ascii="Times New Roman" w:hAnsi="Times New Roman" w:cs="Times New Roman" w:hint="eastAsia"/>
        </w:rPr>
        <w:t>承担越来越多的政策干预预期，</w:t>
      </w:r>
      <w:r w:rsidR="00072B44" w:rsidRPr="00C3146C">
        <w:rPr>
          <w:rFonts w:ascii="Times New Roman" w:hAnsi="Times New Roman" w:cs="Times New Roman" w:hint="eastAsia"/>
        </w:rPr>
        <w:t>极大</w:t>
      </w:r>
      <w:r w:rsidR="009860B6" w:rsidRPr="00C3146C">
        <w:rPr>
          <w:rFonts w:ascii="Times New Roman" w:hAnsi="Times New Roman" w:cs="Times New Roman" w:hint="eastAsia"/>
        </w:rPr>
        <w:t>地限制了政府通过再分配调节社会运转的功能，甚至把政府推向一次又一次的主权债务危机。美国增长理念的式微意味着我们需要重新考虑一个重大战略性问题：我们需要什么样的经济？</w:t>
      </w:r>
    </w:p>
    <w:p w14:paraId="3E85A662" w14:textId="77777777" w:rsidR="00C53425" w:rsidRDefault="00C53425" w:rsidP="007762FF">
      <w:pPr>
        <w:spacing w:line="360" w:lineRule="auto"/>
        <w:rPr>
          <w:rFonts w:ascii="Times New Roman" w:hAnsi="Times New Roman" w:cs="Times New Roman"/>
        </w:rPr>
      </w:pPr>
    </w:p>
    <w:p w14:paraId="4CBF881B" w14:textId="519464E5" w:rsidR="005A4350" w:rsidRDefault="003E2133" w:rsidP="007762FF">
      <w:pPr>
        <w:spacing w:line="360" w:lineRule="auto"/>
        <w:rPr>
          <w:rFonts w:ascii="Times New Roman" w:hAnsi="Times New Roman" w:cs="Times New Roman"/>
        </w:rPr>
      </w:pPr>
      <w:r w:rsidRPr="00FC44DC">
        <w:rPr>
          <w:rFonts w:ascii="Times New Roman" w:hAnsi="Times New Roman" w:cs="Times New Roman"/>
          <w:b/>
          <w:bCs/>
        </w:rPr>
        <w:t>[</w:t>
      </w:r>
      <w:r w:rsidR="005A4350" w:rsidRPr="00FC44DC">
        <w:rPr>
          <w:rFonts w:ascii="Times New Roman" w:hAnsi="Times New Roman" w:cs="Times New Roman" w:hint="eastAsia"/>
          <w:b/>
          <w:bCs/>
        </w:rPr>
        <w:t>关键词</w:t>
      </w:r>
      <w:r w:rsidRPr="00FC44DC">
        <w:rPr>
          <w:rFonts w:ascii="Times New Roman" w:hAnsi="Times New Roman" w:cs="Times New Roman"/>
          <w:b/>
          <w:bCs/>
        </w:rPr>
        <w:t xml:space="preserve">] </w:t>
      </w:r>
      <w:r w:rsidR="005A4350" w:rsidRPr="00FC44DC">
        <w:rPr>
          <w:rFonts w:ascii="Times New Roman" w:hAnsi="Times New Roman" w:cs="Times New Roman" w:hint="eastAsia"/>
        </w:rPr>
        <w:t>表外增长；</w:t>
      </w:r>
      <w:r w:rsidR="001E4C2C" w:rsidRPr="00FC44DC">
        <w:rPr>
          <w:rFonts w:ascii="Times New Roman" w:hAnsi="Times New Roman" w:cs="Times New Roman" w:hint="eastAsia"/>
        </w:rPr>
        <w:t>家庭收支赤字；非生产性利润；</w:t>
      </w:r>
      <w:r w:rsidR="00167E5B">
        <w:rPr>
          <w:rFonts w:ascii="Times New Roman" w:hAnsi="Times New Roman" w:cs="Times New Roman" w:hint="eastAsia"/>
        </w:rPr>
        <w:t>复利</w:t>
      </w:r>
    </w:p>
    <w:p w14:paraId="4CB97E32" w14:textId="77777777" w:rsidR="005A4350" w:rsidRDefault="005A4350" w:rsidP="007762FF">
      <w:pPr>
        <w:spacing w:line="360" w:lineRule="auto"/>
        <w:rPr>
          <w:rFonts w:ascii="Times New Roman" w:hAnsi="Times New Roman" w:cs="Times New Roman"/>
        </w:rPr>
      </w:pPr>
    </w:p>
    <w:p w14:paraId="53AFD8D6" w14:textId="52E363CC" w:rsidR="005B1679" w:rsidRDefault="005B1679" w:rsidP="005B1679">
      <w:pPr>
        <w:spacing w:line="360" w:lineRule="auto"/>
        <w:jc w:val="center"/>
        <w:rPr>
          <w:rFonts w:ascii="Times New Roman" w:hAnsi="Times New Roman" w:cs="Times New Roman"/>
        </w:rPr>
      </w:pPr>
      <w:r>
        <w:rPr>
          <w:rFonts w:ascii="Times New Roman" w:hAnsi="Times New Roman" w:cs="Times New Roman" w:hint="eastAsia"/>
        </w:rPr>
        <w:t>American Economic Model</w:t>
      </w:r>
      <w:r>
        <w:rPr>
          <w:rFonts w:ascii="Times New Roman" w:hAnsi="Times New Roman" w:cs="Times New Roman" w:hint="eastAsia"/>
        </w:rPr>
        <w:t>：</w:t>
      </w:r>
      <w:r>
        <w:rPr>
          <w:rFonts w:ascii="Times New Roman" w:hAnsi="Times New Roman" w:cs="Times New Roman" w:hint="eastAsia"/>
        </w:rPr>
        <w:t>Off-Balance Grow</w:t>
      </w:r>
    </w:p>
    <w:p w14:paraId="3EC646F3" w14:textId="77777777" w:rsidR="005B1679" w:rsidRPr="005B1679" w:rsidRDefault="005B1679" w:rsidP="005B1679">
      <w:pPr>
        <w:spacing w:line="360" w:lineRule="auto"/>
        <w:jc w:val="center"/>
        <w:rPr>
          <w:rFonts w:ascii="Times New Roman" w:hAnsi="Times New Roman" w:cs="Times New Roman" w:hint="eastAsia"/>
        </w:rPr>
      </w:pPr>
    </w:p>
    <w:p w14:paraId="25E3A7E2" w14:textId="526D4990" w:rsidR="00C53425" w:rsidRPr="00C3146C" w:rsidRDefault="00C53425" w:rsidP="007762FF">
      <w:pPr>
        <w:spacing w:line="360" w:lineRule="auto"/>
        <w:rPr>
          <w:rFonts w:ascii="Times New Roman" w:hAnsi="Times New Roman" w:cs="Times New Roman"/>
        </w:rPr>
      </w:pPr>
      <w:r w:rsidRPr="00510A8C">
        <w:rPr>
          <w:rFonts w:ascii="Times New Roman" w:hAnsi="Times New Roman" w:cs="Times New Roman" w:hint="eastAsia"/>
          <w:i/>
          <w:iCs/>
        </w:rPr>
        <w:t>Abstract:</w:t>
      </w:r>
      <w:r>
        <w:rPr>
          <w:rFonts w:ascii="Times New Roman" w:hAnsi="Times New Roman" w:cs="Times New Roman" w:hint="eastAsia"/>
        </w:rPr>
        <w:t xml:space="preserve"> Since WWII, American economy growth was funded by more resources outside National Economic Accounts, we call it </w:t>
      </w:r>
      <w:r>
        <w:rPr>
          <w:rFonts w:ascii="Times New Roman" w:hAnsi="Times New Roman" w:cs="Times New Roman"/>
        </w:rPr>
        <w:t>“</w:t>
      </w:r>
      <w:r>
        <w:rPr>
          <w:rFonts w:ascii="Times New Roman" w:hAnsi="Times New Roman" w:cs="Times New Roman" w:hint="eastAsia"/>
        </w:rPr>
        <w:t>off-balance grow</w:t>
      </w:r>
      <w:r>
        <w:rPr>
          <w:rFonts w:ascii="Times New Roman" w:hAnsi="Times New Roman" w:cs="Times New Roman"/>
        </w:rPr>
        <w:t>”</w:t>
      </w:r>
      <w:r>
        <w:rPr>
          <w:rFonts w:ascii="Times New Roman" w:hAnsi="Times New Roman" w:cs="Times New Roman" w:hint="eastAsia"/>
        </w:rPr>
        <w:t xml:space="preserve"> </w:t>
      </w:r>
      <w:r w:rsidR="00FB07FA">
        <w:rPr>
          <w:rFonts w:ascii="Times New Roman" w:hAnsi="Times New Roman" w:cs="Times New Roman" w:hint="eastAsia"/>
        </w:rPr>
        <w:t>(</w:t>
      </w:r>
      <w:r>
        <w:rPr>
          <w:rFonts w:ascii="Times New Roman" w:hAnsi="Times New Roman" w:cs="Times New Roman"/>
        </w:rPr>
        <w:t>abbreviated</w:t>
      </w:r>
      <w:r>
        <w:rPr>
          <w:rFonts w:ascii="Times New Roman" w:hAnsi="Times New Roman" w:cs="Times New Roman" w:hint="eastAsia"/>
        </w:rPr>
        <w:t xml:space="preserve"> as OBG</w:t>
      </w:r>
      <w:r w:rsidR="00FB07FA">
        <w:rPr>
          <w:rFonts w:ascii="Times New Roman" w:hAnsi="Times New Roman" w:cs="Times New Roman" w:hint="eastAsia"/>
        </w:rPr>
        <w:t>)</w:t>
      </w:r>
      <w:r w:rsidR="00D775D7">
        <w:rPr>
          <w:rFonts w:ascii="Times New Roman" w:hAnsi="Times New Roman" w:cs="Times New Roman" w:hint="eastAsia"/>
        </w:rPr>
        <w:t>,</w:t>
      </w:r>
      <w:r>
        <w:rPr>
          <w:rFonts w:ascii="Times New Roman" w:hAnsi="Times New Roman" w:cs="Times New Roman" w:hint="eastAsia"/>
        </w:rPr>
        <w:t xml:space="preserve"> </w:t>
      </w:r>
      <w:r w:rsidR="00D775D7">
        <w:rPr>
          <w:rFonts w:ascii="Times New Roman" w:hAnsi="Times New Roman" w:cs="Times New Roman" w:hint="eastAsia"/>
        </w:rPr>
        <w:t>t</w:t>
      </w:r>
      <w:r>
        <w:rPr>
          <w:rFonts w:ascii="Times New Roman" w:hAnsi="Times New Roman" w:cs="Times New Roman" w:hint="eastAsia"/>
        </w:rPr>
        <w:t>his trend was covered by average number in NIPAs</w:t>
      </w:r>
      <w:r w:rsidR="00D775D7">
        <w:rPr>
          <w:rFonts w:ascii="Times New Roman" w:hAnsi="Times New Roman" w:cs="Times New Roman" w:hint="eastAsia"/>
        </w:rPr>
        <w:t>. R</w:t>
      </w:r>
      <w:r w:rsidR="00DF365B">
        <w:rPr>
          <w:rFonts w:ascii="Times New Roman" w:hAnsi="Times New Roman" w:cs="Times New Roman" w:hint="eastAsia"/>
        </w:rPr>
        <w:t xml:space="preserve">isk factors </w:t>
      </w:r>
      <w:r w:rsidR="00984563">
        <w:rPr>
          <w:rFonts w:ascii="Times New Roman" w:hAnsi="Times New Roman" w:cs="Times New Roman" w:hint="eastAsia"/>
        </w:rPr>
        <w:t>came</w:t>
      </w:r>
      <w:r w:rsidR="00D775D7">
        <w:rPr>
          <w:rFonts w:ascii="Times New Roman" w:hAnsi="Times New Roman" w:cs="Times New Roman" w:hint="eastAsia"/>
        </w:rPr>
        <w:t xml:space="preserve"> worse</w:t>
      </w:r>
      <w:r w:rsidR="00DF365B">
        <w:rPr>
          <w:rFonts w:ascii="Times New Roman" w:hAnsi="Times New Roman" w:cs="Times New Roman" w:hint="eastAsia"/>
        </w:rPr>
        <w:t>, such as</w:t>
      </w:r>
      <w:r>
        <w:rPr>
          <w:rFonts w:ascii="Times New Roman" w:hAnsi="Times New Roman" w:cs="Times New Roman" w:hint="eastAsia"/>
        </w:rPr>
        <w:t xml:space="preserve"> real household deficit, private corporation financialization, and surg</w:t>
      </w:r>
      <w:r w:rsidR="00FB07FA">
        <w:rPr>
          <w:rFonts w:ascii="Times New Roman" w:hAnsi="Times New Roman" w:cs="Times New Roman" w:hint="eastAsia"/>
        </w:rPr>
        <w:t>ed</w:t>
      </w:r>
      <w:r>
        <w:rPr>
          <w:rFonts w:ascii="Times New Roman" w:hAnsi="Times New Roman" w:cs="Times New Roman" w:hint="eastAsia"/>
        </w:rPr>
        <w:t xml:space="preserve"> debt ceiling, but all of these sectors are balanced in sum up. </w:t>
      </w:r>
      <w:r w:rsidR="000564F1">
        <w:rPr>
          <w:rFonts w:ascii="Times New Roman" w:hAnsi="Times New Roman" w:cs="Times New Roman" w:hint="eastAsia"/>
        </w:rPr>
        <w:t xml:space="preserve">With </w:t>
      </w:r>
      <w:r>
        <w:rPr>
          <w:rFonts w:ascii="Times New Roman" w:hAnsi="Times New Roman" w:cs="Times New Roman" w:hint="eastAsia"/>
        </w:rPr>
        <w:t>OBG</w:t>
      </w:r>
      <w:r w:rsidR="000564F1">
        <w:rPr>
          <w:rFonts w:ascii="Times New Roman" w:hAnsi="Times New Roman" w:cs="Times New Roman" w:hint="eastAsia"/>
        </w:rPr>
        <w:t>, we face more barricades from inequality among household and corporate profit transfer, while government was forced to t</w:t>
      </w:r>
      <w:r w:rsidR="00AB0D24">
        <w:rPr>
          <w:rFonts w:ascii="Times New Roman" w:hAnsi="Times New Roman" w:cs="Times New Roman" w:hint="eastAsia"/>
        </w:rPr>
        <w:t>ook</w:t>
      </w:r>
      <w:r w:rsidR="000564F1">
        <w:rPr>
          <w:rFonts w:ascii="Times New Roman" w:hAnsi="Times New Roman" w:cs="Times New Roman" w:hint="eastAsia"/>
        </w:rPr>
        <w:t xml:space="preserve"> more interventions, at cost of surg</w:t>
      </w:r>
      <w:r w:rsidR="00E751A5">
        <w:rPr>
          <w:rFonts w:ascii="Times New Roman" w:hAnsi="Times New Roman" w:cs="Times New Roman" w:hint="eastAsia"/>
        </w:rPr>
        <w:t>ed</w:t>
      </w:r>
      <w:r w:rsidR="000564F1">
        <w:rPr>
          <w:rFonts w:ascii="Times New Roman" w:hAnsi="Times New Roman" w:cs="Times New Roman" w:hint="eastAsia"/>
        </w:rPr>
        <w:t xml:space="preserve"> Treasury Securities Outstanding. </w:t>
      </w:r>
      <w:r w:rsidR="000564F1">
        <w:rPr>
          <w:rFonts w:ascii="Times New Roman" w:hAnsi="Times New Roman" w:cs="Times New Roman"/>
        </w:rPr>
        <w:t>A</w:t>
      </w:r>
      <w:r w:rsidR="000564F1">
        <w:rPr>
          <w:rFonts w:ascii="Times New Roman" w:hAnsi="Times New Roman" w:cs="Times New Roman" w:hint="eastAsia"/>
        </w:rPr>
        <w:t xml:space="preserve">s government intervention deepened, crisis on American </w:t>
      </w:r>
      <w:r w:rsidR="000564F1">
        <w:rPr>
          <w:rFonts w:ascii="Times New Roman" w:hAnsi="Times New Roman" w:cs="Times New Roman"/>
        </w:rPr>
        <w:t>sovereign</w:t>
      </w:r>
      <w:r w:rsidR="000564F1">
        <w:rPr>
          <w:rFonts w:ascii="Times New Roman" w:hAnsi="Times New Roman" w:cs="Times New Roman" w:hint="eastAsia"/>
        </w:rPr>
        <w:t xml:space="preserve"> debt may lead to new global financial crisis</w:t>
      </w:r>
      <w:r w:rsidR="006C0123">
        <w:rPr>
          <w:rFonts w:ascii="Times New Roman" w:hAnsi="Times New Roman" w:cs="Times New Roman" w:hint="eastAsia"/>
        </w:rPr>
        <w:t>,</w:t>
      </w:r>
      <w:r w:rsidR="000564F1">
        <w:rPr>
          <w:rFonts w:ascii="Times New Roman" w:hAnsi="Times New Roman" w:cs="Times New Roman" w:hint="eastAsia"/>
        </w:rPr>
        <w:t xml:space="preserve"> </w:t>
      </w:r>
      <w:r w:rsidR="001005C2">
        <w:rPr>
          <w:rFonts w:ascii="Times New Roman" w:hAnsi="Times New Roman" w:cs="Times New Roman"/>
        </w:rPr>
        <w:t>American</w:t>
      </w:r>
      <w:r w:rsidR="001005C2">
        <w:rPr>
          <w:rFonts w:ascii="Times New Roman" w:hAnsi="Times New Roman" w:cs="Times New Roman" w:hint="eastAsia"/>
        </w:rPr>
        <w:t xml:space="preserve"> model is fading</w:t>
      </w:r>
      <w:r w:rsidR="00604E0F">
        <w:rPr>
          <w:rFonts w:ascii="Times New Roman" w:hAnsi="Times New Roman" w:cs="Times New Roman" w:hint="eastAsia"/>
        </w:rPr>
        <w:t>!</w:t>
      </w:r>
      <w:r w:rsidR="006C0123">
        <w:rPr>
          <w:rFonts w:ascii="Times New Roman" w:hAnsi="Times New Roman" w:cs="Times New Roman" w:hint="eastAsia"/>
        </w:rPr>
        <w:t xml:space="preserve"> </w:t>
      </w:r>
      <w:r w:rsidR="006C0123">
        <w:rPr>
          <w:rFonts w:ascii="Times New Roman" w:hAnsi="Times New Roman" w:cs="Times New Roman"/>
        </w:rPr>
        <w:t>T</w:t>
      </w:r>
      <w:r w:rsidR="006C0123">
        <w:rPr>
          <w:rFonts w:ascii="Times New Roman" w:hAnsi="Times New Roman" w:cs="Times New Roman" w:hint="eastAsia"/>
        </w:rPr>
        <w:t xml:space="preserve">hen, </w:t>
      </w:r>
      <w:r w:rsidR="001005C2">
        <w:rPr>
          <w:rFonts w:ascii="Times New Roman" w:hAnsi="Times New Roman" w:cs="Times New Roman" w:hint="eastAsia"/>
        </w:rPr>
        <w:t>we face a new question, How to Fix Our Economy?</w:t>
      </w:r>
    </w:p>
    <w:p w14:paraId="1F345B6F" w14:textId="77777777" w:rsidR="00837338" w:rsidRDefault="00837338" w:rsidP="007762FF">
      <w:pPr>
        <w:spacing w:line="360" w:lineRule="auto"/>
        <w:rPr>
          <w:rFonts w:ascii="Times New Roman" w:hAnsi="Times New Roman" w:cs="Times New Roman"/>
        </w:rPr>
      </w:pPr>
    </w:p>
    <w:p w14:paraId="7ACCCB80" w14:textId="3621966C" w:rsidR="005C6CA6" w:rsidRDefault="00E92151" w:rsidP="00167E5B">
      <w:pPr>
        <w:spacing w:line="360" w:lineRule="auto"/>
        <w:rPr>
          <w:rFonts w:ascii="黑体" w:eastAsia="黑体" w:hAnsi="黑体" w:cs="Times New Roman"/>
        </w:rPr>
        <w:sectPr w:rsidR="005C6CA6" w:rsidSect="00630D14">
          <w:footerReference w:type="even" r:id="rId8"/>
          <w:footerReference w:type="default" r:id="rId9"/>
          <w:footnotePr>
            <w:numFmt w:val="decimalEnclosedCircleChinese"/>
            <w:numRestart w:val="eachPage"/>
          </w:footnotePr>
          <w:pgSz w:w="11906" w:h="16838"/>
          <w:pgMar w:top="1440" w:right="1800" w:bottom="1440" w:left="1800" w:header="851" w:footer="992" w:gutter="0"/>
          <w:cols w:space="425"/>
          <w:docGrid w:type="lines" w:linePitch="312"/>
        </w:sectPr>
      </w:pPr>
      <w:r>
        <w:rPr>
          <w:rFonts w:ascii="Times New Roman" w:hAnsi="Times New Roman" w:cs="Times New Roman"/>
        </w:rPr>
        <w:t>K</w:t>
      </w:r>
      <w:r>
        <w:rPr>
          <w:rFonts w:ascii="Times New Roman" w:hAnsi="Times New Roman" w:cs="Times New Roman" w:hint="eastAsia"/>
        </w:rPr>
        <w:t>eywords</w:t>
      </w:r>
      <w:r>
        <w:rPr>
          <w:rFonts w:ascii="Times New Roman" w:hAnsi="Times New Roman" w:cs="Times New Roman" w:hint="eastAsia"/>
        </w:rPr>
        <w:t>：</w:t>
      </w:r>
      <w:r>
        <w:rPr>
          <w:rFonts w:ascii="Times New Roman" w:hAnsi="Times New Roman" w:cs="Times New Roman" w:hint="eastAsia"/>
        </w:rPr>
        <w:t xml:space="preserve">off-balance grow, </w:t>
      </w:r>
      <w:r w:rsidR="009E34C0">
        <w:rPr>
          <w:rFonts w:ascii="Times New Roman" w:hAnsi="Times New Roman" w:cs="Times New Roman" w:hint="eastAsia"/>
        </w:rPr>
        <w:t xml:space="preserve">household </w:t>
      </w:r>
      <w:r w:rsidR="009E34C0">
        <w:rPr>
          <w:rFonts w:ascii="Times New Roman" w:hAnsi="Times New Roman" w:cs="Times New Roman"/>
        </w:rPr>
        <w:t>deficit</w:t>
      </w:r>
      <w:r>
        <w:rPr>
          <w:rFonts w:ascii="Times New Roman" w:hAnsi="Times New Roman" w:cs="Times New Roman" w:hint="eastAsia"/>
        </w:rPr>
        <w:t xml:space="preserve">, </w:t>
      </w:r>
      <w:r w:rsidR="009E34C0">
        <w:rPr>
          <w:rFonts w:ascii="Times New Roman" w:hAnsi="Times New Roman" w:cs="Times New Roman" w:hint="eastAsia"/>
        </w:rPr>
        <w:t>non-production profits</w:t>
      </w:r>
      <w:r>
        <w:rPr>
          <w:rFonts w:ascii="Times New Roman" w:hAnsi="Times New Roman" w:cs="Times New Roman" w:hint="eastAsia"/>
        </w:rPr>
        <w:t xml:space="preserve">, </w:t>
      </w:r>
      <w:r w:rsidR="00167E5B" w:rsidRPr="00167E5B">
        <w:rPr>
          <w:rFonts w:ascii="Times New Roman" w:hAnsi="Times New Roman" w:cs="Times New Roman"/>
        </w:rPr>
        <w:t>Compound Interest</w:t>
      </w:r>
    </w:p>
    <w:p w14:paraId="40ABF91B" w14:textId="39292B15" w:rsidR="008F0CD8" w:rsidRDefault="0082364B" w:rsidP="00BE517C">
      <w:pPr>
        <w:spacing w:line="360" w:lineRule="auto"/>
        <w:ind w:firstLineChars="200" w:firstLine="480"/>
        <w:rPr>
          <w:rFonts w:ascii="Times New Roman" w:hAnsi="Times New Roman" w:cs="Times New Roman"/>
        </w:rPr>
      </w:pPr>
      <w:r w:rsidRPr="0082364B">
        <w:rPr>
          <w:rFonts w:ascii="Times New Roman" w:hAnsi="Times New Roman" w:cs="Times New Roman" w:hint="eastAsia"/>
        </w:rPr>
        <w:lastRenderedPageBreak/>
        <w:t>2024</w:t>
      </w:r>
      <w:r w:rsidRPr="0082364B">
        <w:rPr>
          <w:rFonts w:ascii="Times New Roman" w:hAnsi="Times New Roman" w:cs="Times New Roman" w:hint="eastAsia"/>
        </w:rPr>
        <w:t>年美国大选</w:t>
      </w:r>
      <w:r>
        <w:rPr>
          <w:rFonts w:ascii="Times New Roman" w:hAnsi="Times New Roman" w:cs="Times New Roman" w:hint="eastAsia"/>
        </w:rPr>
        <w:t>落幕，特朗普以明显优势</w:t>
      </w:r>
      <w:r w:rsidR="00B40C86">
        <w:rPr>
          <w:rFonts w:ascii="Times New Roman" w:hAnsi="Times New Roman" w:cs="Times New Roman" w:hint="eastAsia"/>
        </w:rPr>
        <w:t>胜选</w:t>
      </w:r>
      <w:r>
        <w:rPr>
          <w:rFonts w:ascii="Times New Roman" w:hAnsi="Times New Roman" w:cs="Times New Roman" w:hint="eastAsia"/>
        </w:rPr>
        <w:t>、共和党重新掌控两院。相比</w:t>
      </w:r>
      <w:r>
        <w:rPr>
          <w:rFonts w:ascii="Times New Roman" w:hAnsi="Times New Roman" w:cs="Times New Roman" w:hint="eastAsia"/>
        </w:rPr>
        <w:t>2020</w:t>
      </w:r>
      <w:r>
        <w:rPr>
          <w:rFonts w:ascii="Times New Roman" w:hAnsi="Times New Roman" w:cs="Times New Roman" w:hint="eastAsia"/>
        </w:rPr>
        <w:t>年大选，特朗普得票稳步增长、哈里斯得票比</w:t>
      </w:r>
      <w:r>
        <w:rPr>
          <w:rFonts w:ascii="Times New Roman" w:hAnsi="Times New Roman" w:cs="Times New Roman" w:hint="eastAsia"/>
        </w:rPr>
        <w:t>2020</w:t>
      </w:r>
      <w:r>
        <w:rPr>
          <w:rFonts w:ascii="Times New Roman" w:hAnsi="Times New Roman" w:cs="Times New Roman" w:hint="eastAsia"/>
        </w:rPr>
        <w:t>年拜登得票减少</w:t>
      </w:r>
      <w:r>
        <w:rPr>
          <w:rFonts w:ascii="Times New Roman" w:hAnsi="Times New Roman" w:cs="Times New Roman" w:hint="eastAsia"/>
        </w:rPr>
        <w:t>683</w:t>
      </w:r>
      <w:r>
        <w:rPr>
          <w:rFonts w:ascii="Times New Roman" w:hAnsi="Times New Roman" w:cs="Times New Roman" w:hint="eastAsia"/>
        </w:rPr>
        <w:t>万。大选选情与美国</w:t>
      </w:r>
      <w:r w:rsidR="00890C57">
        <w:rPr>
          <w:rFonts w:ascii="Times New Roman" w:hAnsi="Times New Roman" w:cs="Times New Roman" w:hint="eastAsia"/>
        </w:rPr>
        <w:t>GDP</w:t>
      </w:r>
      <w:r w:rsidR="00890C57">
        <w:rPr>
          <w:rFonts w:ascii="Times New Roman" w:hAnsi="Times New Roman" w:cs="Times New Roman" w:hint="eastAsia"/>
        </w:rPr>
        <w:t>统计释放的数据截然相反，拜登</w:t>
      </w:r>
      <w:r w:rsidR="00890C57">
        <w:rPr>
          <w:rFonts w:ascii="Times New Roman" w:hAnsi="Times New Roman" w:cs="Times New Roman" w:hint="eastAsia"/>
        </w:rPr>
        <w:t>-</w:t>
      </w:r>
      <w:r w:rsidR="00890C57">
        <w:rPr>
          <w:rFonts w:ascii="Times New Roman" w:hAnsi="Times New Roman" w:cs="Times New Roman" w:hint="eastAsia"/>
        </w:rPr>
        <w:t>哈里斯执政</w:t>
      </w:r>
      <w:r w:rsidR="00CF09A6">
        <w:rPr>
          <w:rFonts w:ascii="Times New Roman" w:hAnsi="Times New Roman" w:cs="Times New Roman" w:hint="eastAsia"/>
        </w:rPr>
        <w:t>团队</w:t>
      </w:r>
      <w:r w:rsidR="00890C57">
        <w:rPr>
          <w:rFonts w:ascii="Times New Roman" w:hAnsi="Times New Roman" w:cs="Times New Roman" w:hint="eastAsia"/>
        </w:rPr>
        <w:t>亮眼的</w:t>
      </w:r>
      <w:r w:rsidR="00890C57">
        <w:rPr>
          <w:rFonts w:ascii="Times New Roman" w:hAnsi="Times New Roman" w:cs="Times New Roman" w:hint="eastAsia"/>
        </w:rPr>
        <w:t>GDP</w:t>
      </w:r>
      <w:r w:rsidR="00890C57">
        <w:rPr>
          <w:rFonts w:ascii="Times New Roman" w:hAnsi="Times New Roman" w:cs="Times New Roman" w:hint="eastAsia"/>
        </w:rPr>
        <w:t>业绩非但没有赢得民心，反而被选民拱手送出了白宫</w:t>
      </w:r>
      <w:r w:rsidR="00CF09A6">
        <w:rPr>
          <w:rFonts w:ascii="Times New Roman" w:hAnsi="Times New Roman" w:cs="Times New Roman" w:hint="eastAsia"/>
        </w:rPr>
        <w:t>。</w:t>
      </w:r>
    </w:p>
    <w:p w14:paraId="772823B7" w14:textId="7B669300" w:rsidR="008F0CD8" w:rsidRDefault="00684C3E" w:rsidP="00BE517C">
      <w:pPr>
        <w:spacing w:line="360" w:lineRule="auto"/>
        <w:ind w:firstLineChars="200" w:firstLine="480"/>
        <w:rPr>
          <w:rFonts w:ascii="Times New Roman" w:hAnsi="Times New Roman" w:cs="Times New Roman"/>
        </w:rPr>
      </w:pPr>
      <w:r>
        <w:rPr>
          <w:rFonts w:ascii="Times New Roman" w:hAnsi="Times New Roman" w:cs="Times New Roman" w:hint="eastAsia"/>
        </w:rPr>
        <w:t>左右美国大选的因素有很多，但普通美国家庭感受到的</w:t>
      </w:r>
      <w:r w:rsidR="00CF09A6">
        <w:rPr>
          <w:rFonts w:ascii="Times New Roman" w:hAnsi="Times New Roman" w:cs="Times New Roman" w:hint="eastAsia"/>
        </w:rPr>
        <w:t>生活现实与</w:t>
      </w:r>
      <w:r w:rsidR="00CF09A6">
        <w:rPr>
          <w:rFonts w:ascii="Times New Roman" w:hAnsi="Times New Roman" w:cs="Times New Roman" w:hint="eastAsia"/>
        </w:rPr>
        <w:t>GDP</w:t>
      </w:r>
      <w:r w:rsidR="00CF09A6">
        <w:rPr>
          <w:rFonts w:ascii="Times New Roman" w:hAnsi="Times New Roman" w:cs="Times New Roman" w:hint="eastAsia"/>
        </w:rPr>
        <w:t>统计数据、白宫释放的经济“乐观预期”间的分歧是不可忽视的重要因素。</w:t>
      </w:r>
      <w:r w:rsidR="00E50BA6">
        <w:rPr>
          <w:rFonts w:ascii="Times New Roman" w:hAnsi="Times New Roman" w:cs="Times New Roman" w:hint="eastAsia"/>
        </w:rPr>
        <w:t>问题的根源不在普通家庭的感受，而在美国</w:t>
      </w:r>
      <w:r w:rsidR="00E50BA6">
        <w:rPr>
          <w:rFonts w:ascii="Times New Roman" w:hAnsi="Times New Roman" w:cs="Times New Roman" w:hint="eastAsia"/>
        </w:rPr>
        <w:t>GDP</w:t>
      </w:r>
      <w:r w:rsidR="00E50BA6">
        <w:rPr>
          <w:rFonts w:ascii="Times New Roman" w:hAnsi="Times New Roman" w:cs="Times New Roman" w:hint="eastAsia"/>
        </w:rPr>
        <w:t>增长的</w:t>
      </w:r>
      <w:r>
        <w:rPr>
          <w:rFonts w:ascii="Times New Roman" w:hAnsi="Times New Roman" w:cs="Times New Roman" w:hint="eastAsia"/>
          <w:color w:val="000000"/>
        </w:rPr>
        <w:t>源动力</w:t>
      </w:r>
      <w:r>
        <w:rPr>
          <w:rFonts w:ascii="Times New Roman" w:hAnsi="Times New Roman" w:cs="Times New Roman" w:hint="eastAsia"/>
        </w:rPr>
        <w:t>发生了质变。</w:t>
      </w:r>
    </w:p>
    <w:p w14:paraId="44EB5153" w14:textId="631069F1" w:rsidR="008F0CD8" w:rsidRDefault="00E50BA6" w:rsidP="00BE517C">
      <w:pPr>
        <w:spacing w:line="360" w:lineRule="auto"/>
        <w:ind w:firstLineChars="200" w:firstLine="480"/>
        <w:rPr>
          <w:rFonts w:ascii="Times New Roman" w:hAnsi="Times New Roman" w:cs="Times New Roman"/>
        </w:rPr>
      </w:pPr>
      <w:r>
        <w:rPr>
          <w:rFonts w:ascii="Times New Roman" w:hAnsi="Times New Roman" w:cs="Times New Roman" w:hint="eastAsia"/>
        </w:rPr>
        <w:t>自美国次贷危</w:t>
      </w:r>
      <w:r w:rsidRPr="00D22A8F">
        <w:rPr>
          <w:rFonts w:ascii="Times New Roman" w:hAnsi="Times New Roman" w:cs="Times New Roman" w:hint="eastAsia"/>
        </w:rPr>
        <w:t>机后，依靠就业扩张、消费增长维持的</w:t>
      </w:r>
      <w:r w:rsidR="009B07FD" w:rsidRPr="00D22A8F">
        <w:rPr>
          <w:rFonts w:ascii="Times New Roman" w:hAnsi="Times New Roman" w:cs="Times New Roman" w:hint="eastAsia"/>
        </w:rPr>
        <w:t>国民经济账户体系（简称</w:t>
      </w:r>
      <w:r w:rsidR="009B07FD" w:rsidRPr="00D22A8F">
        <w:rPr>
          <w:rFonts w:ascii="Times New Roman" w:hAnsi="Times New Roman" w:cs="Times New Roman" w:hint="eastAsia"/>
        </w:rPr>
        <w:t>SNA</w:t>
      </w:r>
      <w:r w:rsidR="009B07FD" w:rsidRPr="00D22A8F">
        <w:rPr>
          <w:rFonts w:ascii="Times New Roman" w:hAnsi="Times New Roman" w:cs="Times New Roman" w:hint="eastAsia"/>
        </w:rPr>
        <w:t>）统计口径内</w:t>
      </w:r>
      <w:r w:rsidR="00EB643F" w:rsidRPr="00D22A8F">
        <w:rPr>
          <w:rStyle w:val="a5"/>
          <w:rFonts w:ascii="Times New Roman" w:hAnsi="Times New Roman" w:cs="Times New Roman"/>
        </w:rPr>
        <w:footnoteReference w:id="1"/>
      </w:r>
      <w:r w:rsidR="009B07FD" w:rsidRPr="00D22A8F">
        <w:rPr>
          <w:rFonts w:ascii="Times New Roman" w:hAnsi="Times New Roman" w:cs="Times New Roman" w:hint="eastAsia"/>
        </w:rPr>
        <w:t>的增长</w:t>
      </w:r>
      <w:r w:rsidRPr="00D22A8F">
        <w:rPr>
          <w:rFonts w:ascii="Times New Roman" w:hAnsi="Times New Roman" w:cs="Times New Roman" w:hint="eastAsia"/>
        </w:rPr>
        <w:t>日渐式微，取而代之的是政府通过大规模举债</w:t>
      </w:r>
      <w:r w:rsidR="00903661" w:rsidRPr="00D22A8F">
        <w:rPr>
          <w:rFonts w:ascii="Times New Roman" w:hAnsi="Times New Roman" w:cs="Times New Roman" w:hint="eastAsia"/>
        </w:rPr>
        <w:t>、托底家庭消费</w:t>
      </w:r>
      <w:r w:rsidRPr="00D22A8F">
        <w:rPr>
          <w:rFonts w:ascii="Times New Roman" w:hAnsi="Times New Roman" w:cs="Times New Roman" w:hint="eastAsia"/>
        </w:rPr>
        <w:t>的方式为经济增长输血，</w:t>
      </w:r>
      <w:r w:rsidR="00903661" w:rsidRPr="00D22A8F">
        <w:rPr>
          <w:rFonts w:ascii="Times New Roman" w:hAnsi="Times New Roman" w:cs="Times New Roman" w:hint="eastAsia"/>
        </w:rPr>
        <w:t>维持表面上的增长。面对这种窘境，特朗普能做的也只是站在火山口扔石头，于</w:t>
      </w:r>
      <w:r w:rsidR="00903661">
        <w:rPr>
          <w:rFonts w:ascii="Times New Roman" w:hAnsi="Times New Roman" w:cs="Times New Roman" w:hint="eastAsia"/>
        </w:rPr>
        <w:t>事无补。</w:t>
      </w:r>
    </w:p>
    <w:p w14:paraId="7790AF3A" w14:textId="5BDECC49" w:rsidR="00903661" w:rsidRPr="0082364B" w:rsidRDefault="00903661" w:rsidP="00BE517C">
      <w:pPr>
        <w:spacing w:line="360" w:lineRule="auto"/>
        <w:ind w:firstLineChars="200" w:firstLine="480"/>
        <w:rPr>
          <w:rFonts w:ascii="Times New Roman" w:hAnsi="Times New Roman" w:cs="Times New Roman"/>
        </w:rPr>
      </w:pPr>
      <w:r>
        <w:rPr>
          <w:rFonts w:ascii="Times New Roman" w:hAnsi="Times New Roman" w:cs="Times New Roman" w:hint="eastAsia"/>
        </w:rPr>
        <w:t>如果要弄清美国经济增长问题的根源，还是要</w:t>
      </w:r>
      <w:r w:rsidR="00B50313">
        <w:rPr>
          <w:rFonts w:ascii="Times New Roman" w:hAnsi="Times New Roman" w:cs="Times New Roman" w:hint="eastAsia"/>
        </w:rPr>
        <w:t>回到国民经济核算本身。</w:t>
      </w:r>
    </w:p>
    <w:p w14:paraId="66F26DB8" w14:textId="77777777" w:rsidR="0082364B" w:rsidRDefault="0082364B" w:rsidP="0034101C">
      <w:pPr>
        <w:spacing w:line="360" w:lineRule="auto"/>
        <w:ind w:firstLineChars="150" w:firstLine="360"/>
        <w:rPr>
          <w:rFonts w:ascii="黑体" w:eastAsia="黑体" w:hAnsi="黑体" w:cs="Times New Roman"/>
        </w:rPr>
      </w:pPr>
    </w:p>
    <w:p w14:paraId="56E00B04" w14:textId="7840BF29" w:rsidR="004726E2" w:rsidRPr="00C3146C" w:rsidRDefault="00A82F0A" w:rsidP="0034101C">
      <w:pPr>
        <w:spacing w:line="360" w:lineRule="auto"/>
        <w:ind w:firstLineChars="150" w:firstLine="360"/>
        <w:rPr>
          <w:rFonts w:ascii="黑体" w:eastAsia="黑体" w:hAnsi="黑体" w:cs="Times New Roman"/>
        </w:rPr>
      </w:pPr>
      <w:r w:rsidRPr="00C3146C">
        <w:rPr>
          <w:rFonts w:ascii="黑体" w:eastAsia="黑体" w:hAnsi="黑体" w:cs="Times New Roman" w:hint="eastAsia"/>
        </w:rPr>
        <w:t>一、</w:t>
      </w:r>
      <w:r w:rsidR="004726E2" w:rsidRPr="00C3146C">
        <w:rPr>
          <w:rFonts w:ascii="黑体" w:eastAsia="黑体" w:hAnsi="黑体" w:cs="Times New Roman" w:hint="eastAsia"/>
        </w:rPr>
        <w:t>国民经济核算的基本原理</w:t>
      </w:r>
    </w:p>
    <w:p w14:paraId="6C138B64" w14:textId="77777777" w:rsidR="00E96FD6" w:rsidRPr="00C3146C" w:rsidRDefault="00E96FD6" w:rsidP="00595DD4">
      <w:pPr>
        <w:spacing w:line="360" w:lineRule="auto"/>
        <w:ind w:firstLineChars="200" w:firstLine="480"/>
        <w:rPr>
          <w:rFonts w:ascii="Times New Roman" w:hAnsi="Times New Roman" w:cs="Times New Roman"/>
        </w:rPr>
      </w:pPr>
    </w:p>
    <w:p w14:paraId="44D76D98" w14:textId="2A603BA9" w:rsidR="00595DD4" w:rsidRPr="00C3146C" w:rsidRDefault="00595DD4" w:rsidP="00595DD4">
      <w:pPr>
        <w:spacing w:line="360" w:lineRule="auto"/>
        <w:ind w:firstLineChars="200" w:firstLine="480"/>
        <w:rPr>
          <w:rFonts w:ascii="Times New Roman" w:hAnsi="Times New Roman" w:cs="Times New Roman"/>
        </w:rPr>
      </w:pPr>
      <w:r w:rsidRPr="00C3146C">
        <w:rPr>
          <w:rFonts w:ascii="Times New Roman" w:hAnsi="Times New Roman" w:cs="Times New Roman"/>
        </w:rPr>
        <w:t>在经典宏观经济学理论中，令支出端的投资与收入端的储蓄保持平衡，这是开展系列</w:t>
      </w:r>
      <w:r w:rsidR="005438F5" w:rsidRPr="00C3146C">
        <w:rPr>
          <w:rFonts w:ascii="Times New Roman" w:hAnsi="Times New Roman" w:cs="Times New Roman" w:hint="eastAsia"/>
        </w:rPr>
        <w:t>均衡</w:t>
      </w:r>
      <w:r w:rsidRPr="00C3146C">
        <w:rPr>
          <w:rFonts w:ascii="Times New Roman" w:hAnsi="Times New Roman" w:cs="Times New Roman"/>
        </w:rPr>
        <w:t>分析和政策效果评估的基本前提。在这个基本前提的约束下，</w:t>
      </w:r>
      <w:r w:rsidR="00650648">
        <w:rPr>
          <w:rFonts w:ascii="Times New Roman" w:hAnsi="Times New Roman" w:cs="Times New Roman" w:hint="eastAsia"/>
        </w:rPr>
        <w:t>BEA</w:t>
      </w:r>
      <w:r w:rsidRPr="00C3146C">
        <w:rPr>
          <w:rFonts w:ascii="Times New Roman" w:hAnsi="Times New Roman" w:cs="Times New Roman"/>
        </w:rPr>
        <w:t>需要做平国民经济账户</w:t>
      </w:r>
      <w:r w:rsidR="006A0148">
        <w:rPr>
          <w:rFonts w:ascii="Times New Roman" w:hAnsi="Times New Roman" w:cs="Times New Roman" w:hint="eastAsia"/>
        </w:rPr>
        <w:t>体系</w:t>
      </w:r>
      <w:r w:rsidRPr="00C3146C">
        <w:rPr>
          <w:rFonts w:ascii="Times New Roman" w:hAnsi="Times New Roman" w:cs="Times New Roman"/>
        </w:rPr>
        <w:t>报表，具体体现为国内生产总值（</w:t>
      </w:r>
      <w:r w:rsidRPr="00C3146C">
        <w:rPr>
          <w:rFonts w:ascii="Times New Roman" w:hAnsi="Times New Roman" w:cs="Times New Roman"/>
        </w:rPr>
        <w:t>GDP</w:t>
      </w:r>
      <w:r w:rsidRPr="00C3146C">
        <w:rPr>
          <w:rFonts w:ascii="Times New Roman" w:hAnsi="Times New Roman" w:cs="Times New Roman"/>
        </w:rPr>
        <w:t>）和国民总收入（</w:t>
      </w:r>
      <w:r w:rsidRPr="00C3146C">
        <w:rPr>
          <w:rFonts w:ascii="Times New Roman" w:hAnsi="Times New Roman" w:cs="Times New Roman"/>
        </w:rPr>
        <w:t>GDI</w:t>
      </w:r>
      <w:r w:rsidRPr="00C3146C">
        <w:rPr>
          <w:rFonts w:ascii="Times New Roman" w:hAnsi="Times New Roman" w:cs="Times New Roman"/>
        </w:rPr>
        <w:t>）大致相等。</w:t>
      </w:r>
    </w:p>
    <w:p w14:paraId="17943A36" w14:textId="174DBBDF" w:rsidR="00595DD4" w:rsidRPr="00C3146C" w:rsidRDefault="00595DD4" w:rsidP="00595DD4">
      <w:pPr>
        <w:spacing w:line="360" w:lineRule="auto"/>
        <w:ind w:firstLineChars="200" w:firstLine="480"/>
        <w:rPr>
          <w:rFonts w:ascii="Times New Roman" w:hAnsi="Times New Roman" w:cs="Times New Roman"/>
        </w:rPr>
      </w:pPr>
      <w:r w:rsidRPr="00C3146C">
        <w:rPr>
          <w:rFonts w:ascii="Times New Roman" w:hAnsi="Times New Roman" w:cs="Times New Roman"/>
        </w:rPr>
        <w:t>为了平衡报表的收支端</w:t>
      </w:r>
      <w:r w:rsidRPr="00D22A8F">
        <w:rPr>
          <w:rFonts w:ascii="Times New Roman" w:hAnsi="Times New Roman" w:cs="Times New Roman"/>
        </w:rPr>
        <w:t>，</w:t>
      </w:r>
      <w:r w:rsidRPr="00D22A8F">
        <w:rPr>
          <w:rFonts w:ascii="Times New Roman" w:hAnsi="Times New Roman" w:cs="Times New Roman"/>
        </w:rPr>
        <w:t>SNA</w:t>
      </w:r>
      <w:r w:rsidRPr="00D22A8F">
        <w:rPr>
          <w:rFonts w:ascii="Times New Roman" w:hAnsi="Times New Roman" w:cs="Times New Roman"/>
        </w:rPr>
        <w:t>借鉴了会计恒等式概念，以</w:t>
      </w:r>
      <w:r w:rsidR="008F0CD8" w:rsidRPr="00D22A8F">
        <w:rPr>
          <w:rFonts w:ascii="Times New Roman" w:hAnsi="Times New Roman" w:cs="Times New Roman" w:hint="eastAsia"/>
        </w:rPr>
        <w:t>“</w:t>
      </w:r>
      <w:r w:rsidRPr="00D22A8F">
        <w:rPr>
          <w:rFonts w:ascii="Times New Roman" w:hAnsi="Times New Roman" w:cs="Times New Roman"/>
        </w:rPr>
        <w:t>权责发生制</w:t>
      </w:r>
      <w:r w:rsidR="008F0CD8" w:rsidRPr="00D22A8F">
        <w:rPr>
          <w:rFonts w:ascii="Times New Roman" w:hAnsi="Times New Roman" w:cs="Times New Roman" w:hint="eastAsia"/>
        </w:rPr>
        <w:t>”</w:t>
      </w:r>
      <w:r w:rsidR="00E819B9" w:rsidRPr="00D22A8F">
        <w:rPr>
          <w:rFonts w:ascii="Times New Roman" w:hAnsi="Times New Roman" w:cs="Times New Roman" w:hint="eastAsia"/>
        </w:rPr>
        <w:t>和</w:t>
      </w:r>
      <w:r w:rsidR="008F0CD8" w:rsidRPr="00D22A8F">
        <w:rPr>
          <w:rFonts w:ascii="Times New Roman" w:hAnsi="Times New Roman" w:cs="Times New Roman" w:hint="eastAsia"/>
        </w:rPr>
        <w:t>“</w:t>
      </w:r>
      <w:r w:rsidR="00E819B9" w:rsidRPr="00D22A8F">
        <w:rPr>
          <w:rFonts w:ascii="Times New Roman" w:hAnsi="Times New Roman" w:cs="Times New Roman" w:hint="eastAsia"/>
        </w:rPr>
        <w:t>市场估价</w:t>
      </w:r>
      <w:r w:rsidR="008F0CD8" w:rsidRPr="00D22A8F">
        <w:rPr>
          <w:rFonts w:ascii="Times New Roman" w:hAnsi="Times New Roman" w:cs="Times New Roman" w:hint="eastAsia"/>
        </w:rPr>
        <w:t>”</w:t>
      </w:r>
      <w:r w:rsidRPr="00D22A8F">
        <w:rPr>
          <w:rFonts w:ascii="Times New Roman" w:hAnsi="Times New Roman" w:cs="Times New Roman"/>
        </w:rPr>
        <w:t>为核算的基本</w:t>
      </w:r>
      <w:r w:rsidR="008F0CD8" w:rsidRPr="00D22A8F">
        <w:rPr>
          <w:rFonts w:ascii="Times New Roman" w:hAnsi="Times New Roman" w:cs="Times New Roman" w:hint="eastAsia"/>
        </w:rPr>
        <w:t>原则，</w:t>
      </w:r>
      <w:r w:rsidR="00E96FD6" w:rsidRPr="00D22A8F">
        <w:rPr>
          <w:rStyle w:val="a5"/>
          <w:rFonts w:ascii="Times New Roman" w:hAnsi="Times New Roman" w:cs="Times New Roman"/>
        </w:rPr>
        <w:footnoteReference w:id="2"/>
      </w:r>
      <w:r w:rsidRPr="00D22A8F">
        <w:rPr>
          <w:rFonts w:ascii="Times New Roman" w:hAnsi="Times New Roman" w:cs="Times New Roman"/>
        </w:rPr>
        <w:t>在收支两端同时创造了部分没有货币交易关系支撑的核算科目。在支出端，以市价核算部分未发生货币交易的服务，如自住房租金、未收费金融服务和</w:t>
      </w:r>
      <w:r w:rsidRPr="00D22A8F">
        <w:rPr>
          <w:rFonts w:ascii="Times New Roman" w:hAnsi="Times New Roman" w:cs="Times New Roman"/>
        </w:rPr>
        <w:t>NGO</w:t>
      </w:r>
      <w:r w:rsidRPr="00D22A8F">
        <w:rPr>
          <w:rFonts w:ascii="Times New Roman" w:hAnsi="Times New Roman" w:cs="Times New Roman"/>
        </w:rPr>
        <w:t>组织提供的服务等。</w:t>
      </w:r>
      <w:r w:rsidR="008F0CD8" w:rsidRPr="00D22A8F">
        <w:rPr>
          <w:rStyle w:val="a5"/>
          <w:rFonts w:ascii="Times New Roman" w:hAnsi="Times New Roman" w:cs="Times New Roman"/>
        </w:rPr>
        <w:footnoteReference w:id="3"/>
      </w:r>
      <w:r w:rsidRPr="00D22A8F">
        <w:rPr>
          <w:rFonts w:ascii="Times New Roman" w:hAnsi="Times New Roman" w:cs="Times New Roman"/>
        </w:rPr>
        <w:t>在收入端，</w:t>
      </w:r>
      <w:r w:rsidRPr="00D22A8F">
        <w:rPr>
          <w:rFonts w:ascii="Times New Roman" w:hAnsi="Times New Roman" w:cs="Times New Roman" w:hint="eastAsia"/>
        </w:rPr>
        <w:t>参照企业折旧方法，对家庭住房投资计提折旧、创造部分自住房租金收入等，同时以</w:t>
      </w:r>
      <w:r w:rsidRPr="00D22A8F">
        <w:rPr>
          <w:rFonts w:ascii="Times New Roman" w:hAnsi="Times New Roman" w:cs="Times New Roman" w:hint="eastAsia"/>
        </w:rPr>
        <w:lastRenderedPageBreak/>
        <w:t>市价为基准对企业固定资产计提折旧</w:t>
      </w:r>
      <w:r w:rsidR="008F0CD8" w:rsidRPr="00D22A8F">
        <w:rPr>
          <w:rFonts w:ascii="Times New Roman" w:hAnsi="Times New Roman" w:cs="Times New Roman" w:hint="eastAsia"/>
        </w:rPr>
        <w:t>。</w:t>
      </w:r>
      <w:r w:rsidR="00EC558B" w:rsidRPr="00D22A8F">
        <w:rPr>
          <w:rStyle w:val="a5"/>
          <w:rFonts w:ascii="Times New Roman" w:hAnsi="Times New Roman" w:cs="Times New Roman"/>
        </w:rPr>
        <w:footnoteReference w:id="4"/>
      </w:r>
      <w:r w:rsidRPr="00D22A8F">
        <w:rPr>
          <w:rFonts w:ascii="Times New Roman" w:hAnsi="Times New Roman" w:cs="Times New Roman"/>
        </w:rPr>
        <w:t>经过这套设置，</w:t>
      </w:r>
      <w:r w:rsidR="008F0CD8" w:rsidRPr="00D22A8F">
        <w:rPr>
          <w:rFonts w:ascii="Times New Roman" w:hAnsi="Times New Roman" w:cs="Times New Roman"/>
        </w:rPr>
        <w:t>SNA</w:t>
      </w:r>
      <w:r w:rsidRPr="00D22A8F">
        <w:rPr>
          <w:rFonts w:ascii="Times New Roman" w:hAnsi="Times New Roman" w:cs="Times New Roman"/>
        </w:rPr>
        <w:t>基本保</w:t>
      </w:r>
      <w:r w:rsidRPr="00C3146C">
        <w:rPr>
          <w:rFonts w:ascii="Times New Roman" w:hAnsi="Times New Roman" w:cs="Times New Roman"/>
        </w:rPr>
        <w:t>持了支出、收入两种核算方法的平衡。</w:t>
      </w:r>
    </w:p>
    <w:p w14:paraId="2C89E2DD" w14:textId="5634F8B4" w:rsidR="00595DD4" w:rsidRPr="00C3146C" w:rsidRDefault="008F0CD8" w:rsidP="00595DD4">
      <w:pPr>
        <w:spacing w:line="360" w:lineRule="auto"/>
        <w:ind w:firstLineChars="200" w:firstLine="480"/>
        <w:rPr>
          <w:rFonts w:ascii="Times New Roman" w:hAnsi="Times New Roman" w:cs="Times New Roman"/>
        </w:rPr>
      </w:pPr>
      <w:r w:rsidRPr="00D22A8F">
        <w:rPr>
          <w:rFonts w:ascii="Times New Roman" w:hAnsi="Times New Roman" w:cs="Times New Roman"/>
        </w:rPr>
        <w:t>SNA</w:t>
      </w:r>
      <w:r w:rsidR="00595DD4" w:rsidRPr="00D22A8F">
        <w:rPr>
          <w:rFonts w:ascii="Times New Roman" w:hAnsi="Times New Roman" w:cs="Times New Roman"/>
        </w:rPr>
        <w:t>的创立源自二战前，成型于资本主义经济</w:t>
      </w:r>
      <w:r w:rsidR="00595DD4" w:rsidRPr="00D22A8F">
        <w:rPr>
          <w:rFonts w:ascii="Times New Roman" w:hAnsi="Times New Roman" w:cs="Times New Roman"/>
        </w:rPr>
        <w:t>“</w:t>
      </w:r>
      <w:r w:rsidR="00595DD4" w:rsidRPr="00D22A8F">
        <w:rPr>
          <w:rFonts w:ascii="Times New Roman" w:hAnsi="Times New Roman" w:cs="Times New Roman"/>
        </w:rPr>
        <w:t>黄金二十年</w:t>
      </w:r>
      <w:r w:rsidR="00595DD4" w:rsidRPr="00D22A8F">
        <w:rPr>
          <w:rFonts w:ascii="Times New Roman" w:hAnsi="Times New Roman" w:cs="Times New Roman"/>
        </w:rPr>
        <w:t>”</w:t>
      </w:r>
      <w:r w:rsidR="00595DD4" w:rsidRPr="00D22A8F">
        <w:rPr>
          <w:rFonts w:ascii="Times New Roman" w:hAnsi="Times New Roman" w:cs="Times New Roman"/>
        </w:rPr>
        <w:t>。为准确分析大萧条对经济的影响，美国商务部与经济分析局于</w:t>
      </w:r>
      <w:r w:rsidR="00595DD4" w:rsidRPr="00D22A8F">
        <w:rPr>
          <w:rFonts w:ascii="Times New Roman" w:hAnsi="Times New Roman" w:cs="Times New Roman"/>
        </w:rPr>
        <w:t>1934</w:t>
      </w:r>
      <w:r w:rsidR="00595DD4" w:rsidRPr="00D22A8F">
        <w:rPr>
          <w:rFonts w:ascii="Times New Roman" w:hAnsi="Times New Roman" w:cs="Times New Roman"/>
        </w:rPr>
        <w:t>年向国会提交了一份报告</w:t>
      </w:r>
      <w:r w:rsidRPr="00D22A8F">
        <w:rPr>
          <w:rFonts w:ascii="Times New Roman" w:hAnsi="Times New Roman" w:cs="Times New Roman" w:hint="eastAsia"/>
        </w:rPr>
        <w:t>——</w:t>
      </w:r>
      <w:r w:rsidR="00595DD4" w:rsidRPr="00D22A8F">
        <w:rPr>
          <w:rFonts w:ascii="Times New Roman" w:hAnsi="Times New Roman" w:cs="Times New Roman"/>
        </w:rPr>
        <w:t>《国民收入，</w:t>
      </w:r>
      <w:r w:rsidR="00595DD4" w:rsidRPr="00D22A8F">
        <w:rPr>
          <w:rFonts w:ascii="Times New Roman" w:hAnsi="Times New Roman" w:cs="Times New Roman"/>
        </w:rPr>
        <w:t>19</w:t>
      </w:r>
      <w:r w:rsidR="001B119C" w:rsidRPr="00D22A8F">
        <w:rPr>
          <w:rFonts w:ascii="Times New Roman" w:hAnsi="Times New Roman" w:cs="Times New Roman" w:hint="eastAsia"/>
        </w:rPr>
        <w:t>29-1932</w:t>
      </w:r>
      <w:r w:rsidR="00595DD4" w:rsidRPr="00D22A8F">
        <w:rPr>
          <w:rFonts w:ascii="Times New Roman" w:hAnsi="Times New Roman" w:cs="Times New Roman"/>
        </w:rPr>
        <w:t>》</w:t>
      </w:r>
      <w:r w:rsidR="002C5213" w:rsidRPr="00D22A8F">
        <w:rPr>
          <w:rFonts w:ascii="Times New Roman" w:hAnsi="Times New Roman" w:cs="Times New Roman" w:hint="eastAsia"/>
        </w:rPr>
        <w:t>（</w:t>
      </w:r>
      <w:r w:rsidR="002C5213" w:rsidRPr="00D22A8F">
        <w:rPr>
          <w:rFonts w:ascii="Times New Roman" w:hAnsi="Times New Roman" w:cs="Times New Roman"/>
          <w:i/>
          <w:iCs/>
        </w:rPr>
        <w:t>National Income, 1929–32</w:t>
      </w:r>
      <w:r w:rsidR="002C5213" w:rsidRPr="00D22A8F">
        <w:rPr>
          <w:rFonts w:ascii="Times New Roman" w:hAnsi="Times New Roman" w:cs="Times New Roman" w:hint="eastAsia"/>
        </w:rPr>
        <w:t>）</w:t>
      </w:r>
      <w:r w:rsidR="00595DD4" w:rsidRPr="00D22A8F">
        <w:rPr>
          <w:rFonts w:ascii="Times New Roman" w:hAnsi="Times New Roman" w:cs="Times New Roman"/>
        </w:rPr>
        <w:t>，执笔人是</w:t>
      </w:r>
      <w:r w:rsidR="00595DD4" w:rsidRPr="00D22A8F">
        <w:rPr>
          <w:rFonts w:ascii="Times New Roman" w:hAnsi="Times New Roman" w:cs="Times New Roman"/>
        </w:rPr>
        <w:t>19</w:t>
      </w:r>
      <w:r w:rsidR="001B119C" w:rsidRPr="00D22A8F">
        <w:rPr>
          <w:rFonts w:ascii="Times New Roman" w:hAnsi="Times New Roman" w:cs="Times New Roman" w:hint="eastAsia"/>
        </w:rPr>
        <w:t>71</w:t>
      </w:r>
      <w:r w:rsidR="00595DD4" w:rsidRPr="00D22A8F">
        <w:rPr>
          <w:rFonts w:ascii="Times New Roman" w:hAnsi="Times New Roman" w:cs="Times New Roman"/>
        </w:rPr>
        <w:t>年诺贝尔经济学奖得主</w:t>
      </w:r>
      <w:r w:rsidR="001B119C" w:rsidRPr="00D22A8F">
        <w:rPr>
          <w:rFonts w:ascii="Times New Roman" w:hAnsi="Times New Roman" w:cs="Times New Roman" w:hint="eastAsia"/>
        </w:rPr>
        <w:t>俄</w:t>
      </w:r>
      <w:r w:rsidR="00850057" w:rsidRPr="00D22A8F">
        <w:rPr>
          <w:rFonts w:ascii="Times New Roman" w:hAnsi="Times New Roman" w:cs="Times New Roman" w:hint="eastAsia"/>
        </w:rPr>
        <w:t>裔经济学家</w:t>
      </w:r>
      <w:r w:rsidR="002C5213" w:rsidRPr="00D22A8F">
        <w:rPr>
          <w:rFonts w:ascii="Times New Roman" w:hAnsi="Times New Roman" w:cs="Times New Roman"/>
        </w:rPr>
        <w:t>西蒙</w:t>
      </w:r>
      <w:r w:rsidRPr="00D22A8F">
        <w:rPr>
          <w:rFonts w:ascii="Times New Roman" w:hAnsi="Times New Roman" w:cs="Times New Roman" w:hint="eastAsia"/>
        </w:rPr>
        <w:t>·</w:t>
      </w:r>
      <w:r w:rsidR="001B119C" w:rsidRPr="00D22A8F">
        <w:rPr>
          <w:rFonts w:ascii="Times New Roman" w:hAnsi="Times New Roman" w:cs="Times New Roman"/>
        </w:rPr>
        <w:t>库兹涅茨</w:t>
      </w:r>
      <w:r w:rsidR="002C5213" w:rsidRPr="00D22A8F">
        <w:rPr>
          <w:rFonts w:ascii="Times New Roman" w:hAnsi="Times New Roman" w:cs="Times New Roman" w:hint="eastAsia"/>
        </w:rPr>
        <w:t>（</w:t>
      </w:r>
      <w:r w:rsidR="002C5213" w:rsidRPr="00D22A8F">
        <w:rPr>
          <w:rFonts w:ascii="Times New Roman" w:hAnsi="Times New Roman" w:cs="Times New Roman"/>
          <w:iCs/>
        </w:rPr>
        <w:t>Simon</w:t>
      </w:r>
      <w:r w:rsidR="00C84643" w:rsidRPr="00D22A8F">
        <w:rPr>
          <w:rFonts w:ascii="Times New Roman" w:hAnsi="Times New Roman" w:cs="Times New Roman"/>
          <w:iCs/>
        </w:rPr>
        <w:t xml:space="preserve"> </w:t>
      </w:r>
      <w:r w:rsidR="002C5213" w:rsidRPr="00D22A8F">
        <w:rPr>
          <w:rFonts w:ascii="Times New Roman" w:hAnsi="Times New Roman" w:cs="Times New Roman"/>
          <w:iCs/>
        </w:rPr>
        <w:t>Kuznets</w:t>
      </w:r>
      <w:r w:rsidR="002C5213" w:rsidRPr="00D22A8F">
        <w:rPr>
          <w:rFonts w:ascii="Times New Roman" w:hAnsi="Times New Roman" w:cs="Times New Roman" w:hint="eastAsia"/>
        </w:rPr>
        <w:t>）</w:t>
      </w:r>
      <w:r w:rsidRPr="00D22A8F">
        <w:rPr>
          <w:rFonts w:ascii="Times New Roman" w:hAnsi="Times New Roman" w:cs="Times New Roman" w:hint="eastAsia"/>
        </w:rPr>
        <w:t>。</w:t>
      </w:r>
      <w:r w:rsidR="00595DD4" w:rsidRPr="00D22A8F">
        <w:rPr>
          <w:rFonts w:ascii="Times New Roman" w:hAnsi="Times New Roman" w:cs="Times New Roman"/>
        </w:rPr>
        <w:t>该报告首次运用了劳动报酬、生产税、折旧和营业盈余加总的核算框架，即国民经济核算的收入法，核算的结果是</w:t>
      </w:r>
      <w:r w:rsidR="00595DD4" w:rsidRPr="00D22A8F">
        <w:rPr>
          <w:rFonts w:ascii="Times New Roman" w:hAnsi="Times New Roman" w:cs="Times New Roman"/>
        </w:rPr>
        <w:t>GDI</w:t>
      </w:r>
      <w:r w:rsidR="00595DD4" w:rsidRPr="00D22A8F">
        <w:rPr>
          <w:rFonts w:ascii="Times New Roman" w:hAnsi="Times New Roman" w:cs="Times New Roman"/>
        </w:rPr>
        <w:t>。二战期间，为平衡战事、民用物资生产，美国经济分析局以最优化理论为指导，核算了既定生产要素约束下的最优产出目标，这套方法从消费、投资、政府支出三个维度核算了美国经济的生产情况，即支出法，核算结果是</w:t>
      </w:r>
      <w:r w:rsidR="00595DD4" w:rsidRPr="00D22A8F">
        <w:rPr>
          <w:rFonts w:ascii="Times New Roman" w:hAnsi="Times New Roman" w:cs="Times New Roman"/>
        </w:rPr>
        <w:t>G</w:t>
      </w:r>
      <w:r w:rsidR="00850057" w:rsidRPr="00D22A8F">
        <w:rPr>
          <w:rFonts w:ascii="Times New Roman" w:hAnsi="Times New Roman" w:cs="Times New Roman" w:hint="eastAsia"/>
        </w:rPr>
        <w:t>N</w:t>
      </w:r>
      <w:r w:rsidR="00595DD4" w:rsidRPr="00D22A8F">
        <w:rPr>
          <w:rFonts w:ascii="Times New Roman" w:hAnsi="Times New Roman" w:cs="Times New Roman"/>
        </w:rPr>
        <w:t>P</w:t>
      </w:r>
      <w:r w:rsidR="00595DD4" w:rsidRPr="00D22A8F">
        <w:rPr>
          <w:rFonts w:ascii="Times New Roman" w:hAnsi="Times New Roman" w:cs="Times New Roman"/>
        </w:rPr>
        <w:t>。为了核算规范化和理论分析的需要，</w:t>
      </w:r>
      <w:r w:rsidR="00850057" w:rsidRPr="00D22A8F">
        <w:rPr>
          <w:rFonts w:ascii="Times New Roman" w:hAnsi="Times New Roman" w:cs="Times New Roman" w:hint="eastAsia"/>
        </w:rPr>
        <w:t>国联统计专家委员会</w:t>
      </w:r>
      <w:r w:rsidR="009B07FD" w:rsidRPr="00D22A8F">
        <w:rPr>
          <w:rFonts w:ascii="Times New Roman" w:hAnsi="Times New Roman" w:cs="Times New Roman" w:hint="eastAsia"/>
        </w:rPr>
        <w:t>下辖的国民收入统计分委员会</w:t>
      </w:r>
      <w:r w:rsidR="00334A45" w:rsidRPr="00D22A8F">
        <w:rPr>
          <w:rFonts w:ascii="Times New Roman" w:hAnsi="Times New Roman" w:cs="Times New Roman" w:hint="eastAsia"/>
        </w:rPr>
        <w:t>（</w:t>
      </w:r>
      <w:r w:rsidR="00334A45" w:rsidRPr="00D22A8F">
        <w:rPr>
          <w:rFonts w:ascii="Times New Roman" w:hAnsi="Times New Roman" w:cs="Times New Roman"/>
          <w:iCs/>
        </w:rPr>
        <w:t>The Sub-Committee On National Income Statistics of The League of Nations Committee of Statistical Experts</w:t>
      </w:r>
      <w:r w:rsidR="00334A45" w:rsidRPr="00D22A8F">
        <w:rPr>
          <w:rFonts w:ascii="Times New Roman" w:hAnsi="Times New Roman" w:cs="Times New Roman" w:hint="eastAsia"/>
        </w:rPr>
        <w:t>）</w:t>
      </w:r>
      <w:r w:rsidR="00850057" w:rsidRPr="00D22A8F">
        <w:rPr>
          <w:rFonts w:ascii="Times New Roman" w:hAnsi="Times New Roman" w:cs="Times New Roman" w:hint="eastAsia"/>
        </w:rPr>
        <w:t>组织编写了复式账户体系核算手册</w:t>
      </w:r>
      <w:r w:rsidR="008D21C2" w:rsidRPr="00D22A8F">
        <w:rPr>
          <w:rFonts w:ascii="Times New Roman" w:hAnsi="Times New Roman" w:cs="Times New Roman" w:hint="eastAsia"/>
        </w:rPr>
        <w:t>《国民收入测算和社会账户的编制</w:t>
      </w:r>
      <w:r w:rsidR="008D21C2" w:rsidRPr="00C3146C">
        <w:rPr>
          <w:rFonts w:ascii="Times New Roman" w:hAnsi="Times New Roman" w:cs="Times New Roman" w:hint="eastAsia"/>
        </w:rPr>
        <w:t>》</w:t>
      </w:r>
      <w:r w:rsidR="008D21C2" w:rsidRPr="001716FC">
        <w:rPr>
          <w:rFonts w:ascii="Times New Roman" w:hAnsi="Times New Roman" w:cs="Times New Roman" w:hint="eastAsia"/>
        </w:rPr>
        <w:t>（</w:t>
      </w:r>
      <w:r w:rsidR="008D21C2" w:rsidRPr="001716FC">
        <w:rPr>
          <w:rFonts w:ascii="Times New Roman" w:hAnsi="Times New Roman" w:cs="Times New Roman" w:hint="eastAsia"/>
        </w:rPr>
        <w:t>Measurement of National Income and the Construction of Social Accounts</w:t>
      </w:r>
      <w:r w:rsidR="008D21C2" w:rsidRPr="001716FC">
        <w:rPr>
          <w:rFonts w:ascii="Times New Roman" w:hAnsi="Times New Roman" w:cs="Times New Roman" w:hint="eastAsia"/>
        </w:rPr>
        <w:t>）</w:t>
      </w:r>
      <w:r w:rsidR="00850057" w:rsidRPr="00C3146C">
        <w:rPr>
          <w:rFonts w:ascii="Times New Roman" w:hAnsi="Times New Roman" w:cs="Times New Roman" w:hint="eastAsia"/>
        </w:rPr>
        <w:t>，</w:t>
      </w:r>
      <w:r w:rsidR="008D21C2" w:rsidRPr="00C3146C">
        <w:rPr>
          <w:rFonts w:ascii="Times New Roman" w:hAnsi="Times New Roman" w:cs="Times New Roman"/>
        </w:rPr>
        <w:t>即</w:t>
      </w:r>
      <w:r w:rsidR="008D21C2" w:rsidRPr="00C3146C">
        <w:rPr>
          <w:rFonts w:ascii="Times New Roman" w:hAnsi="Times New Roman" w:cs="Times New Roman"/>
        </w:rPr>
        <w:t>SNA1947</w:t>
      </w:r>
      <w:r w:rsidR="008D21C2" w:rsidRPr="00C3146C">
        <w:rPr>
          <w:rFonts w:ascii="Times New Roman" w:hAnsi="Times New Roman" w:cs="Times New Roman"/>
        </w:rPr>
        <w:t>，</w:t>
      </w:r>
      <w:r w:rsidR="00850057" w:rsidRPr="00C3146C">
        <w:rPr>
          <w:rFonts w:ascii="Times New Roman" w:hAnsi="Times New Roman" w:cs="Times New Roman" w:hint="eastAsia"/>
        </w:rPr>
        <w:t>该报告由</w:t>
      </w:r>
      <w:r w:rsidR="00595DD4" w:rsidRPr="00C3146C">
        <w:rPr>
          <w:rFonts w:ascii="Times New Roman" w:hAnsi="Times New Roman" w:cs="Times New Roman"/>
        </w:rPr>
        <w:t>198</w:t>
      </w:r>
      <w:r w:rsidR="00850057" w:rsidRPr="00C3146C">
        <w:rPr>
          <w:rFonts w:ascii="Times New Roman" w:hAnsi="Times New Roman" w:cs="Times New Roman" w:hint="eastAsia"/>
        </w:rPr>
        <w:t>4</w:t>
      </w:r>
      <w:r w:rsidR="00595DD4" w:rsidRPr="00C3146C">
        <w:rPr>
          <w:rFonts w:ascii="Times New Roman" w:hAnsi="Times New Roman" w:cs="Times New Roman"/>
        </w:rPr>
        <w:t>年诺贝尔经济学奖得主</w:t>
      </w:r>
      <w:r w:rsidR="00E5246F" w:rsidRPr="00C3146C">
        <w:rPr>
          <w:rFonts w:ascii="Times New Roman" w:hAnsi="Times New Roman" w:cs="Times New Roman"/>
        </w:rPr>
        <w:t>理查德</w:t>
      </w:r>
      <w:r>
        <w:rPr>
          <w:rFonts w:ascii="Times New Roman" w:hAnsi="Times New Roman" w:cs="Times New Roman" w:hint="eastAsia"/>
        </w:rPr>
        <w:t>·</w:t>
      </w:r>
      <w:r w:rsidR="00E5246F" w:rsidRPr="00C3146C">
        <w:rPr>
          <w:rFonts w:ascii="Times New Roman" w:hAnsi="Times New Roman" w:cs="Times New Roman"/>
        </w:rPr>
        <w:t>斯通</w:t>
      </w:r>
      <w:r w:rsidR="00E5246F" w:rsidRPr="008F0CD8">
        <w:rPr>
          <w:rFonts w:ascii="Times New Roman" w:hAnsi="Times New Roman" w:cs="Times New Roman" w:hint="eastAsia"/>
        </w:rPr>
        <w:t>（</w:t>
      </w:r>
      <w:r w:rsidR="00C84643" w:rsidRPr="00BE517C">
        <w:rPr>
          <w:rFonts w:ascii="Times New Roman" w:hAnsi="Times New Roman" w:cs="Times New Roman"/>
          <w:iCs/>
        </w:rPr>
        <w:t>Richard Stone</w:t>
      </w:r>
      <w:r w:rsidR="00E5246F" w:rsidRPr="008F0CD8">
        <w:rPr>
          <w:rFonts w:ascii="Times New Roman" w:hAnsi="Times New Roman" w:cs="Times New Roman" w:hint="eastAsia"/>
        </w:rPr>
        <w:t>）</w:t>
      </w:r>
      <w:r w:rsidR="00595DD4" w:rsidRPr="00C3146C">
        <w:rPr>
          <w:rFonts w:ascii="Times New Roman" w:hAnsi="Times New Roman" w:cs="Times New Roman"/>
        </w:rPr>
        <w:t>执笔</w:t>
      </w:r>
      <w:r w:rsidR="008D21C2" w:rsidRPr="00C3146C">
        <w:rPr>
          <w:rFonts w:ascii="Times New Roman" w:hAnsi="Times New Roman" w:cs="Times New Roman" w:hint="eastAsia"/>
        </w:rPr>
        <w:t>。</w:t>
      </w:r>
      <w:r w:rsidR="00595DD4" w:rsidRPr="00C3146C">
        <w:rPr>
          <w:rFonts w:ascii="Times New Roman" w:hAnsi="Times New Roman" w:cs="Times New Roman"/>
        </w:rPr>
        <w:t>后</w:t>
      </w:r>
      <w:r w:rsidR="00E04E3D" w:rsidRPr="00C3146C">
        <w:rPr>
          <w:rFonts w:ascii="Times New Roman" w:hAnsi="Times New Roman" w:cs="Times New Roman" w:hint="eastAsia"/>
        </w:rPr>
        <w:t>在联合国的组织下，先后经历</w:t>
      </w:r>
      <w:r w:rsidR="00595DD4" w:rsidRPr="00C3146C">
        <w:rPr>
          <w:rFonts w:ascii="Times New Roman" w:hAnsi="Times New Roman" w:cs="Times New Roman" w:hint="eastAsia"/>
        </w:rPr>
        <w:t>S</w:t>
      </w:r>
      <w:r w:rsidR="00595DD4" w:rsidRPr="00C3146C">
        <w:rPr>
          <w:rFonts w:ascii="Times New Roman" w:hAnsi="Times New Roman" w:cs="Times New Roman"/>
        </w:rPr>
        <w:t>NA19</w:t>
      </w:r>
      <w:r w:rsidR="00C36FE2" w:rsidRPr="00C3146C">
        <w:rPr>
          <w:rFonts w:ascii="Times New Roman" w:hAnsi="Times New Roman" w:cs="Times New Roman" w:hint="eastAsia"/>
        </w:rPr>
        <w:t>53</w:t>
      </w:r>
      <w:r w:rsidR="00595DD4" w:rsidRPr="00C3146C">
        <w:rPr>
          <w:rFonts w:ascii="Times New Roman" w:hAnsi="Times New Roman" w:cs="Times New Roman"/>
        </w:rPr>
        <w:t>、</w:t>
      </w:r>
      <w:r w:rsidR="00C36FE2" w:rsidRPr="00C3146C">
        <w:rPr>
          <w:rFonts w:ascii="Times New Roman" w:hAnsi="Times New Roman" w:cs="Times New Roman" w:hint="eastAsia"/>
        </w:rPr>
        <w:t>SNA1960</w:t>
      </w:r>
      <w:r w:rsidR="00C36FE2" w:rsidRPr="00C3146C">
        <w:rPr>
          <w:rFonts w:ascii="Times New Roman" w:hAnsi="Times New Roman" w:cs="Times New Roman" w:hint="eastAsia"/>
        </w:rPr>
        <w:t>、</w:t>
      </w:r>
      <w:r w:rsidR="00C36FE2" w:rsidRPr="00C3146C">
        <w:rPr>
          <w:rFonts w:ascii="Times New Roman" w:hAnsi="Times New Roman" w:cs="Times New Roman" w:hint="eastAsia"/>
        </w:rPr>
        <w:t>SNA1964</w:t>
      </w:r>
      <w:r w:rsidR="00C36FE2" w:rsidRPr="00C3146C">
        <w:rPr>
          <w:rFonts w:ascii="Times New Roman" w:hAnsi="Times New Roman" w:cs="Times New Roman" w:hint="eastAsia"/>
        </w:rPr>
        <w:t>、</w:t>
      </w:r>
      <w:r w:rsidR="00C36FE2" w:rsidRPr="00C3146C">
        <w:rPr>
          <w:rFonts w:ascii="Times New Roman" w:hAnsi="Times New Roman" w:cs="Times New Roman" w:hint="eastAsia"/>
        </w:rPr>
        <w:t>SNA1968</w:t>
      </w:r>
      <w:r w:rsidR="00E04E3D" w:rsidRPr="00C3146C">
        <w:rPr>
          <w:rFonts w:ascii="Times New Roman" w:hAnsi="Times New Roman" w:cs="Times New Roman" w:hint="eastAsia"/>
        </w:rPr>
        <w:t>、</w:t>
      </w:r>
      <w:r w:rsidR="00595DD4" w:rsidRPr="00C3146C">
        <w:rPr>
          <w:rFonts w:ascii="Times New Roman" w:hAnsi="Times New Roman" w:cs="Times New Roman"/>
        </w:rPr>
        <w:t>SNA1993</w:t>
      </w:r>
      <w:r w:rsidR="00595DD4" w:rsidRPr="00C3146C">
        <w:rPr>
          <w:rFonts w:ascii="Times New Roman" w:hAnsi="Times New Roman" w:cs="Times New Roman"/>
        </w:rPr>
        <w:t>、</w:t>
      </w:r>
      <w:r w:rsidR="00595DD4" w:rsidRPr="00C3146C">
        <w:rPr>
          <w:rFonts w:ascii="Times New Roman" w:hAnsi="Times New Roman" w:cs="Times New Roman"/>
        </w:rPr>
        <w:t>SNA2008</w:t>
      </w:r>
      <w:r w:rsidR="00E04E3D" w:rsidRPr="00C3146C">
        <w:rPr>
          <w:rFonts w:ascii="Times New Roman" w:hAnsi="Times New Roman" w:cs="Times New Roman" w:hint="eastAsia"/>
        </w:rPr>
        <w:t>等多次更新</w:t>
      </w:r>
      <w:r>
        <w:rPr>
          <w:rFonts w:ascii="Times New Roman" w:hAnsi="Times New Roman" w:cs="Times New Roman" w:hint="eastAsia"/>
        </w:rPr>
        <w:t>。</w:t>
      </w:r>
      <w:r w:rsidR="001101A9" w:rsidRPr="00C3146C">
        <w:rPr>
          <w:rStyle w:val="a5"/>
          <w:rFonts w:ascii="Times New Roman" w:hAnsi="Times New Roman" w:cs="Times New Roman"/>
        </w:rPr>
        <w:footnoteReference w:id="5"/>
      </w:r>
      <w:r w:rsidR="00595DD4" w:rsidRPr="00C3146C">
        <w:rPr>
          <w:rFonts w:ascii="Times New Roman" w:hAnsi="Times New Roman" w:cs="Times New Roman"/>
        </w:rPr>
        <w:t>在</w:t>
      </w:r>
      <w:r w:rsidR="0097332E" w:rsidRPr="00C3146C">
        <w:rPr>
          <w:rFonts w:ascii="Times New Roman" w:hAnsi="Times New Roman" w:cs="Times New Roman" w:hint="eastAsia"/>
        </w:rPr>
        <w:t>联合国</w:t>
      </w:r>
      <w:r w:rsidR="00595DD4" w:rsidRPr="00C3146C">
        <w:rPr>
          <w:rFonts w:ascii="Times New Roman" w:hAnsi="Times New Roman" w:cs="Times New Roman"/>
        </w:rPr>
        <w:t>核算手册的指导下，除美国外的其他国家完成了本国的国民经济账户</w:t>
      </w:r>
      <w:r w:rsidR="006A0148">
        <w:rPr>
          <w:rFonts w:ascii="Times New Roman" w:hAnsi="Times New Roman" w:cs="Times New Roman" w:hint="eastAsia"/>
        </w:rPr>
        <w:t>体系</w:t>
      </w:r>
      <w:r w:rsidR="00595DD4" w:rsidRPr="00C3146C">
        <w:rPr>
          <w:rFonts w:ascii="Times New Roman" w:hAnsi="Times New Roman" w:cs="Times New Roman"/>
        </w:rPr>
        <w:t>核算手册，如中国的《国民经济核算手册</w:t>
      </w:r>
      <w:r w:rsidR="00595DD4" w:rsidRPr="00C3146C">
        <w:rPr>
          <w:rFonts w:ascii="Times New Roman" w:hAnsi="Times New Roman" w:cs="Times New Roman"/>
        </w:rPr>
        <w:t>2016</w:t>
      </w:r>
      <w:r w:rsidR="00595DD4" w:rsidRPr="00C3146C">
        <w:rPr>
          <w:rFonts w:ascii="Times New Roman" w:hAnsi="Times New Roman" w:cs="Times New Roman"/>
        </w:rPr>
        <w:t>》。</w:t>
      </w:r>
    </w:p>
    <w:p w14:paraId="40D1096F" w14:textId="77777777" w:rsidR="00595DD4" w:rsidRPr="00C3146C" w:rsidRDefault="00595DD4" w:rsidP="00595DD4">
      <w:pPr>
        <w:spacing w:line="360" w:lineRule="auto"/>
        <w:ind w:firstLineChars="200" w:firstLine="480"/>
        <w:rPr>
          <w:rFonts w:ascii="Times New Roman" w:hAnsi="Times New Roman" w:cs="Times New Roman"/>
        </w:rPr>
      </w:pPr>
    </w:p>
    <w:p w14:paraId="2E63B64D" w14:textId="761DDF50" w:rsidR="00B75A29" w:rsidRPr="00C3146C" w:rsidRDefault="00B75A29" w:rsidP="00595DD4">
      <w:pPr>
        <w:spacing w:line="360" w:lineRule="auto"/>
        <w:ind w:firstLineChars="200" w:firstLine="480"/>
        <w:rPr>
          <w:rFonts w:ascii="黑体" w:eastAsia="黑体" w:hAnsi="黑体" w:cs="Times New Roman"/>
        </w:rPr>
      </w:pPr>
      <w:r w:rsidRPr="00C3146C">
        <w:rPr>
          <w:rFonts w:ascii="黑体" w:eastAsia="黑体" w:hAnsi="黑体" w:cs="Times New Roman" w:hint="eastAsia"/>
        </w:rPr>
        <w:t>二、</w:t>
      </w:r>
      <w:r w:rsidR="00E242E7" w:rsidRPr="00C3146C">
        <w:rPr>
          <w:rFonts w:ascii="黑体" w:eastAsia="黑体" w:hAnsi="黑体" w:cs="Times New Roman" w:hint="eastAsia"/>
        </w:rPr>
        <w:t>美国经济</w:t>
      </w:r>
      <w:r w:rsidR="00CF41AD" w:rsidRPr="00C3146C">
        <w:rPr>
          <w:rFonts w:ascii="黑体" w:eastAsia="黑体" w:hAnsi="黑体" w:cs="Times New Roman" w:hint="eastAsia"/>
        </w:rPr>
        <w:t>报表复原：从国民经济账户</w:t>
      </w:r>
      <w:r w:rsidR="006A0148">
        <w:rPr>
          <w:rFonts w:ascii="黑体" w:eastAsia="黑体" w:hAnsi="黑体" w:cs="Times New Roman" w:hint="eastAsia"/>
        </w:rPr>
        <w:t>体系</w:t>
      </w:r>
      <w:r w:rsidR="00CF41AD" w:rsidRPr="00C3146C">
        <w:rPr>
          <w:rFonts w:ascii="黑体" w:eastAsia="黑体" w:hAnsi="黑体" w:cs="Times New Roman" w:hint="eastAsia"/>
        </w:rPr>
        <w:t>到部门收支</w:t>
      </w:r>
    </w:p>
    <w:p w14:paraId="42556CAF" w14:textId="77777777" w:rsidR="00DA6724" w:rsidRPr="00C3146C" w:rsidRDefault="00DA6724" w:rsidP="002542B4">
      <w:pPr>
        <w:spacing w:line="360" w:lineRule="auto"/>
        <w:ind w:firstLineChars="200" w:firstLine="480"/>
        <w:rPr>
          <w:rFonts w:ascii="Times New Roman" w:hAnsi="Times New Roman" w:cs="Times New Roman"/>
        </w:rPr>
      </w:pPr>
    </w:p>
    <w:p w14:paraId="62373EB4" w14:textId="1165E7DE" w:rsidR="00E242E7" w:rsidRPr="00D22A8F" w:rsidRDefault="00E242E7" w:rsidP="00E242E7">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大萧条至今，美国国内生产总值从</w:t>
      </w:r>
      <w:r w:rsidRPr="00C3146C">
        <w:rPr>
          <w:rFonts w:ascii="Times New Roman" w:hAnsi="Times New Roman" w:cs="Times New Roman" w:hint="eastAsia"/>
        </w:rPr>
        <w:t>1046</w:t>
      </w:r>
      <w:r w:rsidRPr="00C3146C">
        <w:rPr>
          <w:rFonts w:ascii="Times New Roman" w:hAnsi="Times New Roman" w:cs="Times New Roman" w:hint="eastAsia"/>
        </w:rPr>
        <w:t>亿美元增长至</w:t>
      </w:r>
      <w:r w:rsidRPr="00C3146C">
        <w:rPr>
          <w:rFonts w:ascii="Times New Roman" w:hAnsi="Times New Roman" w:cs="Times New Roman" w:hint="eastAsia"/>
        </w:rPr>
        <w:t>27.36</w:t>
      </w:r>
      <w:r w:rsidRPr="00C3146C">
        <w:rPr>
          <w:rFonts w:ascii="Times New Roman" w:hAnsi="Times New Roman" w:cs="Times New Roman" w:hint="eastAsia"/>
        </w:rPr>
        <w:t>万亿美元，即使扣除自住房房租、非收费项目估值和非</w:t>
      </w:r>
      <w:r w:rsidR="008F0CD8">
        <w:rPr>
          <w:rFonts w:ascii="Times New Roman" w:hAnsi="Times New Roman" w:cs="Times New Roman" w:hint="eastAsia"/>
        </w:rPr>
        <w:t>营</w:t>
      </w:r>
      <w:r w:rsidRPr="00C3146C">
        <w:rPr>
          <w:rFonts w:ascii="Times New Roman" w:hAnsi="Times New Roman" w:cs="Times New Roman" w:hint="eastAsia"/>
        </w:rPr>
        <w:t>利组织服务市价估算等为做平报表</w:t>
      </w:r>
      <w:r w:rsidRPr="00C3146C">
        <w:rPr>
          <w:rFonts w:ascii="Times New Roman" w:hAnsi="Times New Roman" w:cs="Times New Roman" w:hint="eastAsia"/>
        </w:rPr>
        <w:lastRenderedPageBreak/>
        <w:t>而虚</w:t>
      </w:r>
      <w:r w:rsidRPr="00D22A8F">
        <w:rPr>
          <w:rFonts w:ascii="Times New Roman" w:hAnsi="Times New Roman" w:cs="Times New Roman" w:hint="eastAsia"/>
        </w:rPr>
        <w:t>增的项目</w:t>
      </w:r>
      <w:r w:rsidR="008F0CD8" w:rsidRPr="00D22A8F">
        <w:rPr>
          <w:rFonts w:ascii="Times New Roman" w:hAnsi="Times New Roman" w:cs="Times New Roman" w:hint="eastAsia"/>
        </w:rPr>
        <w:t>，</w:t>
      </w:r>
      <w:r w:rsidRPr="00D22A8F">
        <w:rPr>
          <w:rStyle w:val="a5"/>
          <w:rFonts w:ascii="Times New Roman" w:hAnsi="Times New Roman" w:cs="Times New Roman"/>
        </w:rPr>
        <w:footnoteReference w:id="6"/>
      </w:r>
      <w:r w:rsidRPr="00D22A8F">
        <w:rPr>
          <w:rFonts w:ascii="Times New Roman" w:hAnsi="Times New Roman" w:cs="Times New Roman" w:hint="eastAsia"/>
        </w:rPr>
        <w:t>美国国内生产总值依然有</w:t>
      </w:r>
      <w:r w:rsidRPr="00D22A8F">
        <w:rPr>
          <w:rFonts w:ascii="Times New Roman" w:hAnsi="Times New Roman" w:cs="Times New Roman" w:hint="eastAsia"/>
        </w:rPr>
        <w:t>24.2</w:t>
      </w:r>
      <w:r w:rsidRPr="00D22A8F">
        <w:rPr>
          <w:rFonts w:ascii="Times New Roman" w:hAnsi="Times New Roman" w:cs="Times New Roman" w:hint="eastAsia"/>
        </w:rPr>
        <w:t>万亿美元的规模。作为同等经济规模、相似人口规模</w:t>
      </w:r>
      <w:r w:rsidR="009B07FD" w:rsidRPr="00D22A8F">
        <w:rPr>
          <w:rStyle w:val="a5"/>
          <w:rFonts w:ascii="Times New Roman" w:hAnsi="Times New Roman" w:cs="Times New Roman"/>
        </w:rPr>
        <w:footnoteReference w:id="7"/>
      </w:r>
      <w:r w:rsidRPr="00D22A8F">
        <w:rPr>
          <w:rFonts w:ascii="Times New Roman" w:hAnsi="Times New Roman" w:cs="Times New Roman" w:hint="eastAsia"/>
        </w:rPr>
        <w:t>的参照体系，美国的比较意义尤为重要。</w:t>
      </w:r>
    </w:p>
    <w:p w14:paraId="7C6D6404" w14:textId="02E6B356" w:rsidR="00E242E7" w:rsidRPr="00C3146C" w:rsidRDefault="00E242E7" w:rsidP="00E242E7">
      <w:pPr>
        <w:spacing w:line="360" w:lineRule="auto"/>
        <w:ind w:firstLineChars="200" w:firstLine="480"/>
        <w:rPr>
          <w:rFonts w:ascii="Times New Roman" w:hAnsi="Times New Roman" w:cs="Times New Roman"/>
        </w:rPr>
      </w:pPr>
      <w:r w:rsidRPr="00D22A8F">
        <w:rPr>
          <w:rFonts w:ascii="Times New Roman" w:hAnsi="Times New Roman" w:cs="Times New Roman" w:hint="eastAsia"/>
        </w:rPr>
        <w:t>本文的分析重在结构变迁的趋势及这些变化背后的制度设计。作为参照双方，中美两国制度不同、发展的历史传统不同</w:t>
      </w:r>
      <w:r w:rsidRPr="00C3146C">
        <w:rPr>
          <w:rFonts w:ascii="Times New Roman" w:hAnsi="Times New Roman" w:cs="Times New Roman" w:hint="eastAsia"/>
        </w:rPr>
        <w:t>、</w:t>
      </w:r>
      <w:r w:rsidRPr="00C3146C">
        <w:rPr>
          <w:rFonts w:ascii="Times New Roman" w:hAnsi="Times New Roman" w:cs="Times New Roman"/>
        </w:rPr>
        <w:t>核算方法不同、定价体系不同、生产条件不同，</w:t>
      </w:r>
      <w:r w:rsidRPr="00C3146C">
        <w:rPr>
          <w:rFonts w:ascii="Times New Roman" w:hAnsi="Times New Roman" w:cs="Times New Roman" w:hint="eastAsia"/>
        </w:rPr>
        <w:t>简单做总量分析与类比</w:t>
      </w:r>
      <w:r w:rsidR="000D4587">
        <w:rPr>
          <w:rFonts w:ascii="Times New Roman" w:hAnsi="Times New Roman" w:cs="Times New Roman" w:hint="eastAsia"/>
        </w:rPr>
        <w:t>的</w:t>
      </w:r>
      <w:r w:rsidRPr="00C3146C">
        <w:rPr>
          <w:rFonts w:ascii="Times New Roman" w:hAnsi="Times New Roman" w:cs="Times New Roman" w:hint="eastAsia"/>
        </w:rPr>
        <w:t>误差太大，能够</w:t>
      </w:r>
      <w:r w:rsidR="000D4587">
        <w:rPr>
          <w:rFonts w:ascii="Times New Roman" w:hAnsi="Times New Roman" w:cs="Times New Roman" w:hint="eastAsia"/>
        </w:rPr>
        <w:t>得到</w:t>
      </w:r>
      <w:r w:rsidRPr="00C3146C">
        <w:rPr>
          <w:rFonts w:ascii="Times New Roman" w:hAnsi="Times New Roman" w:cs="Times New Roman" w:hint="eastAsia"/>
        </w:rPr>
        <w:t>的有价值信息有限。但是，作为同等体量的国家，结构变迁的趋势在某种程度上</w:t>
      </w:r>
      <w:r w:rsidR="00231E43" w:rsidRPr="00231E43">
        <w:rPr>
          <w:rFonts w:ascii="Times New Roman" w:hAnsi="Times New Roman" w:cs="Times New Roman" w:hint="eastAsia"/>
        </w:rPr>
        <w:t>抵消</w:t>
      </w:r>
      <w:r>
        <w:rPr>
          <w:rFonts w:ascii="Times New Roman" w:hAnsi="Times New Roman" w:cs="Times New Roman" w:hint="eastAsia"/>
        </w:rPr>
        <w:t>了核算方法、定价体系和生产条件差异带来的误差，乃至于展现了某种理论路径的可行性。透过结构，我们可以省却不必要的路径探索，节约试错成本。</w:t>
      </w:r>
    </w:p>
    <w:p w14:paraId="0BA2EB7C" w14:textId="77777777" w:rsidR="00E242E7" w:rsidRPr="00C3146C" w:rsidRDefault="00E242E7" w:rsidP="00E242E7">
      <w:pPr>
        <w:spacing w:line="360" w:lineRule="auto"/>
        <w:ind w:firstLineChars="200" w:firstLine="480"/>
        <w:rPr>
          <w:rFonts w:ascii="Times New Roman" w:hAnsi="Times New Roman" w:cs="Times New Roman"/>
        </w:rPr>
      </w:pPr>
    </w:p>
    <w:p w14:paraId="0430BB75" w14:textId="770DBCEC" w:rsidR="00E242E7" w:rsidRPr="00C3146C" w:rsidRDefault="00DB7C10" w:rsidP="00DB7C10">
      <w:pPr>
        <w:spacing w:line="360" w:lineRule="auto"/>
        <w:rPr>
          <w:rFonts w:ascii="Times New Roman" w:hAnsi="Times New Roman" w:cs="Times New Roman"/>
          <w:b/>
          <w:bCs/>
        </w:rPr>
      </w:pPr>
      <w:r w:rsidRPr="00C3146C">
        <w:rPr>
          <w:rFonts w:ascii="Times New Roman" w:hAnsi="Times New Roman" w:cs="Times New Roman" w:hint="eastAsia"/>
          <w:b/>
          <w:bCs/>
        </w:rPr>
        <w:t>（一）</w:t>
      </w:r>
      <w:r w:rsidR="00E242E7" w:rsidRPr="00C3146C">
        <w:rPr>
          <w:rFonts w:ascii="Times New Roman" w:hAnsi="Times New Roman" w:cs="Times New Roman" w:hint="eastAsia"/>
          <w:b/>
          <w:bCs/>
        </w:rPr>
        <w:t>美国国民经济账户</w:t>
      </w:r>
      <w:r w:rsidR="006A0148">
        <w:rPr>
          <w:rFonts w:ascii="Times New Roman" w:hAnsi="Times New Roman" w:cs="Times New Roman" w:hint="eastAsia"/>
          <w:b/>
          <w:bCs/>
        </w:rPr>
        <w:t>体系</w:t>
      </w:r>
      <w:r w:rsidR="00E242E7" w:rsidRPr="00C3146C">
        <w:rPr>
          <w:rFonts w:ascii="Times New Roman" w:hAnsi="Times New Roman" w:cs="Times New Roman" w:hint="eastAsia"/>
          <w:b/>
          <w:bCs/>
        </w:rPr>
        <w:t>的表内变化</w:t>
      </w:r>
    </w:p>
    <w:p w14:paraId="5C942EF3" w14:textId="26298B4C" w:rsidR="00E242E7" w:rsidRDefault="00E242E7" w:rsidP="00E242E7">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战后，美国经济出现了两次大的分水岭：里根执政和疫情冲击。两次分水岭把战后美国经济增长分割成了三个片段，即战后的凯恩斯主义时代、里根执政后的政府转型时代和疫情后政府的回归。</w:t>
      </w:r>
    </w:p>
    <w:p w14:paraId="2AB2F40B" w14:textId="1806CAEA" w:rsidR="00EA0BB5" w:rsidRDefault="008F0CD8" w:rsidP="00E242E7">
      <w:pPr>
        <w:spacing w:line="360" w:lineRule="auto"/>
        <w:ind w:firstLineChars="200" w:firstLine="480"/>
        <w:rPr>
          <w:rFonts w:ascii="Times New Roman" w:hAnsi="Times New Roman" w:cs="Times New Roman"/>
        </w:rPr>
      </w:pPr>
      <w:r>
        <w:rPr>
          <w:rFonts w:ascii="Times New Roman" w:hAnsi="Times New Roman" w:cs="Times New Roman" w:hint="eastAsia"/>
        </w:rPr>
        <w:t>二</w:t>
      </w:r>
      <w:r w:rsidRPr="00C3146C">
        <w:rPr>
          <w:rFonts w:ascii="Times New Roman" w:hAnsi="Times New Roman" w:cs="Times New Roman" w:hint="eastAsia"/>
        </w:rPr>
        <w:t>战后至今，美国经济的增量结构发生</w:t>
      </w:r>
      <w:r>
        <w:rPr>
          <w:rFonts w:ascii="Times New Roman" w:hAnsi="Times New Roman" w:cs="Times New Roman" w:hint="eastAsia"/>
        </w:rPr>
        <w:t>了</w:t>
      </w:r>
      <w:r w:rsidRPr="00C3146C">
        <w:rPr>
          <w:rFonts w:ascii="Times New Roman" w:hAnsi="Times New Roman" w:cs="Times New Roman" w:hint="eastAsia"/>
        </w:rPr>
        <w:t>重大</w:t>
      </w:r>
      <w:r w:rsidRPr="00D22A8F">
        <w:rPr>
          <w:rFonts w:ascii="Times New Roman" w:hAnsi="Times New Roman" w:cs="Times New Roman" w:hint="eastAsia"/>
        </w:rPr>
        <w:t>变化。从复式报表（表</w:t>
      </w:r>
      <w:r w:rsidRPr="00D22A8F">
        <w:rPr>
          <w:rFonts w:ascii="Times New Roman" w:hAnsi="Times New Roman" w:cs="Times New Roman" w:hint="eastAsia"/>
        </w:rPr>
        <w:t>1</w:t>
      </w:r>
      <w:r w:rsidRPr="00D22A8F">
        <w:rPr>
          <w:rFonts w:ascii="Times New Roman" w:hAnsi="Times New Roman" w:cs="Times New Roman" w:hint="eastAsia"/>
        </w:rPr>
        <w:t>）看，美国家庭表内收支失衡持续恶化，支出、收入呈反向变化，即表内支出增</w:t>
      </w:r>
      <w:r w:rsidRPr="00C3146C">
        <w:rPr>
          <w:rFonts w:ascii="Times New Roman" w:hAnsi="Times New Roman" w:cs="Times New Roman" w:hint="eastAsia"/>
        </w:rPr>
        <w:t>加、表内收入减少，</w:t>
      </w:r>
      <w:r w:rsidRPr="00A60BBD">
        <w:rPr>
          <w:rFonts w:ascii="Times New Roman" w:hAnsi="Times New Roman" w:cs="Times New Roman"/>
        </w:rPr>
        <w:t>2023</w:t>
      </w:r>
      <w:r w:rsidRPr="00A60BBD">
        <w:rPr>
          <w:rFonts w:ascii="Times New Roman" w:hAnsi="Times New Roman" w:cs="Times New Roman" w:hint="eastAsia"/>
        </w:rPr>
        <w:t>年美国家庭表内不含虚增部分的消费支出为</w:t>
      </w:r>
      <w:r w:rsidRPr="00A60BBD">
        <w:rPr>
          <w:rFonts w:ascii="Times New Roman" w:hAnsi="Times New Roman" w:cs="Times New Roman"/>
        </w:rPr>
        <w:t>15.</w:t>
      </w:r>
      <w:r w:rsidR="00870CFB" w:rsidRPr="00A60BBD">
        <w:rPr>
          <w:rFonts w:ascii="Times New Roman" w:hAnsi="Times New Roman" w:cs="Times New Roman" w:hint="eastAsia"/>
        </w:rPr>
        <w:t>5</w:t>
      </w:r>
      <w:r w:rsidRPr="00A60BBD">
        <w:rPr>
          <w:rFonts w:ascii="Times New Roman" w:hAnsi="Times New Roman" w:cs="Times New Roman" w:hint="eastAsia"/>
        </w:rPr>
        <w:t>万亿、家庭表内收入</w:t>
      </w:r>
      <w:r w:rsidRPr="00A60BBD">
        <w:rPr>
          <w:rFonts w:ascii="Times New Roman" w:hAnsi="Times New Roman" w:cs="Times New Roman"/>
        </w:rPr>
        <w:t>14.2</w:t>
      </w:r>
      <w:r w:rsidRPr="00A60BBD">
        <w:rPr>
          <w:rFonts w:ascii="Times New Roman" w:hAnsi="Times New Roman" w:cs="Times New Roman" w:hint="eastAsia"/>
        </w:rPr>
        <w:t>万亿</w:t>
      </w:r>
      <w:r w:rsidR="00FD6AFE" w:rsidRPr="00A60BBD">
        <w:rPr>
          <w:rFonts w:ascii="Times New Roman" w:hAnsi="Times New Roman" w:cs="Times New Roman" w:hint="eastAsia"/>
        </w:rPr>
        <w:t>美元</w:t>
      </w:r>
      <w:r w:rsidRPr="00A60BBD">
        <w:rPr>
          <w:rFonts w:ascii="Times New Roman" w:hAnsi="Times New Roman" w:cs="Times New Roman" w:hint="eastAsia"/>
        </w:rPr>
        <w:t>，两者相差</w:t>
      </w:r>
      <w:r w:rsidRPr="00A60BBD">
        <w:rPr>
          <w:rFonts w:ascii="Times New Roman" w:hAnsi="Times New Roman" w:cs="Times New Roman"/>
        </w:rPr>
        <w:t>1.</w:t>
      </w:r>
      <w:r w:rsidR="00A60BBD">
        <w:rPr>
          <w:rFonts w:ascii="Times New Roman" w:hAnsi="Times New Roman" w:cs="Times New Roman" w:hint="eastAsia"/>
        </w:rPr>
        <w:t>3</w:t>
      </w:r>
      <w:r w:rsidRPr="00A60BBD">
        <w:rPr>
          <w:rFonts w:ascii="Times New Roman" w:hAnsi="Times New Roman" w:cs="Times New Roman" w:hint="eastAsia"/>
        </w:rPr>
        <w:t>万亿</w:t>
      </w:r>
      <w:r w:rsidR="00FD6AFE" w:rsidRPr="00A60BBD">
        <w:rPr>
          <w:rFonts w:ascii="Times New Roman" w:hAnsi="Times New Roman" w:cs="Times New Roman" w:hint="eastAsia"/>
        </w:rPr>
        <w:t>美元</w:t>
      </w:r>
      <w:r w:rsidRPr="00A60BBD">
        <w:rPr>
          <w:rFonts w:ascii="Times New Roman" w:hAnsi="Times New Roman" w:cs="Times New Roman" w:hint="eastAsia"/>
        </w:rPr>
        <w:t>；企业部门营业盈余扩张，</w:t>
      </w:r>
      <w:r w:rsidRPr="00A60BBD">
        <w:rPr>
          <w:rFonts w:ascii="Times New Roman" w:hAnsi="Times New Roman" w:cs="Times New Roman"/>
        </w:rPr>
        <w:t>2023</w:t>
      </w:r>
      <w:r w:rsidRPr="00A60BBD">
        <w:rPr>
          <w:rFonts w:ascii="Times New Roman" w:hAnsi="Times New Roman" w:cs="Times New Roman" w:hint="eastAsia"/>
        </w:rPr>
        <w:t>年企业盈余与折旧累计</w:t>
      </w:r>
      <w:r w:rsidRPr="00A60BBD">
        <w:rPr>
          <w:rFonts w:ascii="Times New Roman" w:hAnsi="Times New Roman" w:cs="Times New Roman"/>
        </w:rPr>
        <w:t>9.</w:t>
      </w:r>
      <w:r w:rsidR="00A60BBD" w:rsidRPr="00A60BBD">
        <w:rPr>
          <w:rFonts w:ascii="Times New Roman" w:hAnsi="Times New Roman" w:cs="Times New Roman" w:hint="eastAsia"/>
        </w:rPr>
        <w:t>85</w:t>
      </w:r>
      <w:r w:rsidRPr="00A60BBD">
        <w:rPr>
          <w:rFonts w:ascii="Times New Roman" w:hAnsi="Times New Roman" w:cs="Times New Roman" w:hint="eastAsia"/>
        </w:rPr>
        <w:t>万亿</w:t>
      </w:r>
      <w:r w:rsidR="00FD6AFE" w:rsidRPr="00A60BBD">
        <w:rPr>
          <w:rFonts w:ascii="Times New Roman" w:hAnsi="Times New Roman" w:cs="Times New Roman" w:hint="eastAsia"/>
        </w:rPr>
        <w:t>美元</w:t>
      </w:r>
      <w:r w:rsidRPr="00A60BBD">
        <w:rPr>
          <w:rFonts w:ascii="Times New Roman" w:hAnsi="Times New Roman" w:cs="Times New Roman" w:hint="eastAsia"/>
        </w:rPr>
        <w:t>、追加投资</w:t>
      </w:r>
      <w:r w:rsidRPr="00A60BBD">
        <w:rPr>
          <w:rFonts w:ascii="Times New Roman" w:hAnsi="Times New Roman" w:cs="Times New Roman"/>
        </w:rPr>
        <w:t>3.</w:t>
      </w:r>
      <w:r w:rsidR="00A60BBD" w:rsidRPr="00A60BBD">
        <w:rPr>
          <w:rFonts w:ascii="Times New Roman" w:hAnsi="Times New Roman" w:cs="Times New Roman" w:hint="eastAsia"/>
        </w:rPr>
        <w:t>8</w:t>
      </w:r>
      <w:r w:rsidRPr="00A60BBD">
        <w:rPr>
          <w:rFonts w:ascii="Times New Roman" w:hAnsi="Times New Roman" w:cs="Times New Roman" w:hint="eastAsia"/>
        </w:rPr>
        <w:t>万亿</w:t>
      </w:r>
      <w:r w:rsidR="00FD6AFE" w:rsidRPr="00A60BBD">
        <w:rPr>
          <w:rFonts w:ascii="Times New Roman" w:hAnsi="Times New Roman" w:cs="Times New Roman" w:hint="eastAsia"/>
        </w:rPr>
        <w:t>美元</w:t>
      </w:r>
      <w:r w:rsidRPr="00A60BBD">
        <w:rPr>
          <w:rFonts w:ascii="Times New Roman" w:hAnsi="Times New Roman" w:cs="Times New Roman" w:hint="eastAsia"/>
        </w:rPr>
        <w:t>，结余</w:t>
      </w:r>
      <w:r w:rsidR="00A60BBD">
        <w:rPr>
          <w:rFonts w:ascii="Times New Roman" w:hAnsi="Times New Roman" w:cs="Times New Roman" w:hint="eastAsia"/>
        </w:rPr>
        <w:t>6.0</w:t>
      </w:r>
      <w:r w:rsidRPr="00A60BBD">
        <w:rPr>
          <w:rFonts w:ascii="Times New Roman" w:hAnsi="Times New Roman" w:cs="Times New Roman"/>
        </w:rPr>
        <w:t>5</w:t>
      </w:r>
      <w:r w:rsidRPr="00A60BBD">
        <w:rPr>
          <w:rFonts w:ascii="Times New Roman" w:hAnsi="Times New Roman" w:cs="Times New Roman" w:hint="eastAsia"/>
        </w:rPr>
        <w:t>万亿</w:t>
      </w:r>
      <w:r w:rsidR="00FD6AFE" w:rsidRPr="00A60BBD">
        <w:rPr>
          <w:rFonts w:ascii="Times New Roman" w:hAnsi="Times New Roman" w:cs="Times New Roman" w:hint="eastAsia"/>
        </w:rPr>
        <w:t>美元</w:t>
      </w:r>
      <w:r w:rsidRPr="00A60BBD">
        <w:rPr>
          <w:rFonts w:ascii="Times New Roman" w:hAnsi="Times New Roman" w:cs="Times New Roman" w:hint="eastAsia"/>
        </w:rPr>
        <w:t>；政府表内赤字规模与</w:t>
      </w:r>
      <w:r w:rsidRPr="00A60BBD">
        <w:rPr>
          <w:rFonts w:ascii="Times New Roman" w:hAnsi="Times New Roman" w:cs="Times New Roman"/>
        </w:rPr>
        <w:t>GDP</w:t>
      </w:r>
      <w:r w:rsidRPr="00A60BBD">
        <w:rPr>
          <w:rFonts w:ascii="Times New Roman" w:hAnsi="Times New Roman" w:cs="Times New Roman" w:hint="eastAsia"/>
        </w:rPr>
        <w:t>保持同比增长</w:t>
      </w:r>
      <w:r w:rsidR="00470AA5" w:rsidRPr="00A60BBD">
        <w:rPr>
          <w:rStyle w:val="a5"/>
          <w:rFonts w:ascii="Times New Roman" w:hAnsi="Times New Roman" w:cs="Times New Roman"/>
        </w:rPr>
        <w:footnoteReference w:id="8"/>
      </w:r>
      <w:r w:rsidRPr="00A60BBD">
        <w:rPr>
          <w:rFonts w:ascii="Times New Roman" w:hAnsi="Times New Roman" w:cs="Times New Roman" w:hint="eastAsia"/>
        </w:rPr>
        <w:t>。</w:t>
      </w:r>
      <w:r w:rsidRPr="00C3146C">
        <w:rPr>
          <w:rFonts w:ascii="Times New Roman" w:hAnsi="Times New Roman" w:cs="Times New Roman" w:hint="eastAsia"/>
        </w:rPr>
        <w:t>从时间趋势看，作为经济增长的结果，家庭支出增长成为经济增长的主要动力，企业投资与政府作用呈弱化趋势，且企业投资呈现明显的非物化倾向；作为增长来源的支撑，企业在生产成果分配中的作用缓慢强化</w:t>
      </w:r>
      <w:r>
        <w:rPr>
          <w:rFonts w:ascii="Times New Roman" w:hAnsi="Times New Roman" w:cs="Times New Roman" w:hint="eastAsia"/>
        </w:rPr>
        <w:t>，</w:t>
      </w:r>
      <w:r w:rsidRPr="00C3146C">
        <w:rPr>
          <w:rFonts w:ascii="Times New Roman" w:hAnsi="Times New Roman" w:cs="Times New Roman" w:hint="eastAsia"/>
        </w:rPr>
        <w:t>政府通过一次分配干预分配调节的能力在波浪中</w:t>
      </w:r>
      <w:r>
        <w:rPr>
          <w:rFonts w:ascii="Times New Roman" w:hAnsi="Times New Roman" w:cs="Times New Roman" w:hint="eastAsia"/>
        </w:rPr>
        <w:t>被</w:t>
      </w:r>
      <w:r w:rsidRPr="00C3146C">
        <w:rPr>
          <w:rFonts w:ascii="Times New Roman" w:hAnsi="Times New Roman" w:cs="Times New Roman" w:hint="eastAsia"/>
        </w:rPr>
        <w:t>弱化。</w:t>
      </w:r>
    </w:p>
    <w:p w14:paraId="0AA97433" w14:textId="77777777" w:rsidR="00793F7A" w:rsidRDefault="00793F7A" w:rsidP="00EA0BB5">
      <w:pPr>
        <w:spacing w:line="360" w:lineRule="auto"/>
        <w:jc w:val="center"/>
        <w:rPr>
          <w:rFonts w:ascii="Times New Roman" w:hAnsi="Times New Roman" w:cs="Times New Roman"/>
        </w:rPr>
      </w:pPr>
    </w:p>
    <w:p w14:paraId="75E62E0D" w14:textId="749B7376" w:rsidR="00EA0BB5" w:rsidRDefault="00EA0BB5" w:rsidP="00EA0BB5">
      <w:pPr>
        <w:spacing w:line="360" w:lineRule="auto"/>
        <w:jc w:val="center"/>
        <w:rPr>
          <w:rFonts w:ascii="Times New Roman" w:hAnsi="Times New Roman" w:cs="Times New Roman"/>
        </w:rPr>
      </w:pPr>
      <w:r w:rsidRPr="00C46339">
        <w:rPr>
          <w:rFonts w:ascii="Times New Roman" w:hAnsi="Times New Roman" w:cs="Times New Roman" w:hint="eastAsia"/>
        </w:rPr>
        <w:lastRenderedPageBreak/>
        <w:t>表</w:t>
      </w:r>
      <w:r w:rsidRPr="00C46339">
        <w:rPr>
          <w:rFonts w:ascii="Times New Roman" w:hAnsi="Times New Roman" w:cs="Times New Roman"/>
        </w:rPr>
        <w:t xml:space="preserve">1 </w:t>
      </w:r>
      <w:r w:rsidRPr="00C46339">
        <w:rPr>
          <w:rFonts w:ascii="Times New Roman" w:hAnsi="Times New Roman" w:cs="Times New Roman" w:hint="eastAsia"/>
        </w:rPr>
        <w:t>战后美国经济增量结构</w:t>
      </w:r>
    </w:p>
    <w:p w14:paraId="7D9B33BD" w14:textId="267B6FBF" w:rsidR="00793F7A" w:rsidRPr="00E31A8F" w:rsidRDefault="00793F7A" w:rsidP="00793F7A">
      <w:pPr>
        <w:spacing w:line="360" w:lineRule="auto"/>
        <w:jc w:val="right"/>
        <w:rPr>
          <w:rFonts w:ascii="Times New Roman" w:hAnsi="Times New Roman" w:cs="Times New Roman"/>
          <w:sz w:val="22"/>
          <w:szCs w:val="22"/>
        </w:rPr>
      </w:pPr>
      <w:r w:rsidRPr="00E31A8F">
        <w:rPr>
          <w:rFonts w:ascii="Times New Roman" w:hAnsi="Times New Roman" w:cs="Times New Roman" w:hint="eastAsia"/>
          <w:sz w:val="22"/>
          <w:szCs w:val="22"/>
        </w:rPr>
        <w:t>单位：</w:t>
      </w:r>
      <w:r w:rsidRPr="00E31A8F">
        <w:rPr>
          <w:rFonts w:ascii="Times New Roman" w:hAnsi="Times New Roman" w:cs="Times New Roman" w:hint="eastAsia"/>
          <w:sz w:val="22"/>
          <w:szCs w:val="22"/>
        </w:rPr>
        <w:t>%</w:t>
      </w:r>
    </w:p>
    <w:tbl>
      <w:tblPr>
        <w:tblW w:w="8994" w:type="dxa"/>
        <w:jc w:val="center"/>
        <w:tblBorders>
          <w:top w:val="single" w:sz="4" w:space="0" w:color="auto"/>
          <w:bottom w:val="single" w:sz="4" w:space="0" w:color="auto"/>
        </w:tblBorders>
        <w:tblLook w:val="04A0" w:firstRow="1" w:lastRow="0" w:firstColumn="1" w:lastColumn="0" w:noHBand="0" w:noVBand="1"/>
      </w:tblPr>
      <w:tblGrid>
        <w:gridCol w:w="1418"/>
        <w:gridCol w:w="730"/>
        <w:gridCol w:w="730"/>
        <w:gridCol w:w="829"/>
        <w:gridCol w:w="730"/>
        <w:gridCol w:w="1580"/>
        <w:gridCol w:w="730"/>
        <w:gridCol w:w="730"/>
        <w:gridCol w:w="730"/>
        <w:gridCol w:w="787"/>
      </w:tblGrid>
      <w:tr w:rsidR="00EA0BB5" w:rsidRPr="00602F84" w14:paraId="7BD9AE4B" w14:textId="77777777" w:rsidTr="00E02A5D">
        <w:trPr>
          <w:trHeight w:val="494"/>
          <w:jc w:val="center"/>
        </w:trPr>
        <w:tc>
          <w:tcPr>
            <w:tcW w:w="4437" w:type="dxa"/>
            <w:gridSpan w:val="5"/>
            <w:tcBorders>
              <w:bottom w:val="single" w:sz="4" w:space="0" w:color="auto"/>
              <w:right w:val="single" w:sz="4" w:space="0" w:color="auto"/>
            </w:tcBorders>
            <w:shd w:val="clear" w:color="auto" w:fill="auto"/>
            <w:noWrap/>
            <w:vAlign w:val="center"/>
            <w:hideMark/>
          </w:tcPr>
          <w:p w14:paraId="1A81A3D5" w14:textId="77777777" w:rsidR="00EA0BB5" w:rsidRPr="00602F84" w:rsidRDefault="00EA0BB5" w:rsidP="00E02A5D">
            <w:pPr>
              <w:jc w:val="center"/>
              <w:rPr>
                <w:rFonts w:ascii="Times New Roman" w:hAnsi="Times New Roman" w:cs="Times New Roman"/>
                <w:sz w:val="22"/>
                <w:szCs w:val="22"/>
              </w:rPr>
            </w:pPr>
            <w:r w:rsidRPr="00602F84">
              <w:rPr>
                <w:rFonts w:ascii="Times New Roman" w:hAnsi="Times New Roman" w:cs="Times New Roman"/>
                <w:color w:val="000000"/>
                <w:sz w:val="22"/>
                <w:szCs w:val="22"/>
              </w:rPr>
              <w:t>支出</w:t>
            </w:r>
            <w:r w:rsidRPr="00602F84">
              <w:rPr>
                <w:rFonts w:ascii="Times New Roman" w:hAnsi="Times New Roman" w:cs="Times New Roman" w:hint="eastAsia"/>
                <w:color w:val="000000"/>
                <w:sz w:val="22"/>
                <w:szCs w:val="22"/>
              </w:rPr>
              <w:t>表</w:t>
            </w:r>
          </w:p>
        </w:tc>
        <w:tc>
          <w:tcPr>
            <w:tcW w:w="1580" w:type="dxa"/>
            <w:tcBorders>
              <w:top w:val="single" w:sz="4" w:space="0" w:color="auto"/>
              <w:left w:val="single" w:sz="4" w:space="0" w:color="auto"/>
              <w:bottom w:val="single" w:sz="4" w:space="0" w:color="auto"/>
            </w:tcBorders>
            <w:shd w:val="clear" w:color="auto" w:fill="auto"/>
            <w:noWrap/>
            <w:vAlign w:val="center"/>
            <w:hideMark/>
          </w:tcPr>
          <w:p w14:paraId="7A76E6A3" w14:textId="77777777" w:rsidR="00EA0BB5" w:rsidRPr="00602F84" w:rsidRDefault="00EA0BB5" w:rsidP="00E02A5D">
            <w:pPr>
              <w:rPr>
                <w:rFonts w:ascii="Times New Roman" w:hAnsi="Times New Roman" w:cs="Times New Roman"/>
                <w:sz w:val="22"/>
                <w:szCs w:val="22"/>
              </w:rPr>
            </w:pPr>
          </w:p>
        </w:tc>
        <w:tc>
          <w:tcPr>
            <w:tcW w:w="2190" w:type="dxa"/>
            <w:gridSpan w:val="3"/>
            <w:tcBorders>
              <w:top w:val="single" w:sz="4" w:space="0" w:color="auto"/>
              <w:bottom w:val="single" w:sz="4" w:space="0" w:color="auto"/>
            </w:tcBorders>
            <w:shd w:val="clear" w:color="auto" w:fill="auto"/>
            <w:noWrap/>
            <w:vAlign w:val="center"/>
            <w:hideMark/>
          </w:tcPr>
          <w:p w14:paraId="3E7AE743" w14:textId="77777777" w:rsidR="00EA0BB5" w:rsidRPr="00602F84" w:rsidRDefault="00EA0BB5" w:rsidP="00E02A5D">
            <w:pPr>
              <w:jc w:val="center"/>
              <w:rPr>
                <w:rFonts w:ascii="Times New Roman" w:hAnsi="Times New Roman" w:cs="Times New Roman"/>
                <w:sz w:val="22"/>
                <w:szCs w:val="22"/>
              </w:rPr>
            </w:pPr>
            <w:r w:rsidRPr="00602F84">
              <w:rPr>
                <w:rFonts w:ascii="Times New Roman" w:hAnsi="Times New Roman" w:cs="Times New Roman"/>
                <w:color w:val="000000"/>
                <w:sz w:val="22"/>
                <w:szCs w:val="22"/>
              </w:rPr>
              <w:t>收入</w:t>
            </w:r>
            <w:r w:rsidRPr="00602F84">
              <w:rPr>
                <w:rFonts w:ascii="Times New Roman" w:hAnsi="Times New Roman" w:cs="Times New Roman" w:hint="eastAsia"/>
                <w:color w:val="000000"/>
                <w:sz w:val="22"/>
                <w:szCs w:val="22"/>
              </w:rPr>
              <w:t>表</w:t>
            </w:r>
          </w:p>
        </w:tc>
        <w:tc>
          <w:tcPr>
            <w:tcW w:w="787" w:type="dxa"/>
            <w:tcBorders>
              <w:bottom w:val="single" w:sz="4" w:space="0" w:color="auto"/>
            </w:tcBorders>
            <w:shd w:val="clear" w:color="auto" w:fill="auto"/>
            <w:noWrap/>
            <w:vAlign w:val="center"/>
            <w:hideMark/>
          </w:tcPr>
          <w:p w14:paraId="0C06CC56" w14:textId="77777777" w:rsidR="00EA0BB5" w:rsidRPr="00602F84" w:rsidRDefault="00EA0BB5" w:rsidP="00E02A5D">
            <w:pPr>
              <w:rPr>
                <w:rFonts w:ascii="Times New Roman" w:hAnsi="Times New Roman" w:cs="Times New Roman"/>
                <w:sz w:val="22"/>
                <w:szCs w:val="22"/>
              </w:rPr>
            </w:pPr>
          </w:p>
        </w:tc>
      </w:tr>
      <w:tr w:rsidR="00EA0BB5" w:rsidRPr="00602F84" w14:paraId="13E6E52B" w14:textId="77777777" w:rsidTr="00F57597">
        <w:trPr>
          <w:trHeight w:val="320"/>
          <w:jc w:val="center"/>
        </w:trPr>
        <w:tc>
          <w:tcPr>
            <w:tcW w:w="1418" w:type="dxa"/>
            <w:tcBorders>
              <w:top w:val="single" w:sz="4" w:space="0" w:color="auto"/>
              <w:bottom w:val="double" w:sz="4" w:space="0" w:color="auto"/>
              <w:right w:val="nil"/>
            </w:tcBorders>
            <w:shd w:val="clear" w:color="auto" w:fill="auto"/>
            <w:noWrap/>
            <w:vAlign w:val="center"/>
            <w:hideMark/>
          </w:tcPr>
          <w:p w14:paraId="69007625" w14:textId="77777777" w:rsidR="00EA0BB5" w:rsidRPr="00602F84" w:rsidRDefault="00EA0BB5" w:rsidP="00E02A5D">
            <w:pPr>
              <w:rPr>
                <w:rFonts w:ascii="Times New Roman" w:hAnsi="Times New Roman" w:cs="Times New Roman"/>
                <w:sz w:val="22"/>
                <w:szCs w:val="22"/>
              </w:rPr>
            </w:pPr>
          </w:p>
        </w:tc>
        <w:tc>
          <w:tcPr>
            <w:tcW w:w="730" w:type="dxa"/>
            <w:tcBorders>
              <w:top w:val="single" w:sz="4" w:space="0" w:color="auto"/>
              <w:left w:val="nil"/>
              <w:bottom w:val="double" w:sz="4" w:space="0" w:color="auto"/>
              <w:right w:val="nil"/>
            </w:tcBorders>
            <w:shd w:val="clear" w:color="000000" w:fill="auto"/>
            <w:noWrap/>
            <w:vAlign w:val="center"/>
            <w:hideMark/>
          </w:tcPr>
          <w:p w14:paraId="51C14FDE" w14:textId="77777777" w:rsidR="00EA0BB5" w:rsidRPr="00602F84" w:rsidRDefault="00EA0BB5" w:rsidP="00E02A5D">
            <w:pPr>
              <w:rPr>
                <w:rFonts w:ascii="Times New Roman" w:hAnsi="Times New Roman" w:cs="Times New Roman"/>
                <w:sz w:val="22"/>
                <w:szCs w:val="22"/>
              </w:rPr>
            </w:pPr>
            <w:r w:rsidRPr="00602F84">
              <w:rPr>
                <w:rFonts w:ascii="Times New Roman" w:hAnsi="Times New Roman" w:cs="Times New Roman"/>
                <w:sz w:val="22"/>
                <w:szCs w:val="22"/>
              </w:rPr>
              <w:t>1980-1950</w:t>
            </w:r>
          </w:p>
        </w:tc>
        <w:tc>
          <w:tcPr>
            <w:tcW w:w="730" w:type="dxa"/>
            <w:tcBorders>
              <w:top w:val="single" w:sz="4" w:space="0" w:color="auto"/>
              <w:left w:val="nil"/>
              <w:bottom w:val="double" w:sz="4" w:space="0" w:color="auto"/>
              <w:right w:val="nil"/>
            </w:tcBorders>
            <w:shd w:val="clear" w:color="000000" w:fill="auto"/>
            <w:noWrap/>
            <w:vAlign w:val="center"/>
            <w:hideMark/>
          </w:tcPr>
          <w:p w14:paraId="0021DD1B" w14:textId="77777777" w:rsidR="00EA0BB5" w:rsidRPr="00602F84" w:rsidRDefault="00EA0BB5" w:rsidP="00E02A5D">
            <w:pPr>
              <w:rPr>
                <w:rFonts w:ascii="Times New Roman" w:hAnsi="Times New Roman" w:cs="Times New Roman"/>
                <w:sz w:val="22"/>
                <w:szCs w:val="22"/>
              </w:rPr>
            </w:pPr>
            <w:r w:rsidRPr="00602F84">
              <w:rPr>
                <w:rFonts w:ascii="Times New Roman" w:hAnsi="Times New Roman" w:cs="Times New Roman"/>
                <w:sz w:val="22"/>
                <w:szCs w:val="22"/>
              </w:rPr>
              <w:t>2000-1980</w:t>
            </w:r>
          </w:p>
        </w:tc>
        <w:tc>
          <w:tcPr>
            <w:tcW w:w="829" w:type="dxa"/>
            <w:tcBorders>
              <w:top w:val="single" w:sz="4" w:space="0" w:color="auto"/>
              <w:left w:val="nil"/>
              <w:bottom w:val="double" w:sz="4" w:space="0" w:color="auto"/>
              <w:right w:val="nil"/>
            </w:tcBorders>
            <w:shd w:val="clear" w:color="000000" w:fill="auto"/>
            <w:noWrap/>
            <w:vAlign w:val="center"/>
            <w:hideMark/>
          </w:tcPr>
          <w:p w14:paraId="2E2C060A" w14:textId="77777777" w:rsidR="00EA0BB5" w:rsidRPr="00602F84" w:rsidRDefault="00EA0BB5" w:rsidP="00E02A5D">
            <w:pPr>
              <w:rPr>
                <w:rFonts w:ascii="Times New Roman" w:hAnsi="Times New Roman" w:cs="Times New Roman"/>
                <w:sz w:val="22"/>
                <w:szCs w:val="22"/>
              </w:rPr>
            </w:pPr>
            <w:r w:rsidRPr="00602F84">
              <w:rPr>
                <w:rFonts w:ascii="Times New Roman" w:hAnsi="Times New Roman" w:cs="Times New Roman"/>
                <w:sz w:val="22"/>
                <w:szCs w:val="22"/>
              </w:rPr>
              <w:t>2019-2000</w:t>
            </w:r>
          </w:p>
        </w:tc>
        <w:tc>
          <w:tcPr>
            <w:tcW w:w="730" w:type="dxa"/>
            <w:tcBorders>
              <w:top w:val="single" w:sz="4" w:space="0" w:color="auto"/>
              <w:left w:val="nil"/>
              <w:bottom w:val="double" w:sz="4" w:space="0" w:color="auto"/>
              <w:right w:val="single" w:sz="4" w:space="0" w:color="auto"/>
            </w:tcBorders>
            <w:shd w:val="clear" w:color="000000" w:fill="auto"/>
            <w:noWrap/>
            <w:vAlign w:val="center"/>
            <w:hideMark/>
          </w:tcPr>
          <w:p w14:paraId="69F06E12" w14:textId="77777777" w:rsidR="00EA0BB5" w:rsidRPr="00602F84" w:rsidRDefault="00EA0BB5" w:rsidP="00E02A5D">
            <w:pPr>
              <w:rPr>
                <w:rFonts w:ascii="Times New Roman" w:hAnsi="Times New Roman" w:cs="Times New Roman"/>
                <w:sz w:val="22"/>
                <w:szCs w:val="22"/>
              </w:rPr>
            </w:pPr>
            <w:r w:rsidRPr="00602F84">
              <w:rPr>
                <w:rFonts w:ascii="Times New Roman" w:hAnsi="Times New Roman" w:cs="Times New Roman"/>
                <w:sz w:val="22"/>
                <w:szCs w:val="22"/>
              </w:rPr>
              <w:t>2023-2019</w:t>
            </w:r>
          </w:p>
        </w:tc>
        <w:tc>
          <w:tcPr>
            <w:tcW w:w="1580" w:type="dxa"/>
            <w:tcBorders>
              <w:top w:val="single" w:sz="4" w:space="0" w:color="auto"/>
              <w:left w:val="single" w:sz="4" w:space="0" w:color="auto"/>
              <w:bottom w:val="double" w:sz="4" w:space="0" w:color="auto"/>
              <w:right w:val="nil"/>
            </w:tcBorders>
            <w:shd w:val="clear" w:color="auto" w:fill="auto"/>
            <w:noWrap/>
            <w:vAlign w:val="center"/>
            <w:hideMark/>
          </w:tcPr>
          <w:p w14:paraId="47BB98DB" w14:textId="77777777" w:rsidR="00EA0BB5" w:rsidRPr="00602F84" w:rsidRDefault="00EA0BB5" w:rsidP="00E02A5D">
            <w:pPr>
              <w:jc w:val="center"/>
              <w:rPr>
                <w:rFonts w:ascii="Times New Roman" w:hAnsi="Times New Roman" w:cs="Times New Roman"/>
                <w:b/>
                <w:bCs/>
                <w:sz w:val="22"/>
                <w:szCs w:val="22"/>
              </w:rPr>
            </w:pPr>
          </w:p>
        </w:tc>
        <w:tc>
          <w:tcPr>
            <w:tcW w:w="730" w:type="dxa"/>
            <w:tcBorders>
              <w:top w:val="single" w:sz="4" w:space="0" w:color="auto"/>
              <w:left w:val="nil"/>
              <w:bottom w:val="double" w:sz="4" w:space="0" w:color="auto"/>
              <w:right w:val="nil"/>
            </w:tcBorders>
            <w:shd w:val="clear" w:color="000000" w:fill="auto"/>
            <w:noWrap/>
            <w:vAlign w:val="center"/>
            <w:hideMark/>
          </w:tcPr>
          <w:p w14:paraId="02E3EE1E" w14:textId="77777777" w:rsidR="00EA0BB5" w:rsidRPr="00602F84" w:rsidRDefault="00EA0BB5" w:rsidP="00E02A5D">
            <w:pPr>
              <w:jc w:val="center"/>
              <w:rPr>
                <w:rFonts w:ascii="Times New Roman" w:hAnsi="Times New Roman" w:cs="Times New Roman"/>
                <w:sz w:val="22"/>
                <w:szCs w:val="22"/>
              </w:rPr>
            </w:pPr>
            <w:r w:rsidRPr="00602F84">
              <w:rPr>
                <w:rFonts w:ascii="Times New Roman" w:hAnsi="Times New Roman" w:cs="Times New Roman"/>
                <w:sz w:val="22"/>
                <w:szCs w:val="22"/>
              </w:rPr>
              <w:t>1980-1950</w:t>
            </w:r>
          </w:p>
        </w:tc>
        <w:tc>
          <w:tcPr>
            <w:tcW w:w="730" w:type="dxa"/>
            <w:tcBorders>
              <w:top w:val="single" w:sz="4" w:space="0" w:color="auto"/>
              <w:left w:val="nil"/>
              <w:bottom w:val="double" w:sz="4" w:space="0" w:color="auto"/>
              <w:right w:val="nil"/>
            </w:tcBorders>
            <w:shd w:val="clear" w:color="000000" w:fill="auto"/>
            <w:noWrap/>
            <w:vAlign w:val="center"/>
            <w:hideMark/>
          </w:tcPr>
          <w:p w14:paraId="7D329F3B" w14:textId="77777777" w:rsidR="00EA0BB5" w:rsidRPr="00602F84" w:rsidRDefault="00EA0BB5" w:rsidP="00E02A5D">
            <w:pPr>
              <w:jc w:val="center"/>
              <w:rPr>
                <w:rFonts w:ascii="Times New Roman" w:hAnsi="Times New Roman" w:cs="Times New Roman"/>
                <w:sz w:val="22"/>
                <w:szCs w:val="22"/>
              </w:rPr>
            </w:pPr>
            <w:r w:rsidRPr="00602F84">
              <w:rPr>
                <w:rFonts w:ascii="Times New Roman" w:hAnsi="Times New Roman" w:cs="Times New Roman"/>
                <w:sz w:val="22"/>
                <w:szCs w:val="22"/>
              </w:rPr>
              <w:t>2000-1980</w:t>
            </w:r>
          </w:p>
        </w:tc>
        <w:tc>
          <w:tcPr>
            <w:tcW w:w="730" w:type="dxa"/>
            <w:tcBorders>
              <w:top w:val="single" w:sz="4" w:space="0" w:color="auto"/>
              <w:left w:val="nil"/>
              <w:bottom w:val="double" w:sz="4" w:space="0" w:color="auto"/>
            </w:tcBorders>
            <w:shd w:val="clear" w:color="000000" w:fill="auto"/>
            <w:noWrap/>
            <w:vAlign w:val="center"/>
            <w:hideMark/>
          </w:tcPr>
          <w:p w14:paraId="1A138C54" w14:textId="77777777" w:rsidR="00EA0BB5" w:rsidRPr="00602F84" w:rsidRDefault="00EA0BB5" w:rsidP="00E02A5D">
            <w:pPr>
              <w:jc w:val="center"/>
              <w:rPr>
                <w:rFonts w:ascii="Times New Roman" w:hAnsi="Times New Roman" w:cs="Times New Roman"/>
                <w:sz w:val="22"/>
                <w:szCs w:val="22"/>
              </w:rPr>
            </w:pPr>
            <w:r w:rsidRPr="00602F84">
              <w:rPr>
                <w:rFonts w:ascii="Times New Roman" w:hAnsi="Times New Roman" w:cs="Times New Roman"/>
                <w:sz w:val="22"/>
                <w:szCs w:val="22"/>
              </w:rPr>
              <w:t>2019-2000</w:t>
            </w:r>
          </w:p>
        </w:tc>
        <w:tc>
          <w:tcPr>
            <w:tcW w:w="787" w:type="dxa"/>
            <w:tcBorders>
              <w:top w:val="single" w:sz="4" w:space="0" w:color="auto"/>
              <w:bottom w:val="double" w:sz="4" w:space="0" w:color="auto"/>
            </w:tcBorders>
            <w:shd w:val="clear" w:color="000000" w:fill="auto"/>
            <w:noWrap/>
            <w:vAlign w:val="center"/>
            <w:hideMark/>
          </w:tcPr>
          <w:p w14:paraId="7AFB4083" w14:textId="77777777" w:rsidR="00EA0BB5" w:rsidRPr="00602F84" w:rsidRDefault="00EA0BB5" w:rsidP="00E02A5D">
            <w:pPr>
              <w:jc w:val="center"/>
              <w:rPr>
                <w:rFonts w:ascii="Times New Roman" w:hAnsi="Times New Roman" w:cs="Times New Roman"/>
                <w:sz w:val="22"/>
                <w:szCs w:val="22"/>
              </w:rPr>
            </w:pPr>
            <w:r w:rsidRPr="00602F84">
              <w:rPr>
                <w:rFonts w:ascii="Times New Roman" w:hAnsi="Times New Roman" w:cs="Times New Roman"/>
                <w:sz w:val="22"/>
                <w:szCs w:val="22"/>
              </w:rPr>
              <w:t>2023-2019</w:t>
            </w:r>
          </w:p>
        </w:tc>
      </w:tr>
      <w:tr w:rsidR="00EA0BB5" w:rsidRPr="00602F84" w14:paraId="489761F8" w14:textId="77777777" w:rsidTr="00F57597">
        <w:trPr>
          <w:trHeight w:val="320"/>
          <w:jc w:val="center"/>
        </w:trPr>
        <w:tc>
          <w:tcPr>
            <w:tcW w:w="1418" w:type="dxa"/>
            <w:tcBorders>
              <w:top w:val="double" w:sz="4" w:space="0" w:color="auto"/>
            </w:tcBorders>
            <w:shd w:val="clear" w:color="auto" w:fill="auto"/>
            <w:noWrap/>
            <w:vAlign w:val="center"/>
            <w:hideMark/>
          </w:tcPr>
          <w:p w14:paraId="1BF2549A"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家庭支出</w:t>
            </w:r>
          </w:p>
        </w:tc>
        <w:tc>
          <w:tcPr>
            <w:tcW w:w="730" w:type="dxa"/>
            <w:tcBorders>
              <w:top w:val="double" w:sz="4" w:space="0" w:color="auto"/>
            </w:tcBorders>
            <w:shd w:val="clear" w:color="auto" w:fill="auto"/>
            <w:noWrap/>
            <w:vAlign w:val="center"/>
            <w:hideMark/>
          </w:tcPr>
          <w:p w14:paraId="3AA45157"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60.95</w:t>
            </w:r>
          </w:p>
        </w:tc>
        <w:tc>
          <w:tcPr>
            <w:tcW w:w="730" w:type="dxa"/>
            <w:tcBorders>
              <w:top w:val="double" w:sz="4" w:space="0" w:color="auto"/>
              <w:right w:val="single" w:sz="4" w:space="0" w:color="000000" w:themeColor="text1"/>
            </w:tcBorders>
            <w:shd w:val="clear" w:color="auto" w:fill="auto"/>
            <w:noWrap/>
            <w:vAlign w:val="center"/>
            <w:hideMark/>
          </w:tcPr>
          <w:p w14:paraId="4CD155B0"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67.85</w:t>
            </w:r>
          </w:p>
        </w:tc>
        <w:tc>
          <w:tcPr>
            <w:tcW w:w="829" w:type="dxa"/>
            <w:tcBorders>
              <w:top w:val="double" w:sz="4" w:space="0" w:color="auto"/>
              <w:left w:val="single" w:sz="4" w:space="0" w:color="000000" w:themeColor="text1"/>
              <w:bottom w:val="single" w:sz="4" w:space="0" w:color="000000" w:themeColor="text1"/>
            </w:tcBorders>
            <w:shd w:val="clear" w:color="auto" w:fill="auto"/>
            <w:noWrap/>
            <w:vAlign w:val="center"/>
            <w:hideMark/>
          </w:tcPr>
          <w:p w14:paraId="15D12E09"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67.88</w:t>
            </w:r>
          </w:p>
        </w:tc>
        <w:tc>
          <w:tcPr>
            <w:tcW w:w="730" w:type="dxa"/>
            <w:tcBorders>
              <w:top w:val="double" w:sz="4" w:space="0" w:color="auto"/>
              <w:bottom w:val="single" w:sz="4" w:space="0" w:color="000000" w:themeColor="text1"/>
              <w:right w:val="single" w:sz="4" w:space="0" w:color="auto"/>
            </w:tcBorders>
            <w:shd w:val="clear" w:color="auto" w:fill="auto"/>
            <w:noWrap/>
            <w:vAlign w:val="center"/>
            <w:hideMark/>
          </w:tcPr>
          <w:p w14:paraId="14DFD4BB"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71.12</w:t>
            </w:r>
          </w:p>
        </w:tc>
        <w:tc>
          <w:tcPr>
            <w:tcW w:w="1580" w:type="dxa"/>
            <w:tcBorders>
              <w:top w:val="double" w:sz="4" w:space="0" w:color="auto"/>
              <w:left w:val="single" w:sz="4" w:space="0" w:color="auto"/>
              <w:bottom w:val="nil"/>
              <w:right w:val="single" w:sz="4" w:space="0" w:color="000000" w:themeColor="text1"/>
            </w:tcBorders>
            <w:shd w:val="clear" w:color="auto" w:fill="auto"/>
            <w:noWrap/>
            <w:vAlign w:val="center"/>
            <w:hideMark/>
          </w:tcPr>
          <w:p w14:paraId="69F0CC05"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劳动者报酬</w:t>
            </w:r>
          </w:p>
        </w:tc>
        <w:tc>
          <w:tcPr>
            <w:tcW w:w="730" w:type="dxa"/>
            <w:tcBorders>
              <w:top w:val="double" w:sz="4" w:space="0" w:color="auto"/>
              <w:left w:val="single" w:sz="4" w:space="0" w:color="000000" w:themeColor="text1"/>
              <w:bottom w:val="single" w:sz="4" w:space="0" w:color="000000" w:themeColor="text1"/>
            </w:tcBorders>
            <w:shd w:val="clear" w:color="auto" w:fill="auto"/>
            <w:noWrap/>
            <w:vAlign w:val="center"/>
            <w:hideMark/>
          </w:tcPr>
          <w:p w14:paraId="55CFBD99"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58.22</w:t>
            </w:r>
          </w:p>
        </w:tc>
        <w:tc>
          <w:tcPr>
            <w:tcW w:w="730" w:type="dxa"/>
            <w:tcBorders>
              <w:top w:val="double" w:sz="4" w:space="0" w:color="auto"/>
              <w:bottom w:val="single" w:sz="4" w:space="0" w:color="000000" w:themeColor="text1"/>
            </w:tcBorders>
            <w:shd w:val="clear" w:color="auto" w:fill="auto"/>
            <w:noWrap/>
            <w:vAlign w:val="center"/>
            <w:hideMark/>
          </w:tcPr>
          <w:p w14:paraId="1DA971FF"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56.08</w:t>
            </w:r>
          </w:p>
        </w:tc>
        <w:tc>
          <w:tcPr>
            <w:tcW w:w="730" w:type="dxa"/>
            <w:tcBorders>
              <w:top w:val="double" w:sz="4" w:space="0" w:color="auto"/>
              <w:bottom w:val="single" w:sz="4" w:space="0" w:color="000000" w:themeColor="text1"/>
              <w:right w:val="single" w:sz="4" w:space="0" w:color="000000" w:themeColor="text1"/>
            </w:tcBorders>
            <w:shd w:val="clear" w:color="auto" w:fill="auto"/>
            <w:noWrap/>
            <w:vAlign w:val="center"/>
            <w:hideMark/>
          </w:tcPr>
          <w:p w14:paraId="08870E32"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50.31</w:t>
            </w:r>
          </w:p>
        </w:tc>
        <w:tc>
          <w:tcPr>
            <w:tcW w:w="787" w:type="dxa"/>
            <w:tcBorders>
              <w:top w:val="double" w:sz="4" w:space="0" w:color="auto"/>
              <w:left w:val="single" w:sz="4" w:space="0" w:color="000000" w:themeColor="text1"/>
              <w:bottom w:val="single" w:sz="4" w:space="0" w:color="000000" w:themeColor="text1"/>
            </w:tcBorders>
            <w:shd w:val="clear" w:color="auto" w:fill="auto"/>
            <w:noWrap/>
            <w:vAlign w:val="center"/>
            <w:hideMark/>
          </w:tcPr>
          <w:p w14:paraId="40383D60"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51.86</w:t>
            </w:r>
          </w:p>
        </w:tc>
      </w:tr>
      <w:tr w:rsidR="00EA0BB5" w:rsidRPr="00602F84" w14:paraId="5BE22FBC" w14:textId="77777777" w:rsidTr="00F57597">
        <w:trPr>
          <w:trHeight w:val="320"/>
          <w:jc w:val="center"/>
        </w:trPr>
        <w:tc>
          <w:tcPr>
            <w:tcW w:w="1418" w:type="dxa"/>
            <w:tcBorders>
              <w:bottom w:val="dashSmallGap" w:sz="4" w:space="0" w:color="auto"/>
            </w:tcBorders>
            <w:shd w:val="clear" w:color="auto" w:fill="auto"/>
            <w:noWrap/>
            <w:vAlign w:val="center"/>
            <w:hideMark/>
          </w:tcPr>
          <w:p w14:paraId="7296359E"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家庭投资</w:t>
            </w:r>
          </w:p>
        </w:tc>
        <w:tc>
          <w:tcPr>
            <w:tcW w:w="730" w:type="dxa"/>
            <w:tcBorders>
              <w:bottom w:val="dashSmallGap" w:sz="4" w:space="0" w:color="auto"/>
            </w:tcBorders>
            <w:shd w:val="clear" w:color="auto" w:fill="auto"/>
            <w:noWrap/>
            <w:vAlign w:val="center"/>
            <w:hideMark/>
          </w:tcPr>
          <w:p w14:paraId="0793D607"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4.25</w:t>
            </w:r>
          </w:p>
        </w:tc>
        <w:tc>
          <w:tcPr>
            <w:tcW w:w="730" w:type="dxa"/>
            <w:tcBorders>
              <w:bottom w:val="dashSmallGap" w:sz="4" w:space="0" w:color="auto"/>
            </w:tcBorders>
            <w:shd w:val="clear" w:color="auto" w:fill="auto"/>
            <w:noWrap/>
            <w:vAlign w:val="center"/>
            <w:hideMark/>
          </w:tcPr>
          <w:p w14:paraId="4D86861C"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4.81</w:t>
            </w:r>
          </w:p>
        </w:tc>
        <w:tc>
          <w:tcPr>
            <w:tcW w:w="829" w:type="dxa"/>
            <w:tcBorders>
              <w:top w:val="single" w:sz="4" w:space="0" w:color="000000" w:themeColor="text1"/>
              <w:bottom w:val="dashSmallGap" w:sz="4" w:space="0" w:color="auto"/>
            </w:tcBorders>
            <w:shd w:val="clear" w:color="auto" w:fill="auto"/>
            <w:noWrap/>
            <w:vAlign w:val="center"/>
            <w:hideMark/>
          </w:tcPr>
          <w:p w14:paraId="3CD3C986"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3.03</w:t>
            </w:r>
          </w:p>
        </w:tc>
        <w:tc>
          <w:tcPr>
            <w:tcW w:w="730" w:type="dxa"/>
            <w:tcBorders>
              <w:top w:val="single" w:sz="4" w:space="0" w:color="000000" w:themeColor="text1"/>
              <w:bottom w:val="dashSmallGap" w:sz="4" w:space="0" w:color="auto"/>
              <w:right w:val="single" w:sz="4" w:space="0" w:color="auto"/>
            </w:tcBorders>
            <w:shd w:val="clear" w:color="auto" w:fill="auto"/>
            <w:noWrap/>
            <w:vAlign w:val="center"/>
            <w:hideMark/>
          </w:tcPr>
          <w:p w14:paraId="23E6DBFE"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4.23</w:t>
            </w:r>
          </w:p>
        </w:tc>
        <w:tc>
          <w:tcPr>
            <w:tcW w:w="1580" w:type="dxa"/>
            <w:tcBorders>
              <w:top w:val="nil"/>
              <w:left w:val="single" w:sz="4" w:space="0" w:color="auto"/>
              <w:bottom w:val="dashSmallGap" w:sz="4" w:space="0" w:color="auto"/>
              <w:right w:val="single" w:sz="4" w:space="0" w:color="000000" w:themeColor="text1"/>
            </w:tcBorders>
            <w:shd w:val="clear" w:color="auto" w:fill="auto"/>
            <w:noWrap/>
            <w:vAlign w:val="center"/>
            <w:hideMark/>
          </w:tcPr>
          <w:p w14:paraId="6A926F98"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hint="eastAsia"/>
                <w:color w:val="000000"/>
                <w:sz w:val="22"/>
                <w:szCs w:val="22"/>
              </w:rPr>
              <w:t>家庭住房折旧</w:t>
            </w:r>
          </w:p>
        </w:tc>
        <w:tc>
          <w:tcPr>
            <w:tcW w:w="730" w:type="dxa"/>
            <w:tcBorders>
              <w:top w:val="single" w:sz="4" w:space="0" w:color="000000" w:themeColor="text1"/>
              <w:left w:val="single" w:sz="4" w:space="0" w:color="000000" w:themeColor="text1"/>
              <w:bottom w:val="dashSmallGap" w:sz="4" w:space="0" w:color="auto"/>
            </w:tcBorders>
            <w:shd w:val="clear" w:color="auto" w:fill="auto"/>
            <w:noWrap/>
            <w:hideMark/>
          </w:tcPr>
          <w:p w14:paraId="0ED00FA2"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0.34</w:t>
            </w:r>
          </w:p>
        </w:tc>
        <w:tc>
          <w:tcPr>
            <w:tcW w:w="730" w:type="dxa"/>
            <w:tcBorders>
              <w:top w:val="single" w:sz="4" w:space="0" w:color="000000" w:themeColor="text1"/>
              <w:bottom w:val="dashSmallGap" w:sz="4" w:space="0" w:color="auto"/>
            </w:tcBorders>
            <w:shd w:val="clear" w:color="auto" w:fill="auto"/>
            <w:noWrap/>
            <w:hideMark/>
          </w:tcPr>
          <w:p w14:paraId="5EF48587"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1.86</w:t>
            </w:r>
          </w:p>
        </w:tc>
        <w:tc>
          <w:tcPr>
            <w:tcW w:w="730" w:type="dxa"/>
            <w:tcBorders>
              <w:top w:val="single" w:sz="4" w:space="0" w:color="000000" w:themeColor="text1"/>
              <w:bottom w:val="dashSmallGap" w:sz="4" w:space="0" w:color="auto"/>
            </w:tcBorders>
            <w:shd w:val="clear" w:color="auto" w:fill="auto"/>
            <w:noWrap/>
            <w:hideMark/>
          </w:tcPr>
          <w:p w14:paraId="65B3776A"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3.98</w:t>
            </w:r>
          </w:p>
        </w:tc>
        <w:tc>
          <w:tcPr>
            <w:tcW w:w="787" w:type="dxa"/>
            <w:tcBorders>
              <w:top w:val="single" w:sz="4" w:space="0" w:color="000000" w:themeColor="text1"/>
              <w:bottom w:val="dashSmallGap" w:sz="4" w:space="0" w:color="auto"/>
              <w:right w:val="single" w:sz="4" w:space="0" w:color="000000" w:themeColor="text1"/>
            </w:tcBorders>
            <w:shd w:val="clear" w:color="auto" w:fill="auto"/>
            <w:noWrap/>
            <w:hideMark/>
          </w:tcPr>
          <w:p w14:paraId="30F90283"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4.78</w:t>
            </w:r>
          </w:p>
        </w:tc>
      </w:tr>
      <w:tr w:rsidR="00EA0BB5" w:rsidRPr="00602F84" w14:paraId="5681B223" w14:textId="77777777" w:rsidTr="00E02A5D">
        <w:trPr>
          <w:trHeight w:val="320"/>
          <w:jc w:val="center"/>
        </w:trPr>
        <w:tc>
          <w:tcPr>
            <w:tcW w:w="1418" w:type="dxa"/>
            <w:tcBorders>
              <w:top w:val="dashSmallGap" w:sz="4" w:space="0" w:color="auto"/>
              <w:bottom w:val="nil"/>
              <w:right w:val="nil"/>
            </w:tcBorders>
            <w:shd w:val="clear" w:color="auto" w:fill="auto"/>
            <w:noWrap/>
            <w:vAlign w:val="center"/>
            <w:hideMark/>
          </w:tcPr>
          <w:p w14:paraId="0F4E1877"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企业投资</w:t>
            </w:r>
          </w:p>
        </w:tc>
        <w:tc>
          <w:tcPr>
            <w:tcW w:w="730" w:type="dxa"/>
            <w:tcBorders>
              <w:top w:val="dashSmallGap" w:sz="4" w:space="0" w:color="auto"/>
              <w:left w:val="nil"/>
              <w:bottom w:val="nil"/>
              <w:right w:val="nil"/>
            </w:tcBorders>
            <w:shd w:val="clear" w:color="auto" w:fill="auto"/>
            <w:noWrap/>
            <w:vAlign w:val="center"/>
            <w:hideMark/>
          </w:tcPr>
          <w:p w14:paraId="420D468D"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14.74</w:t>
            </w:r>
          </w:p>
        </w:tc>
        <w:tc>
          <w:tcPr>
            <w:tcW w:w="730" w:type="dxa"/>
            <w:tcBorders>
              <w:top w:val="dashSmallGap" w:sz="4" w:space="0" w:color="auto"/>
              <w:left w:val="nil"/>
              <w:bottom w:val="nil"/>
              <w:right w:val="nil"/>
            </w:tcBorders>
            <w:shd w:val="clear" w:color="auto" w:fill="auto"/>
            <w:noWrap/>
            <w:vAlign w:val="center"/>
            <w:hideMark/>
          </w:tcPr>
          <w:p w14:paraId="12586757"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14.76</w:t>
            </w:r>
          </w:p>
        </w:tc>
        <w:tc>
          <w:tcPr>
            <w:tcW w:w="829" w:type="dxa"/>
            <w:tcBorders>
              <w:top w:val="dashSmallGap" w:sz="4" w:space="0" w:color="auto"/>
              <w:left w:val="nil"/>
              <w:bottom w:val="nil"/>
              <w:right w:val="nil"/>
            </w:tcBorders>
            <w:shd w:val="clear" w:color="auto" w:fill="auto"/>
            <w:noWrap/>
            <w:vAlign w:val="center"/>
            <w:hideMark/>
          </w:tcPr>
          <w:p w14:paraId="64813F75"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13.26</w:t>
            </w:r>
          </w:p>
        </w:tc>
        <w:tc>
          <w:tcPr>
            <w:tcW w:w="730" w:type="dxa"/>
            <w:tcBorders>
              <w:top w:val="dashSmallGap" w:sz="4" w:space="0" w:color="auto"/>
              <w:left w:val="nil"/>
              <w:bottom w:val="nil"/>
              <w:right w:val="single" w:sz="4" w:space="0" w:color="auto"/>
            </w:tcBorders>
            <w:shd w:val="clear" w:color="auto" w:fill="auto"/>
            <w:noWrap/>
            <w:vAlign w:val="center"/>
            <w:hideMark/>
          </w:tcPr>
          <w:p w14:paraId="4D6C56F3"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12.38</w:t>
            </w:r>
          </w:p>
        </w:tc>
        <w:tc>
          <w:tcPr>
            <w:tcW w:w="1580" w:type="dxa"/>
            <w:tcBorders>
              <w:top w:val="dashSmallGap" w:sz="4" w:space="0" w:color="auto"/>
              <w:left w:val="single" w:sz="4" w:space="0" w:color="auto"/>
              <w:bottom w:val="nil"/>
              <w:right w:val="nil"/>
            </w:tcBorders>
            <w:shd w:val="clear" w:color="auto" w:fill="auto"/>
            <w:noWrap/>
            <w:vAlign w:val="center"/>
            <w:hideMark/>
          </w:tcPr>
          <w:p w14:paraId="50509440"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折旧</w:t>
            </w:r>
          </w:p>
        </w:tc>
        <w:tc>
          <w:tcPr>
            <w:tcW w:w="730" w:type="dxa"/>
            <w:tcBorders>
              <w:top w:val="dashSmallGap" w:sz="4" w:space="0" w:color="auto"/>
              <w:left w:val="nil"/>
              <w:bottom w:val="nil"/>
              <w:right w:val="nil"/>
            </w:tcBorders>
            <w:shd w:val="clear" w:color="auto" w:fill="auto"/>
            <w:noWrap/>
            <w:vAlign w:val="center"/>
            <w:hideMark/>
          </w:tcPr>
          <w:p w14:paraId="3E542B46"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12.01</w:t>
            </w:r>
          </w:p>
        </w:tc>
        <w:tc>
          <w:tcPr>
            <w:tcW w:w="730" w:type="dxa"/>
            <w:tcBorders>
              <w:top w:val="dashSmallGap" w:sz="4" w:space="0" w:color="auto"/>
              <w:left w:val="nil"/>
              <w:bottom w:val="nil"/>
              <w:right w:val="nil"/>
            </w:tcBorders>
            <w:shd w:val="clear" w:color="auto" w:fill="auto"/>
            <w:noWrap/>
            <w:vAlign w:val="center"/>
            <w:hideMark/>
          </w:tcPr>
          <w:p w14:paraId="3E0CF5F8"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10.04</w:t>
            </w:r>
          </w:p>
        </w:tc>
        <w:tc>
          <w:tcPr>
            <w:tcW w:w="730" w:type="dxa"/>
            <w:tcBorders>
              <w:top w:val="dashSmallGap" w:sz="4" w:space="0" w:color="auto"/>
              <w:left w:val="nil"/>
              <w:bottom w:val="nil"/>
              <w:right w:val="nil"/>
            </w:tcBorders>
            <w:shd w:val="clear" w:color="auto" w:fill="auto"/>
            <w:noWrap/>
            <w:vAlign w:val="center"/>
            <w:hideMark/>
          </w:tcPr>
          <w:p w14:paraId="12450742"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10.84</w:t>
            </w:r>
          </w:p>
        </w:tc>
        <w:tc>
          <w:tcPr>
            <w:tcW w:w="787" w:type="dxa"/>
            <w:tcBorders>
              <w:top w:val="dashSmallGap" w:sz="4" w:space="0" w:color="auto"/>
              <w:left w:val="nil"/>
              <w:bottom w:val="nil"/>
            </w:tcBorders>
            <w:shd w:val="clear" w:color="auto" w:fill="auto"/>
            <w:noWrap/>
            <w:vAlign w:val="center"/>
            <w:hideMark/>
          </w:tcPr>
          <w:p w14:paraId="7D34327C"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12.73</w:t>
            </w:r>
          </w:p>
        </w:tc>
      </w:tr>
      <w:tr w:rsidR="00EA0BB5" w:rsidRPr="00602F84" w14:paraId="5389FB5A" w14:textId="77777777" w:rsidTr="00E02A5D">
        <w:trPr>
          <w:trHeight w:val="320"/>
          <w:jc w:val="center"/>
        </w:trPr>
        <w:tc>
          <w:tcPr>
            <w:tcW w:w="1418" w:type="dxa"/>
            <w:tcBorders>
              <w:top w:val="nil"/>
              <w:bottom w:val="nil"/>
              <w:right w:val="nil"/>
            </w:tcBorders>
            <w:shd w:val="clear" w:color="auto" w:fill="auto"/>
            <w:noWrap/>
            <w:vAlign w:val="center"/>
            <w:hideMark/>
          </w:tcPr>
          <w:p w14:paraId="489BC28E"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厂房</w:t>
            </w:r>
          </w:p>
        </w:tc>
        <w:tc>
          <w:tcPr>
            <w:tcW w:w="730" w:type="dxa"/>
            <w:tcBorders>
              <w:top w:val="nil"/>
              <w:left w:val="nil"/>
              <w:bottom w:val="nil"/>
              <w:right w:val="nil"/>
            </w:tcBorders>
            <w:shd w:val="clear" w:color="auto" w:fill="auto"/>
            <w:noWrap/>
            <w:vAlign w:val="center"/>
            <w:hideMark/>
          </w:tcPr>
          <w:p w14:paraId="1A839343"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4.93</w:t>
            </w:r>
          </w:p>
        </w:tc>
        <w:tc>
          <w:tcPr>
            <w:tcW w:w="730" w:type="dxa"/>
            <w:tcBorders>
              <w:top w:val="nil"/>
              <w:left w:val="nil"/>
              <w:bottom w:val="nil"/>
              <w:right w:val="nil"/>
            </w:tcBorders>
            <w:shd w:val="clear" w:color="auto" w:fill="auto"/>
            <w:noWrap/>
            <w:vAlign w:val="center"/>
            <w:hideMark/>
          </w:tcPr>
          <w:p w14:paraId="44B5245E"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2.50</w:t>
            </w:r>
          </w:p>
        </w:tc>
        <w:tc>
          <w:tcPr>
            <w:tcW w:w="829" w:type="dxa"/>
            <w:tcBorders>
              <w:top w:val="nil"/>
              <w:left w:val="nil"/>
              <w:bottom w:val="nil"/>
              <w:right w:val="nil"/>
            </w:tcBorders>
            <w:shd w:val="clear" w:color="auto" w:fill="auto"/>
            <w:noWrap/>
            <w:vAlign w:val="center"/>
            <w:hideMark/>
          </w:tcPr>
          <w:p w14:paraId="7440F85F"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3.17</w:t>
            </w:r>
          </w:p>
        </w:tc>
        <w:tc>
          <w:tcPr>
            <w:tcW w:w="730" w:type="dxa"/>
            <w:tcBorders>
              <w:top w:val="nil"/>
              <w:left w:val="nil"/>
              <w:bottom w:val="nil"/>
              <w:right w:val="single" w:sz="4" w:space="0" w:color="auto"/>
            </w:tcBorders>
            <w:shd w:val="clear" w:color="auto" w:fill="auto"/>
            <w:noWrap/>
            <w:vAlign w:val="center"/>
            <w:hideMark/>
          </w:tcPr>
          <w:p w14:paraId="7B8546A0"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2.76</w:t>
            </w:r>
          </w:p>
        </w:tc>
        <w:tc>
          <w:tcPr>
            <w:tcW w:w="1580" w:type="dxa"/>
            <w:tcBorders>
              <w:top w:val="nil"/>
              <w:left w:val="single" w:sz="4" w:space="0" w:color="auto"/>
              <w:bottom w:val="nil"/>
              <w:right w:val="nil"/>
            </w:tcBorders>
            <w:shd w:val="clear" w:color="auto" w:fill="auto"/>
            <w:noWrap/>
            <w:vAlign w:val="center"/>
            <w:hideMark/>
          </w:tcPr>
          <w:p w14:paraId="42F35A8A"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营业盈余</w:t>
            </w:r>
          </w:p>
        </w:tc>
        <w:tc>
          <w:tcPr>
            <w:tcW w:w="730" w:type="dxa"/>
            <w:tcBorders>
              <w:top w:val="nil"/>
              <w:left w:val="nil"/>
              <w:bottom w:val="nil"/>
              <w:right w:val="nil"/>
            </w:tcBorders>
            <w:shd w:val="clear" w:color="auto" w:fill="auto"/>
            <w:noWrap/>
            <w:vAlign w:val="center"/>
            <w:hideMark/>
          </w:tcPr>
          <w:p w14:paraId="0CE54810"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N.A.</w:t>
            </w:r>
          </w:p>
        </w:tc>
        <w:tc>
          <w:tcPr>
            <w:tcW w:w="730" w:type="dxa"/>
            <w:tcBorders>
              <w:top w:val="nil"/>
              <w:left w:val="nil"/>
              <w:bottom w:val="nil"/>
              <w:right w:val="nil"/>
            </w:tcBorders>
            <w:shd w:val="clear" w:color="auto" w:fill="auto"/>
            <w:noWrap/>
            <w:vAlign w:val="center"/>
            <w:hideMark/>
          </w:tcPr>
          <w:p w14:paraId="530A3ED1"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23.18</w:t>
            </w:r>
          </w:p>
        </w:tc>
        <w:tc>
          <w:tcPr>
            <w:tcW w:w="730" w:type="dxa"/>
            <w:tcBorders>
              <w:top w:val="nil"/>
              <w:left w:val="nil"/>
              <w:bottom w:val="nil"/>
              <w:right w:val="nil"/>
            </w:tcBorders>
            <w:shd w:val="clear" w:color="auto" w:fill="auto"/>
            <w:noWrap/>
            <w:vAlign w:val="center"/>
            <w:hideMark/>
          </w:tcPr>
          <w:p w14:paraId="4B18A9D2"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24.80</w:t>
            </w:r>
          </w:p>
        </w:tc>
        <w:tc>
          <w:tcPr>
            <w:tcW w:w="787" w:type="dxa"/>
            <w:tcBorders>
              <w:top w:val="nil"/>
              <w:left w:val="nil"/>
              <w:bottom w:val="nil"/>
            </w:tcBorders>
            <w:shd w:val="clear" w:color="auto" w:fill="auto"/>
            <w:noWrap/>
            <w:vAlign w:val="center"/>
            <w:hideMark/>
          </w:tcPr>
          <w:p w14:paraId="0C37CB96"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22.40</w:t>
            </w:r>
          </w:p>
        </w:tc>
      </w:tr>
      <w:tr w:rsidR="00EA0BB5" w:rsidRPr="00602F84" w14:paraId="06772E1D" w14:textId="77777777" w:rsidTr="00F57597">
        <w:trPr>
          <w:trHeight w:val="320"/>
          <w:jc w:val="center"/>
        </w:trPr>
        <w:tc>
          <w:tcPr>
            <w:tcW w:w="1418" w:type="dxa"/>
            <w:tcBorders>
              <w:top w:val="nil"/>
              <w:bottom w:val="nil"/>
              <w:right w:val="nil"/>
            </w:tcBorders>
            <w:shd w:val="clear" w:color="auto" w:fill="auto"/>
            <w:noWrap/>
            <w:vAlign w:val="center"/>
            <w:hideMark/>
          </w:tcPr>
          <w:p w14:paraId="6F7C9EEF"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设备</w:t>
            </w:r>
          </w:p>
        </w:tc>
        <w:tc>
          <w:tcPr>
            <w:tcW w:w="730" w:type="dxa"/>
            <w:tcBorders>
              <w:top w:val="nil"/>
              <w:left w:val="nil"/>
              <w:bottom w:val="single" w:sz="4" w:space="0" w:color="000000" w:themeColor="text1"/>
              <w:right w:val="nil"/>
            </w:tcBorders>
            <w:shd w:val="clear" w:color="auto" w:fill="auto"/>
            <w:noWrap/>
            <w:vAlign w:val="center"/>
            <w:hideMark/>
          </w:tcPr>
          <w:p w14:paraId="1AEA1E9A"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7.77</w:t>
            </w:r>
          </w:p>
        </w:tc>
        <w:tc>
          <w:tcPr>
            <w:tcW w:w="730" w:type="dxa"/>
            <w:tcBorders>
              <w:top w:val="nil"/>
              <w:left w:val="nil"/>
              <w:bottom w:val="single" w:sz="4" w:space="0" w:color="000000" w:themeColor="text1"/>
              <w:right w:val="nil"/>
            </w:tcBorders>
            <w:shd w:val="clear" w:color="auto" w:fill="auto"/>
            <w:noWrap/>
            <w:vAlign w:val="center"/>
            <w:hideMark/>
          </w:tcPr>
          <w:p w14:paraId="22A4C374"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7.43</w:t>
            </w:r>
          </w:p>
        </w:tc>
        <w:tc>
          <w:tcPr>
            <w:tcW w:w="829" w:type="dxa"/>
            <w:tcBorders>
              <w:top w:val="nil"/>
              <w:left w:val="nil"/>
              <w:bottom w:val="single" w:sz="4" w:space="0" w:color="000000" w:themeColor="text1"/>
              <w:right w:val="nil"/>
            </w:tcBorders>
            <w:shd w:val="clear" w:color="auto" w:fill="auto"/>
            <w:noWrap/>
            <w:vAlign w:val="center"/>
            <w:hideMark/>
          </w:tcPr>
          <w:p w14:paraId="25EAF3E3"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4.22</w:t>
            </w:r>
          </w:p>
        </w:tc>
        <w:tc>
          <w:tcPr>
            <w:tcW w:w="730" w:type="dxa"/>
            <w:tcBorders>
              <w:top w:val="nil"/>
              <w:left w:val="nil"/>
              <w:bottom w:val="single" w:sz="4" w:space="0" w:color="000000" w:themeColor="text1"/>
              <w:right w:val="single" w:sz="4" w:space="0" w:color="auto"/>
            </w:tcBorders>
            <w:shd w:val="clear" w:color="auto" w:fill="auto"/>
            <w:noWrap/>
            <w:vAlign w:val="center"/>
            <w:hideMark/>
          </w:tcPr>
          <w:p w14:paraId="419B0E87"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2.40</w:t>
            </w:r>
          </w:p>
        </w:tc>
        <w:tc>
          <w:tcPr>
            <w:tcW w:w="1580" w:type="dxa"/>
            <w:tcBorders>
              <w:top w:val="nil"/>
              <w:left w:val="single" w:sz="4" w:space="0" w:color="auto"/>
              <w:bottom w:val="nil"/>
              <w:right w:val="nil"/>
            </w:tcBorders>
            <w:shd w:val="clear" w:color="auto" w:fill="auto"/>
            <w:noWrap/>
            <w:vAlign w:val="center"/>
            <w:hideMark/>
          </w:tcPr>
          <w:p w14:paraId="74891A52" w14:textId="77777777" w:rsidR="00EA0BB5" w:rsidRPr="00602F84" w:rsidRDefault="00EA0BB5" w:rsidP="00E02A5D">
            <w:pPr>
              <w:jc w:val="right"/>
              <w:rPr>
                <w:rFonts w:ascii="Times New Roman" w:hAnsi="Times New Roman" w:cs="Times New Roman"/>
                <w:color w:val="000000"/>
                <w:sz w:val="22"/>
                <w:szCs w:val="22"/>
              </w:rPr>
            </w:pPr>
          </w:p>
        </w:tc>
        <w:tc>
          <w:tcPr>
            <w:tcW w:w="730" w:type="dxa"/>
            <w:tcBorders>
              <w:top w:val="nil"/>
              <w:left w:val="nil"/>
              <w:bottom w:val="nil"/>
              <w:right w:val="nil"/>
            </w:tcBorders>
            <w:shd w:val="clear" w:color="auto" w:fill="auto"/>
            <w:noWrap/>
            <w:vAlign w:val="center"/>
            <w:hideMark/>
          </w:tcPr>
          <w:p w14:paraId="4AC3AE5B" w14:textId="77777777" w:rsidR="00EA0BB5" w:rsidRPr="00602F84" w:rsidRDefault="00EA0BB5" w:rsidP="00E02A5D">
            <w:pPr>
              <w:rPr>
                <w:rFonts w:ascii="Times New Roman" w:hAnsi="Times New Roman" w:cs="Times New Roman"/>
                <w:sz w:val="22"/>
                <w:szCs w:val="22"/>
              </w:rPr>
            </w:pPr>
          </w:p>
        </w:tc>
        <w:tc>
          <w:tcPr>
            <w:tcW w:w="730" w:type="dxa"/>
            <w:tcBorders>
              <w:top w:val="nil"/>
              <w:left w:val="nil"/>
              <w:bottom w:val="nil"/>
              <w:right w:val="nil"/>
            </w:tcBorders>
            <w:shd w:val="clear" w:color="auto" w:fill="auto"/>
            <w:noWrap/>
            <w:vAlign w:val="center"/>
            <w:hideMark/>
          </w:tcPr>
          <w:p w14:paraId="5004A88F" w14:textId="77777777" w:rsidR="00EA0BB5" w:rsidRPr="00602F84" w:rsidRDefault="00EA0BB5" w:rsidP="00E02A5D">
            <w:pPr>
              <w:rPr>
                <w:rFonts w:ascii="Times New Roman" w:hAnsi="Times New Roman" w:cs="Times New Roman"/>
                <w:sz w:val="22"/>
                <w:szCs w:val="22"/>
              </w:rPr>
            </w:pPr>
          </w:p>
        </w:tc>
        <w:tc>
          <w:tcPr>
            <w:tcW w:w="730" w:type="dxa"/>
            <w:tcBorders>
              <w:top w:val="nil"/>
              <w:left w:val="nil"/>
              <w:bottom w:val="nil"/>
              <w:right w:val="nil"/>
            </w:tcBorders>
            <w:shd w:val="clear" w:color="auto" w:fill="auto"/>
            <w:noWrap/>
            <w:vAlign w:val="center"/>
            <w:hideMark/>
          </w:tcPr>
          <w:p w14:paraId="5DC34512" w14:textId="77777777" w:rsidR="00EA0BB5" w:rsidRPr="00602F84" w:rsidRDefault="00EA0BB5" w:rsidP="00E02A5D">
            <w:pPr>
              <w:rPr>
                <w:rFonts w:ascii="Times New Roman" w:hAnsi="Times New Roman" w:cs="Times New Roman"/>
                <w:sz w:val="22"/>
                <w:szCs w:val="22"/>
              </w:rPr>
            </w:pPr>
          </w:p>
        </w:tc>
        <w:tc>
          <w:tcPr>
            <w:tcW w:w="787" w:type="dxa"/>
            <w:tcBorders>
              <w:top w:val="nil"/>
              <w:left w:val="nil"/>
              <w:bottom w:val="nil"/>
            </w:tcBorders>
            <w:shd w:val="clear" w:color="auto" w:fill="auto"/>
            <w:noWrap/>
            <w:vAlign w:val="center"/>
            <w:hideMark/>
          </w:tcPr>
          <w:p w14:paraId="273DBC8D" w14:textId="77777777" w:rsidR="00EA0BB5" w:rsidRPr="00602F84" w:rsidRDefault="00EA0BB5" w:rsidP="00E02A5D">
            <w:pPr>
              <w:rPr>
                <w:rFonts w:ascii="Times New Roman" w:hAnsi="Times New Roman" w:cs="Times New Roman"/>
                <w:sz w:val="22"/>
                <w:szCs w:val="22"/>
              </w:rPr>
            </w:pPr>
          </w:p>
        </w:tc>
      </w:tr>
      <w:tr w:rsidR="00EA0BB5" w:rsidRPr="00602F84" w14:paraId="51774203" w14:textId="77777777" w:rsidTr="00F57597">
        <w:trPr>
          <w:trHeight w:val="320"/>
          <w:jc w:val="center"/>
        </w:trPr>
        <w:tc>
          <w:tcPr>
            <w:tcW w:w="1418" w:type="dxa"/>
            <w:tcBorders>
              <w:top w:val="nil"/>
              <w:bottom w:val="dashSmallGap" w:sz="4" w:space="0" w:color="auto"/>
              <w:right w:val="single" w:sz="4" w:space="0" w:color="000000" w:themeColor="text1"/>
            </w:tcBorders>
            <w:shd w:val="clear" w:color="auto" w:fill="auto"/>
            <w:noWrap/>
            <w:vAlign w:val="center"/>
            <w:hideMark/>
          </w:tcPr>
          <w:p w14:paraId="2530CD8D"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无形资产</w:t>
            </w:r>
          </w:p>
        </w:tc>
        <w:tc>
          <w:tcPr>
            <w:tcW w:w="730" w:type="dxa"/>
            <w:tcBorders>
              <w:top w:val="single" w:sz="4" w:space="0" w:color="000000" w:themeColor="text1"/>
              <w:left w:val="single" w:sz="4" w:space="0" w:color="000000" w:themeColor="text1"/>
              <w:bottom w:val="dashSmallGap" w:sz="4" w:space="0" w:color="auto"/>
              <w:right w:val="nil"/>
            </w:tcBorders>
            <w:shd w:val="clear" w:color="auto" w:fill="auto"/>
            <w:noWrap/>
            <w:vAlign w:val="center"/>
            <w:hideMark/>
          </w:tcPr>
          <w:p w14:paraId="5C4A6AD8"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2.04</w:t>
            </w:r>
          </w:p>
        </w:tc>
        <w:tc>
          <w:tcPr>
            <w:tcW w:w="730" w:type="dxa"/>
            <w:tcBorders>
              <w:top w:val="single" w:sz="4" w:space="0" w:color="000000" w:themeColor="text1"/>
              <w:left w:val="nil"/>
              <w:bottom w:val="dashSmallGap" w:sz="4" w:space="0" w:color="auto"/>
              <w:right w:val="nil"/>
            </w:tcBorders>
            <w:shd w:val="clear" w:color="auto" w:fill="auto"/>
            <w:noWrap/>
            <w:vAlign w:val="center"/>
            <w:hideMark/>
          </w:tcPr>
          <w:p w14:paraId="2DF1CB65"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4.83</w:t>
            </w:r>
          </w:p>
        </w:tc>
        <w:tc>
          <w:tcPr>
            <w:tcW w:w="829" w:type="dxa"/>
            <w:tcBorders>
              <w:top w:val="single" w:sz="4" w:space="0" w:color="000000" w:themeColor="text1"/>
              <w:left w:val="nil"/>
              <w:bottom w:val="dashSmallGap" w:sz="4" w:space="0" w:color="auto"/>
              <w:right w:val="nil"/>
            </w:tcBorders>
            <w:shd w:val="clear" w:color="auto" w:fill="auto"/>
            <w:noWrap/>
            <w:vAlign w:val="center"/>
            <w:hideMark/>
          </w:tcPr>
          <w:p w14:paraId="30149CE3"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5.87</w:t>
            </w:r>
          </w:p>
        </w:tc>
        <w:tc>
          <w:tcPr>
            <w:tcW w:w="730" w:type="dxa"/>
            <w:tcBorders>
              <w:top w:val="single" w:sz="4" w:space="0" w:color="000000" w:themeColor="text1"/>
              <w:left w:val="nil"/>
              <w:bottom w:val="dashSmallGap" w:sz="4" w:space="0" w:color="auto"/>
              <w:right w:val="single" w:sz="4" w:space="0" w:color="auto"/>
            </w:tcBorders>
            <w:shd w:val="clear" w:color="auto" w:fill="auto"/>
            <w:noWrap/>
            <w:vAlign w:val="center"/>
            <w:hideMark/>
          </w:tcPr>
          <w:p w14:paraId="21D376F9"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7.23</w:t>
            </w:r>
          </w:p>
        </w:tc>
        <w:tc>
          <w:tcPr>
            <w:tcW w:w="1580" w:type="dxa"/>
            <w:tcBorders>
              <w:top w:val="nil"/>
              <w:left w:val="single" w:sz="4" w:space="0" w:color="auto"/>
              <w:bottom w:val="dashSmallGap" w:sz="4" w:space="0" w:color="auto"/>
              <w:right w:val="nil"/>
            </w:tcBorders>
            <w:shd w:val="clear" w:color="auto" w:fill="auto"/>
            <w:noWrap/>
            <w:vAlign w:val="center"/>
            <w:hideMark/>
          </w:tcPr>
          <w:p w14:paraId="48880560" w14:textId="77777777" w:rsidR="00EA0BB5" w:rsidRPr="00602F84" w:rsidRDefault="00EA0BB5" w:rsidP="00E02A5D">
            <w:pPr>
              <w:jc w:val="right"/>
              <w:rPr>
                <w:rFonts w:ascii="Times New Roman" w:hAnsi="Times New Roman" w:cs="Times New Roman"/>
                <w:color w:val="000000"/>
                <w:sz w:val="22"/>
                <w:szCs w:val="22"/>
              </w:rPr>
            </w:pPr>
          </w:p>
        </w:tc>
        <w:tc>
          <w:tcPr>
            <w:tcW w:w="730" w:type="dxa"/>
            <w:tcBorders>
              <w:top w:val="nil"/>
              <w:left w:val="nil"/>
              <w:bottom w:val="dashSmallGap" w:sz="4" w:space="0" w:color="auto"/>
              <w:right w:val="nil"/>
            </w:tcBorders>
            <w:shd w:val="clear" w:color="auto" w:fill="auto"/>
            <w:noWrap/>
            <w:vAlign w:val="center"/>
            <w:hideMark/>
          </w:tcPr>
          <w:p w14:paraId="25430254" w14:textId="77777777" w:rsidR="00EA0BB5" w:rsidRPr="00602F84" w:rsidRDefault="00EA0BB5" w:rsidP="00E02A5D">
            <w:pPr>
              <w:rPr>
                <w:rFonts w:ascii="Times New Roman" w:hAnsi="Times New Roman" w:cs="Times New Roman"/>
                <w:sz w:val="22"/>
                <w:szCs w:val="22"/>
              </w:rPr>
            </w:pPr>
          </w:p>
        </w:tc>
        <w:tc>
          <w:tcPr>
            <w:tcW w:w="730" w:type="dxa"/>
            <w:tcBorders>
              <w:top w:val="nil"/>
              <w:left w:val="nil"/>
              <w:bottom w:val="dashSmallGap" w:sz="4" w:space="0" w:color="auto"/>
              <w:right w:val="nil"/>
            </w:tcBorders>
            <w:shd w:val="clear" w:color="auto" w:fill="auto"/>
            <w:noWrap/>
            <w:vAlign w:val="center"/>
            <w:hideMark/>
          </w:tcPr>
          <w:p w14:paraId="16BD0AD0" w14:textId="77777777" w:rsidR="00EA0BB5" w:rsidRPr="00602F84" w:rsidRDefault="00EA0BB5" w:rsidP="00E02A5D">
            <w:pPr>
              <w:rPr>
                <w:rFonts w:ascii="Times New Roman" w:hAnsi="Times New Roman" w:cs="Times New Roman"/>
                <w:sz w:val="22"/>
                <w:szCs w:val="22"/>
              </w:rPr>
            </w:pPr>
          </w:p>
        </w:tc>
        <w:tc>
          <w:tcPr>
            <w:tcW w:w="730" w:type="dxa"/>
            <w:tcBorders>
              <w:top w:val="nil"/>
              <w:left w:val="nil"/>
              <w:bottom w:val="dashSmallGap" w:sz="4" w:space="0" w:color="auto"/>
              <w:right w:val="nil"/>
            </w:tcBorders>
            <w:shd w:val="clear" w:color="auto" w:fill="auto"/>
            <w:noWrap/>
            <w:vAlign w:val="center"/>
            <w:hideMark/>
          </w:tcPr>
          <w:p w14:paraId="6D548D2D" w14:textId="77777777" w:rsidR="00EA0BB5" w:rsidRPr="00602F84" w:rsidRDefault="00EA0BB5" w:rsidP="00E02A5D">
            <w:pPr>
              <w:rPr>
                <w:rFonts w:ascii="Times New Roman" w:hAnsi="Times New Roman" w:cs="Times New Roman"/>
                <w:sz w:val="22"/>
                <w:szCs w:val="22"/>
              </w:rPr>
            </w:pPr>
          </w:p>
        </w:tc>
        <w:tc>
          <w:tcPr>
            <w:tcW w:w="787" w:type="dxa"/>
            <w:tcBorders>
              <w:top w:val="nil"/>
              <w:left w:val="nil"/>
              <w:bottom w:val="dashSmallGap" w:sz="4" w:space="0" w:color="auto"/>
            </w:tcBorders>
            <w:shd w:val="clear" w:color="auto" w:fill="auto"/>
            <w:noWrap/>
            <w:vAlign w:val="center"/>
            <w:hideMark/>
          </w:tcPr>
          <w:p w14:paraId="5FB8D95A" w14:textId="77777777" w:rsidR="00EA0BB5" w:rsidRPr="00602F84" w:rsidRDefault="00EA0BB5" w:rsidP="00E02A5D">
            <w:pPr>
              <w:rPr>
                <w:rFonts w:ascii="Times New Roman" w:hAnsi="Times New Roman" w:cs="Times New Roman"/>
                <w:sz w:val="22"/>
                <w:szCs w:val="22"/>
              </w:rPr>
            </w:pPr>
          </w:p>
        </w:tc>
      </w:tr>
      <w:tr w:rsidR="00EA0BB5" w:rsidRPr="00602F84" w14:paraId="48684E18" w14:textId="77777777" w:rsidTr="00E02A5D">
        <w:trPr>
          <w:trHeight w:val="320"/>
          <w:jc w:val="center"/>
        </w:trPr>
        <w:tc>
          <w:tcPr>
            <w:tcW w:w="1418" w:type="dxa"/>
            <w:tcBorders>
              <w:top w:val="dashSmallGap" w:sz="4" w:space="0" w:color="auto"/>
            </w:tcBorders>
            <w:shd w:val="clear" w:color="auto" w:fill="auto"/>
            <w:noWrap/>
            <w:vAlign w:val="center"/>
            <w:hideMark/>
          </w:tcPr>
          <w:p w14:paraId="672C51A4"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政府投资</w:t>
            </w:r>
          </w:p>
        </w:tc>
        <w:tc>
          <w:tcPr>
            <w:tcW w:w="730" w:type="dxa"/>
            <w:tcBorders>
              <w:top w:val="dashSmallGap" w:sz="4" w:space="0" w:color="auto"/>
            </w:tcBorders>
            <w:shd w:val="clear" w:color="auto" w:fill="auto"/>
            <w:noWrap/>
            <w:vAlign w:val="center"/>
            <w:hideMark/>
          </w:tcPr>
          <w:p w14:paraId="2A44F7A4"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4.87</w:t>
            </w:r>
          </w:p>
        </w:tc>
        <w:tc>
          <w:tcPr>
            <w:tcW w:w="730" w:type="dxa"/>
            <w:tcBorders>
              <w:top w:val="dashSmallGap" w:sz="4" w:space="0" w:color="auto"/>
            </w:tcBorders>
            <w:shd w:val="clear" w:color="auto" w:fill="auto"/>
            <w:noWrap/>
            <w:vAlign w:val="center"/>
            <w:hideMark/>
          </w:tcPr>
          <w:p w14:paraId="32DD1A1B"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3.42</w:t>
            </w:r>
          </w:p>
        </w:tc>
        <w:tc>
          <w:tcPr>
            <w:tcW w:w="829" w:type="dxa"/>
            <w:tcBorders>
              <w:top w:val="dashSmallGap" w:sz="4" w:space="0" w:color="auto"/>
            </w:tcBorders>
            <w:shd w:val="clear" w:color="auto" w:fill="auto"/>
            <w:noWrap/>
            <w:vAlign w:val="center"/>
            <w:hideMark/>
          </w:tcPr>
          <w:p w14:paraId="673F5B3E"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3.42</w:t>
            </w:r>
          </w:p>
        </w:tc>
        <w:tc>
          <w:tcPr>
            <w:tcW w:w="730" w:type="dxa"/>
            <w:tcBorders>
              <w:top w:val="dashSmallGap" w:sz="4" w:space="0" w:color="auto"/>
              <w:right w:val="single" w:sz="4" w:space="0" w:color="auto"/>
            </w:tcBorders>
            <w:shd w:val="clear" w:color="auto" w:fill="auto"/>
            <w:noWrap/>
            <w:vAlign w:val="center"/>
            <w:hideMark/>
          </w:tcPr>
          <w:p w14:paraId="049C46C6"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3.73</w:t>
            </w:r>
          </w:p>
        </w:tc>
        <w:tc>
          <w:tcPr>
            <w:tcW w:w="1580" w:type="dxa"/>
            <w:tcBorders>
              <w:top w:val="dashSmallGap" w:sz="4" w:space="0" w:color="auto"/>
              <w:left w:val="single" w:sz="4" w:space="0" w:color="auto"/>
              <w:bottom w:val="nil"/>
            </w:tcBorders>
            <w:shd w:val="clear" w:color="auto" w:fill="auto"/>
            <w:noWrap/>
            <w:vAlign w:val="center"/>
            <w:hideMark/>
          </w:tcPr>
          <w:p w14:paraId="7A53C6F5"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政府资产折旧</w:t>
            </w:r>
          </w:p>
        </w:tc>
        <w:tc>
          <w:tcPr>
            <w:tcW w:w="730" w:type="dxa"/>
            <w:tcBorders>
              <w:top w:val="dashSmallGap" w:sz="4" w:space="0" w:color="auto"/>
            </w:tcBorders>
            <w:shd w:val="clear" w:color="auto" w:fill="auto"/>
            <w:noWrap/>
            <w:vAlign w:val="center"/>
            <w:hideMark/>
          </w:tcPr>
          <w:p w14:paraId="7B04AB92"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3.36</w:t>
            </w:r>
          </w:p>
        </w:tc>
        <w:tc>
          <w:tcPr>
            <w:tcW w:w="730" w:type="dxa"/>
            <w:tcBorders>
              <w:top w:val="dashSmallGap" w:sz="4" w:space="0" w:color="auto"/>
            </w:tcBorders>
            <w:shd w:val="clear" w:color="auto" w:fill="auto"/>
            <w:noWrap/>
            <w:vAlign w:val="center"/>
            <w:hideMark/>
          </w:tcPr>
          <w:p w14:paraId="7D3708EE"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2.47</w:t>
            </w:r>
          </w:p>
        </w:tc>
        <w:tc>
          <w:tcPr>
            <w:tcW w:w="730" w:type="dxa"/>
            <w:tcBorders>
              <w:top w:val="dashSmallGap" w:sz="4" w:space="0" w:color="auto"/>
            </w:tcBorders>
            <w:shd w:val="clear" w:color="auto" w:fill="auto"/>
            <w:noWrap/>
            <w:vAlign w:val="center"/>
            <w:hideMark/>
          </w:tcPr>
          <w:p w14:paraId="435E8D45"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2.86</w:t>
            </w:r>
          </w:p>
        </w:tc>
        <w:tc>
          <w:tcPr>
            <w:tcW w:w="787" w:type="dxa"/>
            <w:tcBorders>
              <w:top w:val="dashSmallGap" w:sz="4" w:space="0" w:color="auto"/>
            </w:tcBorders>
            <w:shd w:val="clear" w:color="auto" w:fill="auto"/>
            <w:noWrap/>
            <w:vAlign w:val="center"/>
            <w:hideMark/>
          </w:tcPr>
          <w:p w14:paraId="1D5E5ED2"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3.08</w:t>
            </w:r>
          </w:p>
        </w:tc>
      </w:tr>
      <w:tr w:rsidR="00EA0BB5" w:rsidRPr="00602F84" w14:paraId="2D13BB6E" w14:textId="77777777" w:rsidTr="00E02A5D">
        <w:trPr>
          <w:trHeight w:val="320"/>
          <w:jc w:val="center"/>
        </w:trPr>
        <w:tc>
          <w:tcPr>
            <w:tcW w:w="1418" w:type="dxa"/>
            <w:shd w:val="clear" w:color="auto" w:fill="auto"/>
            <w:noWrap/>
            <w:vAlign w:val="center"/>
            <w:hideMark/>
          </w:tcPr>
          <w:p w14:paraId="6488C436"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政府消费</w:t>
            </w:r>
          </w:p>
        </w:tc>
        <w:tc>
          <w:tcPr>
            <w:tcW w:w="730" w:type="dxa"/>
            <w:shd w:val="clear" w:color="auto" w:fill="auto"/>
            <w:noWrap/>
            <w:vAlign w:val="center"/>
            <w:hideMark/>
          </w:tcPr>
          <w:p w14:paraId="6DDC2F1F"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16.21</w:t>
            </w:r>
          </w:p>
        </w:tc>
        <w:tc>
          <w:tcPr>
            <w:tcW w:w="730" w:type="dxa"/>
            <w:shd w:val="clear" w:color="auto" w:fill="auto"/>
            <w:noWrap/>
            <w:vAlign w:val="center"/>
            <w:hideMark/>
          </w:tcPr>
          <w:p w14:paraId="33089A7E"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13.31</w:t>
            </w:r>
          </w:p>
        </w:tc>
        <w:tc>
          <w:tcPr>
            <w:tcW w:w="829" w:type="dxa"/>
            <w:shd w:val="clear" w:color="auto" w:fill="auto"/>
            <w:noWrap/>
            <w:vAlign w:val="center"/>
            <w:hideMark/>
          </w:tcPr>
          <w:p w14:paraId="6C1BB2B5"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14.00</w:t>
            </w:r>
          </w:p>
        </w:tc>
        <w:tc>
          <w:tcPr>
            <w:tcW w:w="730" w:type="dxa"/>
            <w:tcBorders>
              <w:right w:val="single" w:sz="4" w:space="0" w:color="auto"/>
            </w:tcBorders>
            <w:shd w:val="clear" w:color="auto" w:fill="auto"/>
            <w:noWrap/>
            <w:vAlign w:val="center"/>
            <w:hideMark/>
          </w:tcPr>
          <w:p w14:paraId="7DA3A8E9"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12.63</w:t>
            </w:r>
          </w:p>
        </w:tc>
        <w:tc>
          <w:tcPr>
            <w:tcW w:w="1580" w:type="dxa"/>
            <w:tcBorders>
              <w:top w:val="nil"/>
              <w:left w:val="single" w:sz="4" w:space="0" w:color="auto"/>
              <w:bottom w:val="single" w:sz="4" w:space="0" w:color="auto"/>
            </w:tcBorders>
            <w:shd w:val="clear" w:color="auto" w:fill="auto"/>
            <w:noWrap/>
            <w:vAlign w:val="center"/>
            <w:hideMark/>
          </w:tcPr>
          <w:p w14:paraId="0A93E6B6" w14:textId="77777777" w:rsidR="00EA0BB5" w:rsidRPr="00602F84" w:rsidRDefault="00EA0BB5" w:rsidP="00E02A5D">
            <w:pPr>
              <w:rPr>
                <w:rFonts w:ascii="Times New Roman" w:hAnsi="Times New Roman" w:cs="Times New Roman"/>
                <w:color w:val="000000"/>
                <w:sz w:val="22"/>
                <w:szCs w:val="22"/>
              </w:rPr>
            </w:pPr>
            <w:r w:rsidRPr="00602F84">
              <w:rPr>
                <w:rFonts w:ascii="Times New Roman" w:hAnsi="Times New Roman" w:cs="Times New Roman"/>
                <w:color w:val="000000"/>
                <w:sz w:val="22"/>
                <w:szCs w:val="22"/>
              </w:rPr>
              <w:t>生产税</w:t>
            </w:r>
          </w:p>
        </w:tc>
        <w:tc>
          <w:tcPr>
            <w:tcW w:w="730" w:type="dxa"/>
            <w:shd w:val="clear" w:color="auto" w:fill="auto"/>
            <w:noWrap/>
            <w:vAlign w:val="center"/>
            <w:hideMark/>
          </w:tcPr>
          <w:p w14:paraId="67069587"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7.05</w:t>
            </w:r>
          </w:p>
        </w:tc>
        <w:tc>
          <w:tcPr>
            <w:tcW w:w="730" w:type="dxa"/>
            <w:shd w:val="clear" w:color="auto" w:fill="auto"/>
            <w:noWrap/>
            <w:vAlign w:val="center"/>
            <w:hideMark/>
          </w:tcPr>
          <w:p w14:paraId="02A34BD7"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6.75</w:t>
            </w:r>
          </w:p>
        </w:tc>
        <w:tc>
          <w:tcPr>
            <w:tcW w:w="730" w:type="dxa"/>
            <w:shd w:val="clear" w:color="auto" w:fill="auto"/>
            <w:noWrap/>
            <w:vAlign w:val="center"/>
            <w:hideMark/>
          </w:tcPr>
          <w:p w14:paraId="4DA12AE1"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7.41</w:t>
            </w:r>
          </w:p>
        </w:tc>
        <w:tc>
          <w:tcPr>
            <w:tcW w:w="787" w:type="dxa"/>
            <w:shd w:val="clear" w:color="auto" w:fill="auto"/>
            <w:noWrap/>
            <w:vAlign w:val="center"/>
            <w:hideMark/>
          </w:tcPr>
          <w:p w14:paraId="3AF6E749" w14:textId="77777777" w:rsidR="00EA0BB5" w:rsidRPr="00602F84" w:rsidRDefault="00EA0BB5" w:rsidP="00E02A5D">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5.57</w:t>
            </w:r>
          </w:p>
        </w:tc>
      </w:tr>
    </w:tbl>
    <w:p w14:paraId="690A319E" w14:textId="1E23053F" w:rsidR="00EA0BB5" w:rsidRDefault="00EA0BB5" w:rsidP="001E326B">
      <w:pPr>
        <w:rPr>
          <w:rFonts w:ascii="Times New Roman" w:hAnsi="Times New Roman" w:cs="Times New Roman"/>
          <w:iCs/>
          <w:sz w:val="21"/>
          <w:szCs w:val="21"/>
        </w:rPr>
      </w:pPr>
      <w:r w:rsidRPr="00BB75B3">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Pr="00BB75B3">
        <w:rPr>
          <w:rFonts w:ascii="Times New Roman" w:hAnsi="Times New Roman" w:cs="Times New Roman"/>
          <w:sz w:val="21"/>
          <w:szCs w:val="21"/>
        </w:rPr>
        <w:t>,</w:t>
      </w:r>
      <w:r w:rsidR="0074079E">
        <w:rPr>
          <w:rFonts w:ascii="Times New Roman" w:hAnsi="Times New Roman" w:cs="Times New Roman" w:hint="eastAsia"/>
          <w:sz w:val="21"/>
          <w:szCs w:val="21"/>
        </w:rPr>
        <w:t xml:space="preserve"> Interactive Data Tables,</w:t>
      </w:r>
      <w:r w:rsidRPr="001E326B">
        <w:rPr>
          <w:rFonts w:ascii="Times New Roman" w:hAnsi="Times New Roman" w:cs="Times New Roman"/>
          <w:i/>
          <w:iCs/>
          <w:sz w:val="21"/>
          <w:szCs w:val="21"/>
        </w:rPr>
        <w:t xml:space="preserve"> </w:t>
      </w:r>
      <w:r w:rsidRPr="00BE517C">
        <w:rPr>
          <w:rFonts w:ascii="Times New Roman" w:hAnsi="Times New Roman" w:cs="Times New Roman"/>
          <w:iCs/>
          <w:sz w:val="21"/>
          <w:szCs w:val="21"/>
        </w:rPr>
        <w:t>"Table 1.1.5 Gross Domestic Product"</w:t>
      </w:r>
      <w:r w:rsidR="008F0CD8">
        <w:rPr>
          <w:rFonts w:ascii="Times New Roman" w:hAnsi="Times New Roman" w:cs="Times New Roman"/>
          <w:iCs/>
          <w:sz w:val="21"/>
          <w:szCs w:val="21"/>
        </w:rPr>
        <w:t xml:space="preserve"> </w:t>
      </w:r>
      <w:r w:rsidR="008F0CD8">
        <w:rPr>
          <w:rFonts w:ascii="Times New Roman" w:hAnsi="Times New Roman" w:cs="Times New Roman" w:hint="eastAsia"/>
          <w:iCs/>
          <w:sz w:val="21"/>
          <w:szCs w:val="21"/>
        </w:rPr>
        <w:t>&amp;</w:t>
      </w:r>
      <w:r w:rsidR="008F0CD8">
        <w:rPr>
          <w:rFonts w:ascii="Times New Roman" w:hAnsi="Times New Roman" w:cs="Times New Roman"/>
          <w:iCs/>
          <w:sz w:val="21"/>
          <w:szCs w:val="21"/>
        </w:rPr>
        <w:t xml:space="preserve"> </w:t>
      </w:r>
      <w:r w:rsidRPr="00BE517C">
        <w:rPr>
          <w:rFonts w:ascii="Times New Roman" w:hAnsi="Times New Roman" w:cs="Times New Roman"/>
          <w:iCs/>
          <w:sz w:val="21"/>
          <w:szCs w:val="21"/>
        </w:rPr>
        <w:t xml:space="preserve">"Table 1.10 Gross Domestic Income by Type </w:t>
      </w:r>
      <w:r w:rsidRPr="00AC33C9">
        <w:rPr>
          <w:rFonts w:ascii="Times New Roman" w:hAnsi="Times New Roman" w:cs="Times New Roman"/>
          <w:iCs/>
          <w:sz w:val="21"/>
          <w:szCs w:val="21"/>
        </w:rPr>
        <w:t>of Income"</w:t>
      </w:r>
      <w:r w:rsidR="00CC413C" w:rsidRPr="00AC33C9">
        <w:rPr>
          <w:rFonts w:ascii="Times New Roman" w:hAnsi="Times New Roman" w:cs="Times New Roman" w:hint="eastAsia"/>
          <w:iCs/>
          <w:sz w:val="21"/>
          <w:szCs w:val="21"/>
        </w:rPr>
        <w:t>，详见</w:t>
      </w:r>
      <w:r w:rsidR="0074079E" w:rsidRPr="00AC33C9">
        <w:rPr>
          <w:rFonts w:ascii="Times New Roman" w:hAnsi="Times New Roman" w:cs="Times New Roman"/>
          <w:iCs/>
          <w:sz w:val="21"/>
          <w:szCs w:val="21"/>
        </w:rPr>
        <w:fldChar w:fldCharType="begin"/>
      </w:r>
      <w:r w:rsidR="0074079E" w:rsidRPr="00AC33C9">
        <w:rPr>
          <w:rFonts w:ascii="Times New Roman" w:hAnsi="Times New Roman" w:cs="Times New Roman"/>
          <w:iCs/>
          <w:sz w:val="21"/>
          <w:szCs w:val="21"/>
        </w:rPr>
        <w:instrText>HYPERLINK "https://www.bea.gov/itable/national-gdp-and-personal-income</w:instrText>
      </w:r>
      <w:r w:rsidR="0074079E" w:rsidRPr="00AC33C9">
        <w:rPr>
          <w:rFonts w:ascii="Times New Roman" w:hAnsi="Times New Roman" w:cs="Times New Roman" w:hint="eastAsia"/>
          <w:iCs/>
          <w:sz w:val="21"/>
          <w:szCs w:val="21"/>
        </w:rPr>
        <w:instrText>，</w:instrText>
      </w:r>
      <w:r w:rsidR="0074079E" w:rsidRPr="00AC33C9">
        <w:rPr>
          <w:rFonts w:ascii="Times New Roman" w:hAnsi="Times New Roman" w:cs="Times New Roman" w:hint="eastAsia"/>
          <w:iCs/>
          <w:sz w:val="21"/>
          <w:szCs w:val="21"/>
        </w:rPr>
        <w:instrText>retrived</w:instrText>
      </w:r>
      <w:r w:rsidR="0074079E" w:rsidRPr="00AC33C9">
        <w:rPr>
          <w:rFonts w:ascii="Times New Roman" w:hAnsi="Times New Roman" w:cs="Times New Roman"/>
          <w:iCs/>
          <w:sz w:val="21"/>
          <w:szCs w:val="21"/>
        </w:rPr>
        <w:instrText>"</w:instrText>
      </w:r>
      <w:r w:rsidR="0074079E" w:rsidRPr="00AC33C9">
        <w:rPr>
          <w:rFonts w:ascii="Times New Roman" w:hAnsi="Times New Roman" w:cs="Times New Roman"/>
          <w:iCs/>
          <w:sz w:val="21"/>
          <w:szCs w:val="21"/>
        </w:rPr>
      </w:r>
      <w:r w:rsidR="0074079E" w:rsidRPr="00AC33C9">
        <w:rPr>
          <w:rFonts w:ascii="Times New Roman" w:hAnsi="Times New Roman" w:cs="Times New Roman"/>
          <w:iCs/>
          <w:sz w:val="21"/>
          <w:szCs w:val="21"/>
        </w:rPr>
        <w:fldChar w:fldCharType="separate"/>
      </w:r>
      <w:r w:rsidR="0074079E" w:rsidRPr="00AC33C9">
        <w:rPr>
          <w:rStyle w:val="af4"/>
          <w:rFonts w:ascii="Times New Roman" w:hAnsi="Times New Roman" w:cs="Times New Roman"/>
          <w:iCs/>
          <w:sz w:val="21"/>
          <w:szCs w:val="21"/>
        </w:rPr>
        <w:t>https://www.bea.gov/itable/national-gdp-and-personal-income</w:t>
      </w:r>
      <w:r w:rsidR="0074079E" w:rsidRPr="00AC33C9">
        <w:rPr>
          <w:rStyle w:val="af4"/>
          <w:rFonts w:ascii="Times New Roman" w:hAnsi="Times New Roman" w:cs="Times New Roman" w:hint="eastAsia"/>
          <w:iCs/>
          <w:sz w:val="21"/>
          <w:szCs w:val="21"/>
        </w:rPr>
        <w:t>，</w:t>
      </w:r>
      <w:r w:rsidR="0074079E" w:rsidRPr="00AC33C9">
        <w:rPr>
          <w:rStyle w:val="af4"/>
          <w:rFonts w:ascii="Times New Roman" w:hAnsi="Times New Roman" w:cs="Times New Roman" w:hint="eastAsia"/>
          <w:iCs/>
          <w:sz w:val="21"/>
          <w:szCs w:val="21"/>
        </w:rPr>
        <w:t>retrived</w:t>
      </w:r>
      <w:r w:rsidR="0074079E" w:rsidRPr="00AC33C9">
        <w:rPr>
          <w:rFonts w:ascii="Times New Roman" w:hAnsi="Times New Roman" w:cs="Times New Roman"/>
          <w:iCs/>
          <w:sz w:val="21"/>
          <w:szCs w:val="21"/>
        </w:rPr>
        <w:fldChar w:fldCharType="end"/>
      </w:r>
      <w:r w:rsidR="0074079E" w:rsidRPr="00AC33C9">
        <w:rPr>
          <w:rFonts w:ascii="Times New Roman" w:hAnsi="Times New Roman" w:cs="Times New Roman" w:hint="eastAsia"/>
          <w:iCs/>
          <w:sz w:val="21"/>
          <w:szCs w:val="21"/>
        </w:rPr>
        <w:t xml:space="preserve"> </w:t>
      </w:r>
      <w:r w:rsidR="00C46339">
        <w:rPr>
          <w:rFonts w:ascii="Times New Roman" w:hAnsi="Times New Roman" w:cs="Times New Roman" w:hint="eastAsia"/>
          <w:iCs/>
          <w:sz w:val="21"/>
          <w:szCs w:val="21"/>
        </w:rPr>
        <w:t>Oct.7,2024</w:t>
      </w:r>
      <w:r w:rsidR="008F0CD8" w:rsidRPr="00AC33C9">
        <w:rPr>
          <w:rFonts w:ascii="Times New Roman" w:hAnsi="Times New Roman" w:cs="Times New Roman" w:hint="eastAsia"/>
          <w:iCs/>
          <w:sz w:val="21"/>
          <w:szCs w:val="21"/>
        </w:rPr>
        <w:t>。</w:t>
      </w:r>
    </w:p>
    <w:p w14:paraId="26CC06A8" w14:textId="2397629B" w:rsidR="006826FE" w:rsidRPr="00BB75B3" w:rsidRDefault="006826FE" w:rsidP="001E326B">
      <w:pPr>
        <w:rPr>
          <w:rFonts w:ascii="Times New Roman" w:hAnsi="Times New Roman" w:cs="Times New Roman"/>
          <w:sz w:val="21"/>
          <w:szCs w:val="21"/>
        </w:rPr>
      </w:pPr>
      <w:r>
        <w:rPr>
          <w:rFonts w:ascii="Times New Roman" w:hAnsi="Times New Roman" w:cs="Times New Roman" w:hint="eastAsia"/>
          <w:iCs/>
          <w:sz w:val="21"/>
          <w:szCs w:val="21"/>
        </w:rPr>
        <w:t>计算方法：以</w:t>
      </w:r>
      <w:r>
        <w:rPr>
          <w:rFonts w:ascii="Times New Roman" w:hAnsi="Times New Roman" w:cs="Times New Roman" w:hint="eastAsia"/>
          <w:iCs/>
          <w:sz w:val="21"/>
          <w:szCs w:val="21"/>
        </w:rPr>
        <w:t>1980</w:t>
      </w:r>
      <w:r>
        <w:rPr>
          <w:rFonts w:ascii="Times New Roman" w:hAnsi="Times New Roman" w:cs="Times New Roman" w:hint="eastAsia"/>
          <w:iCs/>
          <w:sz w:val="21"/>
          <w:szCs w:val="21"/>
        </w:rPr>
        <w:t>年</w:t>
      </w:r>
      <w:r>
        <w:rPr>
          <w:rFonts w:ascii="Times New Roman" w:hAnsi="Times New Roman" w:cs="Times New Roman" w:hint="eastAsia"/>
          <w:iCs/>
          <w:sz w:val="21"/>
          <w:szCs w:val="21"/>
        </w:rPr>
        <w:t>GDP</w:t>
      </w:r>
      <w:r>
        <w:rPr>
          <w:rFonts w:ascii="Times New Roman" w:hAnsi="Times New Roman" w:cs="Times New Roman" w:hint="eastAsia"/>
          <w:iCs/>
          <w:sz w:val="21"/>
          <w:szCs w:val="21"/>
        </w:rPr>
        <w:t>减去</w:t>
      </w:r>
      <w:r>
        <w:rPr>
          <w:rFonts w:ascii="Times New Roman" w:hAnsi="Times New Roman" w:cs="Times New Roman" w:hint="eastAsia"/>
          <w:iCs/>
          <w:sz w:val="21"/>
          <w:szCs w:val="21"/>
        </w:rPr>
        <w:t>1950</w:t>
      </w:r>
      <w:r>
        <w:rPr>
          <w:rFonts w:ascii="Times New Roman" w:hAnsi="Times New Roman" w:cs="Times New Roman" w:hint="eastAsia"/>
          <w:iCs/>
          <w:sz w:val="21"/>
          <w:szCs w:val="21"/>
        </w:rPr>
        <w:t>年</w:t>
      </w:r>
      <w:r>
        <w:rPr>
          <w:rFonts w:ascii="Times New Roman" w:hAnsi="Times New Roman" w:cs="Times New Roman" w:hint="eastAsia"/>
          <w:iCs/>
          <w:sz w:val="21"/>
          <w:szCs w:val="21"/>
        </w:rPr>
        <w:t>GDP</w:t>
      </w:r>
      <w:r>
        <w:rPr>
          <w:rFonts w:ascii="Times New Roman" w:hAnsi="Times New Roman" w:cs="Times New Roman" w:hint="eastAsia"/>
          <w:iCs/>
          <w:sz w:val="21"/>
          <w:szCs w:val="21"/>
        </w:rPr>
        <w:t>，得到</w:t>
      </w:r>
      <w:r>
        <w:rPr>
          <w:rFonts w:ascii="Times New Roman" w:hAnsi="Times New Roman" w:cs="Times New Roman" w:hint="eastAsia"/>
          <w:iCs/>
          <w:sz w:val="21"/>
          <w:szCs w:val="21"/>
        </w:rPr>
        <w:t>1980</w:t>
      </w:r>
      <w:r>
        <w:rPr>
          <w:rFonts w:ascii="Times New Roman" w:hAnsi="Times New Roman" w:cs="Times New Roman" w:hint="eastAsia"/>
          <w:iCs/>
          <w:sz w:val="21"/>
          <w:szCs w:val="21"/>
        </w:rPr>
        <w:t>相对于</w:t>
      </w:r>
      <w:r>
        <w:rPr>
          <w:rFonts w:ascii="Times New Roman" w:hAnsi="Times New Roman" w:cs="Times New Roman" w:hint="eastAsia"/>
          <w:iCs/>
          <w:sz w:val="21"/>
          <w:szCs w:val="21"/>
        </w:rPr>
        <w:t>1950</w:t>
      </w:r>
      <w:r>
        <w:rPr>
          <w:rFonts w:ascii="Times New Roman" w:hAnsi="Times New Roman" w:cs="Times New Roman" w:hint="eastAsia"/>
          <w:iCs/>
          <w:sz w:val="21"/>
          <w:szCs w:val="21"/>
        </w:rPr>
        <w:t>年的</w:t>
      </w:r>
      <w:r>
        <w:rPr>
          <w:rFonts w:ascii="Times New Roman" w:hAnsi="Times New Roman" w:cs="Times New Roman" w:hint="eastAsia"/>
          <w:iCs/>
          <w:sz w:val="21"/>
          <w:szCs w:val="21"/>
        </w:rPr>
        <w:t>GDP</w:t>
      </w:r>
      <w:r>
        <w:rPr>
          <w:rFonts w:ascii="Times New Roman" w:hAnsi="Times New Roman" w:cs="Times New Roman" w:hint="eastAsia"/>
          <w:iCs/>
          <w:sz w:val="21"/>
          <w:szCs w:val="21"/>
        </w:rPr>
        <w:t>增量。同时以消费、投资、政府支出等科目增量占</w:t>
      </w:r>
      <w:r>
        <w:rPr>
          <w:rFonts w:ascii="Times New Roman" w:hAnsi="Times New Roman" w:cs="Times New Roman" w:hint="eastAsia"/>
          <w:iCs/>
          <w:sz w:val="21"/>
          <w:szCs w:val="21"/>
        </w:rPr>
        <w:t>GDP</w:t>
      </w:r>
      <w:r>
        <w:rPr>
          <w:rFonts w:ascii="Times New Roman" w:hAnsi="Times New Roman" w:cs="Times New Roman" w:hint="eastAsia"/>
          <w:iCs/>
          <w:sz w:val="21"/>
          <w:szCs w:val="21"/>
        </w:rPr>
        <w:t>增量的比例</w:t>
      </w:r>
      <w:r w:rsidR="00AA2EAD">
        <w:rPr>
          <w:rFonts w:ascii="Times New Roman" w:hAnsi="Times New Roman" w:cs="Times New Roman" w:hint="eastAsia"/>
          <w:iCs/>
          <w:sz w:val="21"/>
          <w:szCs w:val="21"/>
        </w:rPr>
        <w:t>观察</w:t>
      </w:r>
      <w:r w:rsidR="00AA2EAD">
        <w:rPr>
          <w:rFonts w:ascii="Times New Roman" w:hAnsi="Times New Roman" w:cs="Times New Roman" w:hint="eastAsia"/>
          <w:iCs/>
          <w:sz w:val="21"/>
          <w:szCs w:val="21"/>
        </w:rPr>
        <w:t>GDP</w:t>
      </w:r>
      <w:r w:rsidR="00AA2EAD">
        <w:rPr>
          <w:rFonts w:ascii="Times New Roman" w:hAnsi="Times New Roman" w:cs="Times New Roman" w:hint="eastAsia"/>
          <w:iCs/>
          <w:sz w:val="21"/>
          <w:szCs w:val="21"/>
        </w:rPr>
        <w:t>增量的结构效应</w:t>
      </w:r>
      <w:r>
        <w:rPr>
          <w:rFonts w:ascii="Times New Roman" w:hAnsi="Times New Roman" w:cs="Times New Roman" w:hint="eastAsia"/>
          <w:iCs/>
          <w:sz w:val="21"/>
          <w:szCs w:val="21"/>
        </w:rPr>
        <w:t>。</w:t>
      </w:r>
    </w:p>
    <w:p w14:paraId="3BDA0A00" w14:textId="34DFC2FB" w:rsidR="00E242E7" w:rsidRPr="0074079E" w:rsidRDefault="00E242E7" w:rsidP="00E242E7">
      <w:pPr>
        <w:spacing w:line="360" w:lineRule="auto"/>
        <w:ind w:firstLineChars="200" w:firstLine="480"/>
        <w:rPr>
          <w:rFonts w:ascii="Times New Roman" w:hAnsi="Times New Roman" w:cs="Times New Roman"/>
        </w:rPr>
      </w:pPr>
    </w:p>
    <w:p w14:paraId="69D879C0" w14:textId="5294FEFD" w:rsidR="00EA0BB5" w:rsidRPr="00C3146C" w:rsidRDefault="00EA0BB5" w:rsidP="00EA0BB5">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国民经济的报表体系</w:t>
      </w:r>
      <w:r w:rsidR="00231E43" w:rsidRPr="00231E43">
        <w:rPr>
          <w:rFonts w:ascii="Times New Roman" w:hAnsi="Times New Roman" w:cs="Times New Roman" w:hint="eastAsia"/>
        </w:rPr>
        <w:t>反映</w:t>
      </w:r>
      <w:r>
        <w:rPr>
          <w:rFonts w:ascii="Times New Roman" w:hAnsi="Times New Roman" w:cs="Times New Roman" w:hint="eastAsia"/>
        </w:rPr>
        <w:t>了当年生产、当年分配的情况，但三部门的收支数据却不仅限于当年的表内收支，它还包括二次分配、外部金融市场融资等表外收支。因此，了解真实的美国经济，还需要从复原三部门报表开始。</w:t>
      </w:r>
    </w:p>
    <w:p w14:paraId="1E56A9C0" w14:textId="77777777" w:rsidR="00B957F7" w:rsidRPr="00C3146C" w:rsidRDefault="00B957F7" w:rsidP="002542B4">
      <w:pPr>
        <w:spacing w:line="360" w:lineRule="auto"/>
        <w:ind w:firstLineChars="200" w:firstLine="480"/>
        <w:rPr>
          <w:rFonts w:ascii="Times New Roman" w:hAnsi="Times New Roman" w:cs="Times New Roman"/>
        </w:rPr>
      </w:pPr>
    </w:p>
    <w:p w14:paraId="32E06B15" w14:textId="016B7BC5" w:rsidR="00E242E7" w:rsidRPr="00C3146C" w:rsidRDefault="00DB7C10" w:rsidP="00DB7C10">
      <w:pPr>
        <w:spacing w:line="360" w:lineRule="auto"/>
        <w:rPr>
          <w:rFonts w:ascii="Times New Roman" w:hAnsi="Times New Roman" w:cs="Times New Roman"/>
          <w:b/>
          <w:bCs/>
        </w:rPr>
      </w:pPr>
      <w:r w:rsidRPr="00C3146C">
        <w:rPr>
          <w:rFonts w:ascii="Times New Roman" w:hAnsi="Times New Roman" w:cs="Times New Roman" w:hint="eastAsia"/>
          <w:b/>
          <w:bCs/>
        </w:rPr>
        <w:t>（二）</w:t>
      </w:r>
      <w:r w:rsidR="00E242E7" w:rsidRPr="00C3146C">
        <w:rPr>
          <w:rFonts w:ascii="Times New Roman" w:hAnsi="Times New Roman" w:cs="Times New Roman" w:hint="eastAsia"/>
          <w:b/>
          <w:bCs/>
        </w:rPr>
        <w:t>报表复原：</w:t>
      </w:r>
      <w:r w:rsidR="002A556E" w:rsidRPr="00C3146C">
        <w:rPr>
          <w:rFonts w:ascii="Times New Roman" w:hAnsi="Times New Roman" w:cs="Times New Roman" w:hint="eastAsia"/>
          <w:b/>
          <w:bCs/>
        </w:rPr>
        <w:t>美国三部门的真实收支</w:t>
      </w:r>
    </w:p>
    <w:p w14:paraId="42553D4C" w14:textId="27A0D7E1" w:rsidR="004515E0" w:rsidRPr="00C3146C" w:rsidRDefault="00E242E7" w:rsidP="00B44761">
      <w:pPr>
        <w:spacing w:line="360" w:lineRule="auto"/>
        <w:ind w:firstLineChars="200" w:firstLine="480"/>
        <w:rPr>
          <w:rFonts w:ascii="Times New Roman" w:hAnsi="Times New Roman" w:cs="Times New Roman"/>
        </w:rPr>
      </w:pPr>
      <w:r w:rsidRPr="00D22A8F">
        <w:rPr>
          <w:rFonts w:ascii="Times New Roman" w:hAnsi="Times New Roman" w:cs="Times New Roman" w:hint="eastAsia"/>
        </w:rPr>
        <w:t>国民经济账户</w:t>
      </w:r>
      <w:r w:rsidR="009C1049" w:rsidRPr="00D22A8F">
        <w:rPr>
          <w:rFonts w:ascii="Times New Roman" w:hAnsi="Times New Roman" w:cs="Times New Roman" w:hint="eastAsia"/>
        </w:rPr>
        <w:t>体系</w:t>
      </w:r>
      <w:r w:rsidRPr="00D22A8F">
        <w:rPr>
          <w:rFonts w:ascii="Times New Roman" w:hAnsi="Times New Roman" w:cs="Times New Roman"/>
        </w:rPr>
        <w:t>是</w:t>
      </w:r>
      <w:r w:rsidRPr="00D22A8F">
        <w:rPr>
          <w:rFonts w:ascii="Times New Roman" w:hAnsi="Times New Roman" w:cs="Times New Roman"/>
        </w:rPr>
        <w:t>BEA</w:t>
      </w:r>
      <w:r w:rsidRPr="00D22A8F">
        <w:rPr>
          <w:rFonts w:ascii="Times New Roman" w:hAnsi="Times New Roman" w:cs="Times New Roman"/>
        </w:rPr>
        <w:t>对相关经济部门的统计调查数据加工处理后，按照既定的复式记账原理，编制的反映国家生产与分配活动的</w:t>
      </w:r>
      <w:r w:rsidRPr="00D22A8F">
        <w:rPr>
          <w:rFonts w:ascii="Times New Roman" w:hAnsi="Times New Roman" w:cs="Times New Roman" w:hint="eastAsia"/>
        </w:rPr>
        <w:t>会计报表体系</w:t>
      </w:r>
      <w:r w:rsidR="002542B4" w:rsidRPr="00C3146C">
        <w:rPr>
          <w:rFonts w:ascii="Times New Roman" w:hAnsi="Times New Roman" w:cs="Times New Roman" w:hint="eastAsia"/>
        </w:rPr>
        <w:t>，它与普通部门收支数据存在显著差异。</w:t>
      </w:r>
    </w:p>
    <w:p w14:paraId="5B1D62A0" w14:textId="77777777" w:rsidR="004515E0" w:rsidRPr="00C3146C" w:rsidRDefault="004515E0" w:rsidP="002542B4">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在日常经济核算中，家庭与政府具有较大的相似性，即以收付实现制为家庭预算的主要参考。但在国民经济核算中，家庭的收支也以权责发生制为核算基础，</w:t>
      </w:r>
      <w:r w:rsidR="00B44761" w:rsidRPr="00C3146C">
        <w:rPr>
          <w:rFonts w:ascii="Times New Roman" w:hAnsi="Times New Roman" w:cs="Times New Roman" w:hint="eastAsia"/>
        </w:rPr>
        <w:t>就会造成</w:t>
      </w:r>
      <w:r w:rsidR="00351DC4" w:rsidRPr="00C3146C">
        <w:rPr>
          <w:rFonts w:ascii="Times New Roman" w:hAnsi="Times New Roman" w:cs="Times New Roman" w:hint="eastAsia"/>
        </w:rPr>
        <w:t>统计数据</w:t>
      </w:r>
      <w:r w:rsidR="00B44761" w:rsidRPr="00C3146C">
        <w:rPr>
          <w:rFonts w:ascii="Times New Roman" w:hAnsi="Times New Roman" w:cs="Times New Roman" w:hint="eastAsia"/>
        </w:rPr>
        <w:t>与</w:t>
      </w:r>
      <w:r w:rsidRPr="00C3146C">
        <w:rPr>
          <w:rFonts w:ascii="Times New Roman" w:hAnsi="Times New Roman" w:cs="Times New Roman" w:hint="eastAsia"/>
        </w:rPr>
        <w:t>家庭</w:t>
      </w:r>
      <w:r w:rsidR="00B44761" w:rsidRPr="00C3146C">
        <w:rPr>
          <w:rFonts w:ascii="Times New Roman" w:hAnsi="Times New Roman" w:cs="Times New Roman" w:hint="eastAsia"/>
        </w:rPr>
        <w:t>实际收支不符的</w:t>
      </w:r>
      <w:r w:rsidR="00351DC4" w:rsidRPr="00C3146C">
        <w:rPr>
          <w:rFonts w:ascii="Times New Roman" w:hAnsi="Times New Roman" w:cs="Times New Roman" w:hint="eastAsia"/>
        </w:rPr>
        <w:t>存在</w:t>
      </w:r>
      <w:r w:rsidRPr="00C3146C">
        <w:rPr>
          <w:rFonts w:ascii="Times New Roman" w:hAnsi="Times New Roman" w:cs="Times New Roman" w:hint="eastAsia"/>
        </w:rPr>
        <w:t>。在还原报表时，需以现金流情况为基础，还原家庭的收支数据。</w:t>
      </w:r>
    </w:p>
    <w:p w14:paraId="115D820C" w14:textId="77777777" w:rsidR="00495FA9" w:rsidRDefault="00495FA9" w:rsidP="002542B4">
      <w:pPr>
        <w:spacing w:line="360" w:lineRule="auto"/>
        <w:ind w:firstLineChars="200" w:firstLine="480"/>
        <w:rPr>
          <w:rFonts w:ascii="Times New Roman" w:hAnsi="Times New Roman" w:cs="Times New Roman"/>
        </w:rPr>
      </w:pPr>
    </w:p>
    <w:p w14:paraId="4B52CBBE" w14:textId="39A491EB" w:rsidR="00D63E54" w:rsidRPr="00C3146C" w:rsidRDefault="00DB7C10" w:rsidP="0034101C">
      <w:pPr>
        <w:spacing w:line="360" w:lineRule="auto"/>
        <w:ind w:left="489"/>
        <w:rPr>
          <w:rFonts w:ascii="Times New Roman" w:hAnsi="Times New Roman" w:cs="Times New Roman"/>
          <w:b/>
          <w:bCs/>
        </w:rPr>
      </w:pPr>
      <w:r w:rsidRPr="00C3146C">
        <w:rPr>
          <w:rFonts w:ascii="Times New Roman" w:hAnsi="Times New Roman" w:cs="Times New Roman" w:hint="eastAsia"/>
          <w:b/>
          <w:bCs/>
        </w:rPr>
        <w:t>1.</w:t>
      </w:r>
      <w:r w:rsidR="00D63E54" w:rsidRPr="00C3146C">
        <w:rPr>
          <w:rFonts w:ascii="Times New Roman" w:hAnsi="Times New Roman" w:cs="Times New Roman" w:hint="eastAsia"/>
          <w:b/>
          <w:bCs/>
        </w:rPr>
        <w:t>真实的家庭收支状况</w:t>
      </w:r>
    </w:p>
    <w:p w14:paraId="425F1981" w14:textId="36F0577E" w:rsidR="00CE2D5A" w:rsidRPr="00C3146C" w:rsidRDefault="002542B4" w:rsidP="006F217C">
      <w:pPr>
        <w:spacing w:line="360" w:lineRule="auto"/>
        <w:ind w:firstLineChars="200" w:firstLine="480"/>
        <w:rPr>
          <w:rFonts w:ascii="Times New Roman" w:hAnsi="Times New Roman" w:cs="Times New Roman"/>
        </w:rPr>
      </w:pPr>
      <w:bookmarkStart w:id="0" w:name="OLE_LINK1"/>
      <w:bookmarkStart w:id="1" w:name="OLE_LINK2"/>
      <w:r w:rsidRPr="00C3146C">
        <w:rPr>
          <w:rFonts w:ascii="Times New Roman" w:hAnsi="Times New Roman" w:cs="Times New Roman" w:hint="eastAsia"/>
        </w:rPr>
        <w:lastRenderedPageBreak/>
        <w:t>在</w:t>
      </w:r>
      <w:r w:rsidR="0086640D">
        <w:rPr>
          <w:rFonts w:ascii="Times New Roman" w:hAnsi="Times New Roman" w:cs="Times New Roman" w:hint="eastAsia"/>
        </w:rPr>
        <w:t>美国</w:t>
      </w:r>
      <w:r w:rsidRPr="00C3146C">
        <w:rPr>
          <w:rFonts w:ascii="Times New Roman" w:hAnsi="Times New Roman" w:cs="Times New Roman" w:hint="eastAsia"/>
        </w:rPr>
        <w:t>现有核算口径中，家庭住房支出被视作住房投资，既然是投资品，理当参照企业固定资产管理办法</w:t>
      </w:r>
      <w:r w:rsidR="0086640D">
        <w:rPr>
          <w:rFonts w:ascii="Times New Roman" w:hAnsi="Times New Roman" w:cs="Times New Roman" w:hint="eastAsia"/>
        </w:rPr>
        <w:t>，</w:t>
      </w:r>
      <w:r w:rsidR="00EF68D0" w:rsidRPr="00C3146C">
        <w:rPr>
          <w:rStyle w:val="a5"/>
          <w:rFonts w:ascii="Times New Roman" w:hAnsi="Times New Roman" w:cs="Times New Roman"/>
        </w:rPr>
        <w:footnoteReference w:id="9"/>
      </w:r>
      <w:r w:rsidRPr="00C3146C">
        <w:rPr>
          <w:rFonts w:ascii="Times New Roman" w:hAnsi="Times New Roman" w:cs="Times New Roman" w:hint="eastAsia"/>
        </w:rPr>
        <w:t>按月度计提折旧</w:t>
      </w:r>
      <w:r w:rsidR="00CE2D5A" w:rsidRPr="00C3146C">
        <w:rPr>
          <w:rFonts w:ascii="Times New Roman" w:hAnsi="Times New Roman" w:cs="Times New Roman" w:hint="eastAsia"/>
        </w:rPr>
        <w:t>。但在美国现有会计法则（</w:t>
      </w:r>
      <w:r w:rsidR="002065C7" w:rsidRPr="00BE517C">
        <w:rPr>
          <w:rFonts w:ascii="Times New Roman" w:hAnsi="Times New Roman" w:cs="Times New Roman"/>
          <w:iCs/>
        </w:rPr>
        <w:t>Generally Accepted Accounting Principle</w:t>
      </w:r>
      <w:r w:rsidR="002065C7" w:rsidRPr="0086640D">
        <w:rPr>
          <w:rFonts w:ascii="Times New Roman" w:hAnsi="Times New Roman" w:cs="Times New Roman" w:hint="eastAsia"/>
        </w:rPr>
        <w:t>，</w:t>
      </w:r>
      <w:r w:rsidR="00CE2D5A" w:rsidRPr="00C3146C">
        <w:rPr>
          <w:rFonts w:ascii="Times New Roman" w:hAnsi="Times New Roman" w:cs="Times New Roman" w:hint="eastAsia"/>
        </w:rPr>
        <w:t>GAAP</w:t>
      </w:r>
      <w:r w:rsidR="00CE2D5A" w:rsidRPr="00C3146C">
        <w:rPr>
          <w:rFonts w:ascii="Times New Roman" w:hAnsi="Times New Roman" w:cs="Times New Roman" w:hint="eastAsia"/>
        </w:rPr>
        <w:t>）中，计提折旧的固定资产是指为生产性活动提供必要支撑的有形物品，折旧计入产品成本或相关辅助活动费用，并以销售收入的形式回到企业手中，在资产负债表中的变化为非流动资产</w:t>
      </w:r>
      <w:r w:rsidR="00CE2D5A" w:rsidRPr="00C3146C">
        <w:rPr>
          <w:rFonts w:ascii="Times New Roman" w:hAnsi="Times New Roman" w:cs="Times New Roman" w:hint="eastAsia"/>
        </w:rPr>
        <w:t>-</w:t>
      </w:r>
      <w:r w:rsidR="00CE2D5A" w:rsidRPr="00C3146C">
        <w:rPr>
          <w:rFonts w:ascii="Times New Roman" w:hAnsi="Times New Roman" w:cs="Times New Roman" w:hint="eastAsia"/>
        </w:rPr>
        <w:t>固定资产科目面值减少、流动资产</w:t>
      </w:r>
      <w:r w:rsidR="00CE2D5A" w:rsidRPr="00C3146C">
        <w:rPr>
          <w:rFonts w:ascii="Times New Roman" w:hAnsi="Times New Roman" w:cs="Times New Roman" w:hint="eastAsia"/>
        </w:rPr>
        <w:t>-</w:t>
      </w:r>
      <w:r w:rsidR="00CE2D5A" w:rsidRPr="00C3146C">
        <w:rPr>
          <w:rFonts w:ascii="Times New Roman" w:hAnsi="Times New Roman" w:cs="Times New Roman" w:hint="eastAsia"/>
        </w:rPr>
        <w:t>现金</w:t>
      </w:r>
      <w:r w:rsidR="00CE2D5A" w:rsidRPr="00C3146C">
        <w:rPr>
          <w:rFonts w:ascii="Times New Roman" w:hAnsi="Times New Roman" w:cs="Times New Roman" w:hint="eastAsia"/>
        </w:rPr>
        <w:t>/</w:t>
      </w:r>
      <w:r w:rsidR="00CE2D5A" w:rsidRPr="00C3146C">
        <w:rPr>
          <w:rFonts w:ascii="Times New Roman" w:hAnsi="Times New Roman" w:cs="Times New Roman" w:hint="eastAsia"/>
        </w:rPr>
        <w:t>应收存款</w:t>
      </w:r>
      <w:r w:rsidR="00CE2D5A" w:rsidRPr="00C3146C">
        <w:rPr>
          <w:rFonts w:ascii="Times New Roman" w:hAnsi="Times New Roman" w:cs="Times New Roman" w:hint="eastAsia"/>
        </w:rPr>
        <w:t>/</w:t>
      </w:r>
      <w:r w:rsidR="00CE2D5A" w:rsidRPr="00C3146C">
        <w:rPr>
          <w:rFonts w:ascii="Times New Roman" w:hAnsi="Times New Roman" w:cs="Times New Roman" w:hint="eastAsia"/>
        </w:rPr>
        <w:t>应收票据增加。但在家庭生活中，绝大多数家庭的住房是自</w:t>
      </w:r>
      <w:r w:rsidR="0086640D">
        <w:rPr>
          <w:rFonts w:ascii="Times New Roman" w:hAnsi="Times New Roman" w:cs="Times New Roman" w:hint="eastAsia"/>
        </w:rPr>
        <w:t>住</w:t>
      </w:r>
      <w:r w:rsidR="00CE2D5A" w:rsidRPr="00C3146C">
        <w:rPr>
          <w:rFonts w:ascii="Times New Roman" w:hAnsi="Times New Roman" w:cs="Times New Roman" w:hint="eastAsia"/>
        </w:rPr>
        <w:t>用，不产生直接经济收益，这与企业固定资产循环有显著差别</w:t>
      </w:r>
      <w:r w:rsidR="00B01CCD" w:rsidRPr="00C3146C">
        <w:rPr>
          <w:rFonts w:ascii="Times New Roman" w:hAnsi="Times New Roman" w:cs="Times New Roman" w:hint="eastAsia"/>
        </w:rPr>
        <w:t>，这部分收支应从家庭收支</w:t>
      </w:r>
      <w:r w:rsidR="0086640D">
        <w:rPr>
          <w:rFonts w:ascii="Times New Roman" w:hAnsi="Times New Roman" w:cs="Times New Roman" w:hint="eastAsia"/>
        </w:rPr>
        <w:t>中</w:t>
      </w:r>
      <w:r w:rsidR="00B01CCD" w:rsidRPr="00C3146C">
        <w:rPr>
          <w:rFonts w:ascii="Times New Roman" w:hAnsi="Times New Roman" w:cs="Times New Roman" w:hint="eastAsia"/>
        </w:rPr>
        <w:t>扣除</w:t>
      </w:r>
      <w:r w:rsidR="00CE2D5A" w:rsidRPr="00C3146C">
        <w:rPr>
          <w:rFonts w:ascii="Times New Roman" w:hAnsi="Times New Roman" w:cs="Times New Roman" w:hint="eastAsia"/>
        </w:rPr>
        <w:t>。</w:t>
      </w:r>
    </w:p>
    <w:p w14:paraId="55624FC4" w14:textId="2BA6CCFB" w:rsidR="006F217C" w:rsidRPr="00C3146C" w:rsidRDefault="00BC609D" w:rsidP="006F217C">
      <w:pPr>
        <w:spacing w:line="360" w:lineRule="auto"/>
        <w:ind w:firstLineChars="200" w:firstLine="480"/>
        <w:rPr>
          <w:rFonts w:ascii="Times New Roman" w:hAnsi="Times New Roman" w:cs="Times New Roman"/>
        </w:rPr>
      </w:pPr>
      <w:r w:rsidRPr="00D22A8F">
        <w:rPr>
          <w:rFonts w:ascii="Times New Roman" w:hAnsi="Times New Roman" w:cs="Times New Roman" w:hint="eastAsia"/>
        </w:rPr>
        <w:t>国民经济核算执行市价核算原则，会产生相应的收支高估</w:t>
      </w:r>
      <w:r w:rsidR="00F1638B" w:rsidRPr="00D22A8F">
        <w:rPr>
          <w:rFonts w:ascii="Times New Roman" w:hAnsi="Times New Roman" w:cs="Times New Roman" w:hint="eastAsia"/>
        </w:rPr>
        <w:t>和转移消费。在美国</w:t>
      </w:r>
      <w:r w:rsidR="00D22A8F">
        <w:rPr>
          <w:rFonts w:ascii="Times New Roman" w:hAnsi="Times New Roman" w:cs="Times New Roman" w:hint="eastAsia"/>
        </w:rPr>
        <w:t>国民经济账户体系</w:t>
      </w:r>
      <w:r w:rsidR="00F1638B" w:rsidRPr="00D22A8F">
        <w:rPr>
          <w:rFonts w:ascii="Times New Roman" w:hAnsi="Times New Roman" w:cs="Times New Roman" w:hint="eastAsia"/>
        </w:rPr>
        <w:t>中，存在如下三种需要调整的特殊情况</w:t>
      </w:r>
      <w:r w:rsidR="0086640D" w:rsidRPr="00D22A8F">
        <w:rPr>
          <w:rFonts w:ascii="Times New Roman" w:hAnsi="Times New Roman" w:cs="Times New Roman" w:hint="eastAsia"/>
        </w:rPr>
        <w:t>。</w:t>
      </w:r>
      <w:r w:rsidR="00F1638B" w:rsidRPr="00D22A8F">
        <w:rPr>
          <w:rFonts w:ascii="Times New Roman" w:hAnsi="Times New Roman" w:cs="Times New Roman" w:hint="eastAsia"/>
        </w:rPr>
        <w:t>第一，以市价计算的家庭部门享受的免费或低价金融服务，这部分金融服务并没有</w:t>
      </w:r>
      <w:r w:rsidR="0086640D" w:rsidRPr="00D22A8F">
        <w:rPr>
          <w:rFonts w:ascii="Times New Roman" w:hAnsi="Times New Roman" w:cs="Times New Roman" w:hint="eastAsia"/>
        </w:rPr>
        <w:t>以</w:t>
      </w:r>
      <w:r w:rsidR="00C139DD" w:rsidRPr="00D22A8F">
        <w:rPr>
          <w:rFonts w:ascii="Times New Roman" w:hAnsi="Times New Roman" w:cs="Times New Roman" w:hint="eastAsia"/>
        </w:rPr>
        <w:t>相应</w:t>
      </w:r>
      <w:r w:rsidR="00F1638B" w:rsidRPr="00D22A8F">
        <w:rPr>
          <w:rFonts w:ascii="Times New Roman" w:hAnsi="Times New Roman" w:cs="Times New Roman" w:hint="eastAsia"/>
        </w:rPr>
        <w:t>的货币支出</w:t>
      </w:r>
      <w:r w:rsidR="0086640D" w:rsidRPr="00D22A8F">
        <w:rPr>
          <w:rFonts w:ascii="Times New Roman" w:hAnsi="Times New Roman" w:cs="Times New Roman" w:hint="eastAsia"/>
        </w:rPr>
        <w:t>作为</w:t>
      </w:r>
      <w:r w:rsidR="00F1638B" w:rsidRPr="00D22A8F">
        <w:rPr>
          <w:rFonts w:ascii="Times New Roman" w:hAnsi="Times New Roman" w:cs="Times New Roman" w:hint="eastAsia"/>
        </w:rPr>
        <w:t>支撑，理应从家庭收支数</w:t>
      </w:r>
      <w:r w:rsidR="00F1638B" w:rsidRPr="00C3146C">
        <w:rPr>
          <w:rFonts w:ascii="Times New Roman" w:hAnsi="Times New Roman" w:cs="Times New Roman" w:hint="eastAsia"/>
        </w:rPr>
        <w:t>据中扣除</w:t>
      </w:r>
      <w:r w:rsidR="0086640D">
        <w:rPr>
          <w:rFonts w:ascii="Times New Roman" w:hAnsi="Times New Roman" w:cs="Times New Roman" w:hint="eastAsia"/>
        </w:rPr>
        <w:t>。</w:t>
      </w:r>
      <w:r w:rsidR="00F1638B" w:rsidRPr="00C3146C">
        <w:rPr>
          <w:rFonts w:ascii="Times New Roman" w:hAnsi="Times New Roman" w:cs="Times New Roman" w:hint="eastAsia"/>
        </w:rPr>
        <w:t>第二，非营利组织向家庭部门提供的公共服务，</w:t>
      </w:r>
      <w:r w:rsidR="00F1638B" w:rsidRPr="00C3146C">
        <w:rPr>
          <w:rFonts w:ascii="Times New Roman" w:hAnsi="Times New Roman" w:cs="Times New Roman" w:hint="eastAsia"/>
        </w:rPr>
        <w:t>BEA</w:t>
      </w:r>
      <w:r w:rsidR="00F1638B" w:rsidRPr="00C3146C">
        <w:rPr>
          <w:rFonts w:ascii="Times New Roman" w:hAnsi="Times New Roman" w:cs="Times New Roman" w:hint="eastAsia"/>
        </w:rPr>
        <w:t>报表中以非营利部门的收支差额作价，计入家庭部门的支出，但非营利部门注册时即表明了非营利性质，其收支差额来自捐赠或其他非生产性活动，这部分应从家庭收支</w:t>
      </w:r>
      <w:r w:rsidR="0086640D">
        <w:rPr>
          <w:rFonts w:ascii="Times New Roman" w:hAnsi="Times New Roman" w:cs="Times New Roman" w:hint="eastAsia"/>
        </w:rPr>
        <w:t>数据</w:t>
      </w:r>
      <w:r w:rsidR="00F1638B" w:rsidRPr="00C3146C">
        <w:rPr>
          <w:rFonts w:ascii="Times New Roman" w:hAnsi="Times New Roman" w:cs="Times New Roman" w:hint="eastAsia"/>
        </w:rPr>
        <w:t>中扣除</w:t>
      </w:r>
      <w:r w:rsidR="0086640D">
        <w:rPr>
          <w:rFonts w:ascii="Times New Roman" w:hAnsi="Times New Roman" w:cs="Times New Roman" w:hint="eastAsia"/>
        </w:rPr>
        <w:t>。</w:t>
      </w:r>
      <w:r w:rsidR="00F1638B" w:rsidRPr="00C3146C">
        <w:rPr>
          <w:rFonts w:ascii="Times New Roman" w:hAnsi="Times New Roman" w:cs="Times New Roman" w:hint="eastAsia"/>
        </w:rPr>
        <w:t>第三，家庭部门的医疗服务开支，</w:t>
      </w:r>
      <w:r w:rsidR="00F1638B" w:rsidRPr="00C3146C">
        <w:rPr>
          <w:rFonts w:ascii="Times New Roman" w:hAnsi="Times New Roman" w:cs="Times New Roman" w:hint="eastAsia"/>
        </w:rPr>
        <w:t>BEA</w:t>
      </w:r>
      <w:r w:rsidR="00F1638B" w:rsidRPr="00C3146C">
        <w:rPr>
          <w:rFonts w:ascii="Times New Roman" w:hAnsi="Times New Roman" w:cs="Times New Roman" w:hint="eastAsia"/>
        </w:rPr>
        <w:t>以医疗部门扣除医药采购支出的总收入为准，计入家庭部门享受的医疗服务，但在实际支付中，家庭部门的支出由政府支付、雇主单位团体医疗险、家庭购置医疗险和货币性支出四部分组成，其中</w:t>
      </w:r>
      <w:r w:rsidR="0086640D" w:rsidRPr="00C3146C">
        <w:rPr>
          <w:rFonts w:ascii="Times New Roman" w:hAnsi="Times New Roman" w:cs="Times New Roman" w:hint="eastAsia"/>
        </w:rPr>
        <w:t>三项非现金医疗支出应予扣除</w:t>
      </w:r>
      <w:r w:rsidR="0086640D">
        <w:rPr>
          <w:rFonts w:ascii="Times New Roman" w:hAnsi="Times New Roman" w:cs="Times New Roman" w:hint="eastAsia"/>
        </w:rPr>
        <w:t>：</w:t>
      </w:r>
      <w:r w:rsidR="00F1638B" w:rsidRPr="00C3146C">
        <w:rPr>
          <w:rFonts w:ascii="Times New Roman" w:hAnsi="Times New Roman" w:cs="Times New Roman" w:hint="eastAsia"/>
        </w:rPr>
        <w:t>政府支付以</w:t>
      </w:r>
      <w:r w:rsidR="00351DC4" w:rsidRPr="00D45004">
        <w:rPr>
          <w:rFonts w:ascii="Times New Roman" w:hAnsi="Times New Roman" w:cs="Times New Roman"/>
        </w:rPr>
        <w:t>Medicare</w:t>
      </w:r>
      <w:r w:rsidR="00F1638B" w:rsidRPr="00D45004">
        <w:rPr>
          <w:rFonts w:ascii="Times New Roman" w:hAnsi="Times New Roman" w:cs="Times New Roman" w:hint="eastAsia"/>
        </w:rPr>
        <w:t>和</w:t>
      </w:r>
      <w:r w:rsidR="00351DC4" w:rsidRPr="00D45004">
        <w:rPr>
          <w:rFonts w:ascii="Times New Roman" w:hAnsi="Times New Roman" w:cs="Times New Roman"/>
        </w:rPr>
        <w:t>M</w:t>
      </w:r>
      <w:r w:rsidR="00F1638B" w:rsidRPr="00D45004">
        <w:rPr>
          <w:rFonts w:ascii="Times New Roman" w:hAnsi="Times New Roman" w:cs="Times New Roman"/>
        </w:rPr>
        <w:t>edicaid</w:t>
      </w:r>
      <w:r w:rsidR="00E02A5D" w:rsidRPr="00D45004">
        <w:rPr>
          <w:rStyle w:val="a5"/>
          <w:rFonts w:ascii="Times New Roman" w:hAnsi="Times New Roman" w:cs="Times New Roman"/>
        </w:rPr>
        <w:footnoteReference w:id="10"/>
      </w:r>
      <w:r w:rsidR="00F1638B" w:rsidRPr="00D45004">
        <w:rPr>
          <w:rFonts w:ascii="Times New Roman" w:hAnsi="Times New Roman" w:cs="Times New Roman" w:hint="eastAsia"/>
        </w:rPr>
        <w:t>为</w:t>
      </w:r>
      <w:r w:rsidR="00F1638B" w:rsidRPr="00C3146C">
        <w:rPr>
          <w:rFonts w:ascii="Times New Roman" w:hAnsi="Times New Roman" w:cs="Times New Roman" w:hint="eastAsia"/>
        </w:rPr>
        <w:t>主，调整计入政府收支数据</w:t>
      </w:r>
      <w:r w:rsidR="0086640D">
        <w:rPr>
          <w:rFonts w:ascii="Times New Roman" w:hAnsi="Times New Roman" w:cs="Times New Roman" w:hint="eastAsia"/>
        </w:rPr>
        <w:t>；</w:t>
      </w:r>
      <w:r w:rsidR="00F1638B" w:rsidRPr="00C3146C">
        <w:rPr>
          <w:rFonts w:ascii="Times New Roman" w:hAnsi="Times New Roman" w:cs="Times New Roman" w:hint="eastAsia"/>
        </w:rPr>
        <w:t>雇主团体医疗险</w:t>
      </w:r>
      <w:r w:rsidR="006F217C" w:rsidRPr="00C3146C">
        <w:rPr>
          <w:rFonts w:ascii="Times New Roman" w:hAnsi="Times New Roman" w:cs="Times New Roman" w:hint="eastAsia"/>
        </w:rPr>
        <w:t>属于公司福利</w:t>
      </w:r>
      <w:r w:rsidR="0086640D">
        <w:rPr>
          <w:rFonts w:ascii="Times New Roman" w:hAnsi="Times New Roman" w:cs="Times New Roman" w:hint="eastAsia"/>
        </w:rPr>
        <w:t>，</w:t>
      </w:r>
      <w:r w:rsidR="006F217C" w:rsidRPr="00C3146C">
        <w:rPr>
          <w:rFonts w:ascii="Times New Roman" w:hAnsi="Times New Roman" w:cs="Times New Roman" w:hint="eastAsia"/>
        </w:rPr>
        <w:t>家庭不需要支付现金</w:t>
      </w:r>
      <w:r w:rsidR="0086640D">
        <w:rPr>
          <w:rFonts w:ascii="Times New Roman" w:hAnsi="Times New Roman" w:cs="Times New Roman" w:hint="eastAsia"/>
        </w:rPr>
        <w:t>；</w:t>
      </w:r>
      <w:r w:rsidR="00F1638B" w:rsidRPr="00C3146C">
        <w:rPr>
          <w:rFonts w:ascii="Times New Roman" w:hAnsi="Times New Roman" w:cs="Times New Roman" w:hint="eastAsia"/>
        </w:rPr>
        <w:t>家庭医疗险</w:t>
      </w:r>
      <w:r w:rsidR="0086640D">
        <w:rPr>
          <w:rFonts w:ascii="Times New Roman" w:hAnsi="Times New Roman" w:cs="Times New Roman" w:hint="eastAsia"/>
        </w:rPr>
        <w:t>对应的医疗支出费用</w:t>
      </w:r>
      <w:r w:rsidR="00F1638B" w:rsidRPr="00C3146C">
        <w:rPr>
          <w:rFonts w:ascii="Times New Roman" w:hAnsi="Times New Roman" w:cs="Times New Roman" w:hint="eastAsia"/>
        </w:rPr>
        <w:t>由医疗保险公司支付，家庭只需向医疗保险公司定期支付保费（</w:t>
      </w:r>
      <w:r w:rsidR="00F1638B" w:rsidRPr="00C3146C">
        <w:rPr>
          <w:rFonts w:ascii="Times New Roman" w:hAnsi="Times New Roman" w:cs="Times New Roman" w:hint="eastAsia"/>
        </w:rPr>
        <w:t>premium</w:t>
      </w:r>
      <w:r w:rsidR="00F1638B" w:rsidRPr="00C3146C">
        <w:rPr>
          <w:rFonts w:ascii="Times New Roman" w:hAnsi="Times New Roman" w:cs="Times New Roman" w:hint="eastAsia"/>
        </w:rPr>
        <w:t>），</w:t>
      </w:r>
      <w:r w:rsidR="0086640D">
        <w:rPr>
          <w:rFonts w:ascii="Times New Roman" w:hAnsi="Times New Roman" w:cs="Times New Roman" w:hint="eastAsia"/>
        </w:rPr>
        <w:t>而</w:t>
      </w:r>
      <w:r w:rsidR="00C139DD" w:rsidRPr="00C3146C">
        <w:rPr>
          <w:rFonts w:ascii="Times New Roman" w:hAnsi="Times New Roman" w:cs="Times New Roman" w:hint="eastAsia"/>
        </w:rPr>
        <w:t>家庭</w:t>
      </w:r>
      <w:r w:rsidR="0086640D">
        <w:rPr>
          <w:rFonts w:ascii="Times New Roman" w:hAnsi="Times New Roman" w:cs="Times New Roman" w:hint="eastAsia"/>
        </w:rPr>
        <w:t>定期</w:t>
      </w:r>
      <w:r w:rsidR="00C139DD" w:rsidRPr="00C3146C">
        <w:rPr>
          <w:rFonts w:ascii="Times New Roman" w:hAnsi="Times New Roman" w:cs="Times New Roman" w:hint="eastAsia"/>
        </w:rPr>
        <w:t>支付的医疗保险</w:t>
      </w:r>
      <w:r w:rsidR="0086640D">
        <w:rPr>
          <w:rFonts w:ascii="Times New Roman" w:hAnsi="Times New Roman" w:cs="Times New Roman" w:hint="eastAsia"/>
        </w:rPr>
        <w:t>费</w:t>
      </w:r>
      <w:r w:rsidR="00C139DD" w:rsidRPr="00C3146C">
        <w:rPr>
          <w:rFonts w:ascii="Times New Roman" w:hAnsi="Times New Roman" w:cs="Times New Roman" w:hint="eastAsia"/>
        </w:rPr>
        <w:t>已经计入家庭支出</w:t>
      </w:r>
      <w:r w:rsidR="00B01CCD" w:rsidRPr="00C3146C">
        <w:rPr>
          <w:rFonts w:ascii="Times New Roman" w:hAnsi="Times New Roman" w:cs="Times New Roman" w:hint="eastAsia"/>
        </w:rPr>
        <w:t>。</w:t>
      </w:r>
    </w:p>
    <w:p w14:paraId="379AED3E" w14:textId="77777777" w:rsidR="006F217C" w:rsidRDefault="006F217C" w:rsidP="006F217C">
      <w:pPr>
        <w:spacing w:line="360" w:lineRule="auto"/>
        <w:ind w:firstLineChars="200" w:firstLine="480"/>
        <w:rPr>
          <w:rFonts w:ascii="Times New Roman" w:hAnsi="Times New Roman" w:cs="Times New Roman"/>
        </w:rPr>
      </w:pPr>
      <w:r w:rsidRPr="00C3146C">
        <w:rPr>
          <w:rFonts w:ascii="Times New Roman" w:hAnsi="Times New Roman" w:cs="Times New Roman" w:hint="eastAsia"/>
        </w:rPr>
        <w:lastRenderedPageBreak/>
        <w:t>除此之外，家庭还会为消费贷、住房购置等负债活动支付相应的利息，这部分不计入</w:t>
      </w:r>
      <w:r w:rsidRPr="00C3146C">
        <w:rPr>
          <w:rFonts w:ascii="Times New Roman" w:hAnsi="Times New Roman" w:cs="Times New Roman" w:hint="eastAsia"/>
        </w:rPr>
        <w:t>GDP</w:t>
      </w:r>
      <w:r w:rsidRPr="00C3146C">
        <w:rPr>
          <w:rFonts w:ascii="Times New Roman" w:hAnsi="Times New Roman" w:cs="Times New Roman" w:hint="eastAsia"/>
        </w:rPr>
        <w:t>。在核算家庭支出时，应予以追加。由此得到家庭实际支出数据为：</w:t>
      </w:r>
    </w:p>
    <w:p w14:paraId="74B31401" w14:textId="724B81DA" w:rsidR="00D45004" w:rsidRPr="00D45004" w:rsidRDefault="00D45004" w:rsidP="006F217C">
      <w:pPr>
        <w:spacing w:line="360" w:lineRule="auto"/>
        <w:ind w:firstLineChars="200" w:firstLine="480"/>
        <w:rPr>
          <w:rFonts w:ascii="Times New Roman" w:hAnsi="Times New Roman" w:cs="Times New Roman"/>
          <w:iCs/>
        </w:rPr>
      </w:pPr>
      <m:oMathPara>
        <m:oMath>
          <m:r>
            <m:rPr>
              <m:sty m:val="p"/>
            </m:rPr>
            <w:rPr>
              <w:rFonts w:ascii="Cambria Math" w:hAnsi="Cambria Math" w:cs="Times New Roman"/>
            </w:rPr>
            <m:t>家庭实际支出</m:t>
          </m:r>
          <m:r>
            <m:rPr>
              <m:sty m:val="p"/>
            </m:rPr>
            <w:rPr>
              <w:rFonts w:ascii="Cambria Math" w:hAnsi="Cambria Math" w:cs="Times New Roman"/>
            </w:rPr>
            <m:t>=PCE</m:t>
          </m:r>
          <m:d>
            <m:dPr>
              <m:begChr m:val="（"/>
              <m:endChr m:val="）"/>
              <m:ctrlPr>
                <w:rPr>
                  <w:rFonts w:ascii="Cambria Math" w:hAnsi="Cambria Math" w:cs="Times New Roman"/>
                  <w:iCs/>
                </w:rPr>
              </m:ctrlPr>
            </m:dPr>
            <m:e>
              <m:r>
                <m:rPr>
                  <m:sty m:val="p"/>
                </m:rPr>
                <w:rPr>
                  <w:rFonts w:ascii="Cambria Math" w:hAnsi="Cambria Math" w:cs="Times New Roman"/>
                </w:rPr>
                <m:t>GDP</m:t>
              </m:r>
              <m:r>
                <m:rPr>
                  <m:sty m:val="p"/>
                </m:rPr>
                <w:rPr>
                  <w:rFonts w:ascii="Cambria Math" w:hAnsi="Cambria Math" w:cs="Times New Roman"/>
                </w:rPr>
                <m:t>报表家庭支出</m:t>
              </m:r>
            </m:e>
          </m:d>
          <m:r>
            <m:rPr>
              <m:sty m:val="p"/>
            </m:rPr>
            <w:rPr>
              <w:rFonts w:ascii="Cambria Math" w:hAnsi="Cambria Math" w:cs="Times New Roman"/>
            </w:rPr>
            <m:t>+</m:t>
          </m:r>
          <m:r>
            <m:rPr>
              <m:sty m:val="p"/>
            </m:rPr>
            <w:rPr>
              <w:rFonts w:ascii="Cambria Math" w:hAnsi="Cambria Math" w:cs="Times New Roman"/>
            </w:rPr>
            <m:t>利息支出</m:t>
          </m:r>
          <m:r>
            <m:rPr>
              <m:sty m:val="p"/>
            </m:rPr>
            <w:rPr>
              <w:rFonts w:ascii="Cambria Math" w:hAnsi="Cambria Math" w:cs="Times New Roman"/>
            </w:rPr>
            <m:t>+</m:t>
          </m:r>
          <m:r>
            <m:rPr>
              <m:sty m:val="p"/>
            </m:rPr>
            <w:rPr>
              <w:rFonts w:ascii="Cambria Math" w:hAnsi="Cambria Math" w:cs="Times New Roman"/>
            </w:rPr>
            <m:t>住房投资</m:t>
          </m:r>
          <m:r>
            <m:rPr>
              <m:sty m:val="p"/>
            </m:rPr>
            <w:rPr>
              <w:rFonts w:ascii="Cambria Math" w:hAnsi="Cambria Math" w:cs="Times New Roman"/>
            </w:rPr>
            <m:t>-</m:t>
          </m:r>
          <m:r>
            <m:rPr>
              <m:sty m:val="p"/>
            </m:rPr>
            <w:rPr>
              <w:rFonts w:ascii="Cambria Math" w:hAnsi="Cambria Math" w:cs="Times New Roman"/>
            </w:rPr>
            <m:t>自住房房租</m:t>
          </m:r>
          <m:r>
            <m:rPr>
              <m:sty m:val="p"/>
            </m:rPr>
            <w:rPr>
              <w:rFonts w:ascii="Cambria Math" w:hAnsi="Cambria Math" w:cs="Times New Roman"/>
            </w:rPr>
            <m:t>-</m:t>
          </m:r>
          <m:r>
            <m:rPr>
              <m:sty m:val="p"/>
            </m:rPr>
            <w:rPr>
              <w:rFonts w:ascii="Cambria Math" w:hAnsi="Cambria Math" w:cs="Times New Roman"/>
            </w:rPr>
            <m:t>免费金融服务</m:t>
          </m:r>
          <m:r>
            <m:rPr>
              <m:sty m:val="p"/>
            </m:rPr>
            <w:rPr>
              <w:rFonts w:ascii="Cambria Math" w:hAnsi="Cambria Math" w:cs="Times New Roman"/>
            </w:rPr>
            <m:t>-NGO</m:t>
          </m:r>
          <m:r>
            <m:rPr>
              <m:sty m:val="p"/>
            </m:rPr>
            <w:rPr>
              <w:rFonts w:ascii="Cambria Math" w:hAnsi="Cambria Math" w:cs="Times New Roman"/>
            </w:rPr>
            <m:t>服务</m:t>
          </m:r>
          <m:r>
            <m:rPr>
              <m:sty m:val="p"/>
            </m:rPr>
            <w:rPr>
              <w:rFonts w:ascii="Cambria Math" w:hAnsi="Cambria Math" w:cs="Times New Roman"/>
            </w:rPr>
            <m:t>-</m:t>
          </m:r>
          <m:r>
            <m:rPr>
              <m:sty m:val="p"/>
            </m:rPr>
            <w:rPr>
              <w:rFonts w:ascii="Cambria Math" w:hAnsi="Cambria Math" w:cs="Times New Roman"/>
            </w:rPr>
            <m:t>非自负医疗支出</m:t>
          </m:r>
        </m:oMath>
      </m:oMathPara>
    </w:p>
    <w:p w14:paraId="3A72730F" w14:textId="1D88CB35" w:rsidR="00DE3F0C" w:rsidRDefault="00DE3F0C" w:rsidP="006F217C">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在收入端，</w:t>
      </w:r>
      <w:r w:rsidR="00AD37CB" w:rsidRPr="00C3146C">
        <w:rPr>
          <w:rFonts w:ascii="Times New Roman" w:hAnsi="Times New Roman" w:cs="Times New Roman" w:hint="eastAsia"/>
        </w:rPr>
        <w:t>以</w:t>
      </w:r>
      <w:r w:rsidR="00AD37CB" w:rsidRPr="00C3146C">
        <w:rPr>
          <w:rFonts w:ascii="Times New Roman" w:hAnsi="Times New Roman" w:cs="Times New Roman" w:hint="eastAsia"/>
        </w:rPr>
        <w:t>BEA</w:t>
      </w:r>
      <w:r w:rsidR="00AD37CB" w:rsidRPr="00C3146C">
        <w:rPr>
          <w:rFonts w:ascii="Times New Roman" w:hAnsi="Times New Roman" w:cs="Times New Roman" w:hint="eastAsia"/>
        </w:rPr>
        <w:t>公布的家庭可支配收入为准，</w:t>
      </w:r>
      <w:r w:rsidR="00765FA9" w:rsidRPr="00C3146C">
        <w:rPr>
          <w:rFonts w:ascii="Times New Roman" w:hAnsi="Times New Roman" w:cs="Times New Roman" w:hint="eastAsia"/>
        </w:rPr>
        <w:t>调减如下项目</w:t>
      </w:r>
      <w:r w:rsidR="0086640D">
        <w:rPr>
          <w:rFonts w:ascii="Times New Roman" w:hAnsi="Times New Roman" w:cs="Times New Roman" w:hint="eastAsia"/>
        </w:rPr>
        <w:t>：</w:t>
      </w:r>
      <w:r w:rsidR="00765FA9" w:rsidRPr="00C3146C">
        <w:rPr>
          <w:rFonts w:ascii="Times New Roman" w:hAnsi="Times New Roman" w:cs="Times New Roman" w:hint="eastAsia"/>
        </w:rPr>
        <w:t>自住房房租</w:t>
      </w:r>
      <w:r w:rsidR="0086640D">
        <w:rPr>
          <w:rFonts w:ascii="Times New Roman" w:hAnsi="Times New Roman" w:cs="Times New Roman" w:hint="eastAsia"/>
        </w:rPr>
        <w:t>、</w:t>
      </w:r>
      <w:r w:rsidR="00765FA9" w:rsidRPr="00C3146C">
        <w:rPr>
          <w:rFonts w:ascii="Times New Roman" w:hAnsi="Times New Roman" w:cs="Times New Roman" w:hint="eastAsia"/>
        </w:rPr>
        <w:t>家庭实缴税款</w:t>
      </w:r>
      <w:r w:rsidR="0086640D">
        <w:rPr>
          <w:rFonts w:ascii="Times New Roman" w:hAnsi="Times New Roman" w:cs="Times New Roman" w:hint="eastAsia"/>
        </w:rPr>
        <w:t>、</w:t>
      </w:r>
      <w:r w:rsidR="00765FA9" w:rsidRPr="00C3146C">
        <w:rPr>
          <w:rFonts w:ascii="Times New Roman" w:hAnsi="Times New Roman" w:cs="Times New Roman" w:hint="eastAsia"/>
        </w:rPr>
        <w:t>雇主代</w:t>
      </w:r>
      <w:r w:rsidR="0088709A">
        <w:rPr>
          <w:rFonts w:ascii="Times New Roman" w:hAnsi="Times New Roman" w:cs="Times New Roman" w:hint="eastAsia"/>
        </w:rPr>
        <w:t>缴</w:t>
      </w:r>
      <w:r w:rsidR="00765FA9" w:rsidRPr="00C3146C">
        <w:rPr>
          <w:rFonts w:ascii="Times New Roman" w:hAnsi="Times New Roman" w:cs="Times New Roman" w:hint="eastAsia"/>
        </w:rPr>
        <w:t>社保与基金</w:t>
      </w:r>
      <w:r w:rsidR="0086640D">
        <w:rPr>
          <w:rFonts w:ascii="Times New Roman" w:hAnsi="Times New Roman" w:cs="Times New Roman" w:hint="eastAsia"/>
        </w:rPr>
        <w:t>、</w:t>
      </w:r>
      <w:r w:rsidR="00765FA9" w:rsidRPr="00C3146C">
        <w:rPr>
          <w:rStyle w:val="a5"/>
          <w:rFonts w:ascii="Times New Roman" w:hAnsi="Times New Roman" w:cs="Times New Roman"/>
        </w:rPr>
        <w:footnoteReference w:id="11"/>
      </w:r>
      <w:r w:rsidR="00051FE3" w:rsidRPr="00C3146C">
        <w:rPr>
          <w:rFonts w:ascii="Times New Roman" w:hAnsi="Times New Roman" w:cs="Times New Roman"/>
        </w:rPr>
        <w:t>Medicare</w:t>
      </w:r>
      <w:r w:rsidR="0086640D">
        <w:rPr>
          <w:rFonts w:ascii="Times New Roman" w:hAnsi="Times New Roman" w:cs="Times New Roman" w:hint="eastAsia"/>
        </w:rPr>
        <w:t>和</w:t>
      </w:r>
      <w:r w:rsidR="00051FE3" w:rsidRPr="00C3146C">
        <w:rPr>
          <w:rFonts w:ascii="Times New Roman" w:hAnsi="Times New Roman" w:cs="Times New Roman"/>
        </w:rPr>
        <w:t>Medicaid</w:t>
      </w:r>
      <w:r w:rsidR="00765FA9" w:rsidRPr="00C3146C">
        <w:rPr>
          <w:rFonts w:ascii="Times New Roman" w:hAnsi="Times New Roman" w:cs="Times New Roman" w:hint="eastAsia"/>
        </w:rPr>
        <w:t>。家庭部门的实际收入数据为：</w:t>
      </w:r>
    </w:p>
    <w:p w14:paraId="02CAC237" w14:textId="45C17CFF" w:rsidR="00D45004" w:rsidRPr="00671D2F" w:rsidRDefault="00671D2F" w:rsidP="006F217C">
      <w:pPr>
        <w:spacing w:line="360" w:lineRule="auto"/>
        <w:ind w:firstLineChars="200" w:firstLine="480"/>
        <w:rPr>
          <w:rFonts w:ascii="Times New Roman" w:hAnsi="Times New Roman" w:cs="Times New Roman"/>
          <w:iCs/>
        </w:rPr>
      </w:pPr>
      <m:oMathPara>
        <m:oMath>
          <m:r>
            <m:rPr>
              <m:sty m:val="p"/>
            </m:rPr>
            <w:rPr>
              <w:rFonts w:ascii="Cambria Math" w:hAnsi="Cambria Math" w:cs="Times New Roman"/>
            </w:rPr>
            <m:t>家庭实际收入</m:t>
          </m:r>
          <m:r>
            <m:rPr>
              <m:sty m:val="p"/>
            </m:rPr>
            <w:rPr>
              <w:rFonts w:ascii="Cambria Math" w:hAnsi="Cambria Math" w:cs="Times New Roman"/>
            </w:rPr>
            <m:t>=DPI</m:t>
          </m:r>
          <m:d>
            <m:dPr>
              <m:begChr m:val="（"/>
              <m:endChr m:val="）"/>
              <m:ctrlPr>
                <w:rPr>
                  <w:rFonts w:ascii="Cambria Math" w:hAnsi="Cambria Math" w:cs="Times New Roman"/>
                  <w:iCs/>
                </w:rPr>
              </m:ctrlPr>
            </m:dPr>
            <m:e>
              <m:r>
                <m:rPr>
                  <m:sty m:val="p"/>
                </m:rPr>
                <w:rPr>
                  <w:rFonts w:ascii="Cambria Math" w:hAnsi="Cambria Math" w:cs="Times New Roman"/>
                </w:rPr>
                <m:t>可支配收入</m:t>
              </m:r>
            </m:e>
          </m:d>
          <m:r>
            <m:rPr>
              <m:sty m:val="p"/>
            </m:rPr>
            <w:rPr>
              <w:rFonts w:ascii="Cambria Math" w:hAnsi="Cambria Math" w:cs="Times New Roman"/>
            </w:rPr>
            <m:t>-</m:t>
          </m:r>
          <m:r>
            <m:rPr>
              <m:sty m:val="p"/>
            </m:rPr>
            <w:rPr>
              <w:rFonts w:ascii="Cambria Math" w:hAnsi="Cambria Math" w:cs="Times New Roman"/>
            </w:rPr>
            <m:t>自住房房租</m:t>
          </m:r>
          <m:r>
            <m:rPr>
              <m:sty m:val="p"/>
            </m:rPr>
            <w:rPr>
              <w:rFonts w:ascii="Cambria Math" w:hAnsi="Cambria Math" w:cs="Times New Roman"/>
            </w:rPr>
            <m:t>-</m:t>
          </m:r>
          <m:r>
            <m:rPr>
              <m:sty m:val="p"/>
            </m:rPr>
            <w:rPr>
              <w:rFonts w:ascii="Cambria Math" w:hAnsi="Cambria Math" w:cs="Times New Roman"/>
            </w:rPr>
            <m:t>雇主代缴社保与基金</m:t>
          </m:r>
          <m:r>
            <m:rPr>
              <m:sty m:val="p"/>
            </m:rPr>
            <w:rPr>
              <w:rFonts w:ascii="Cambria Math" w:hAnsi="Cambria Math" w:cs="Times New Roman"/>
            </w:rPr>
            <m:t>-</m:t>
          </m:r>
          <m:r>
            <m:rPr>
              <m:sty m:val="p"/>
            </m:rPr>
            <w:rPr>
              <w:rFonts w:ascii="Cambria Math" w:hAnsi="Cambria Math" w:cs="Times New Roman"/>
            </w:rPr>
            <m:t>家庭实缴税款</m:t>
          </m:r>
          <m:r>
            <m:rPr>
              <m:sty m:val="p"/>
            </m:rPr>
            <w:rPr>
              <w:rFonts w:ascii="Cambria Math" w:hAnsi="Cambria Math" w:cs="Times New Roman"/>
            </w:rPr>
            <m:t>-Medicare-Medicaid</m:t>
          </m:r>
        </m:oMath>
      </m:oMathPara>
    </w:p>
    <w:p w14:paraId="10C007CB" w14:textId="2FE189FA" w:rsidR="00430178" w:rsidRPr="00C3146C" w:rsidRDefault="00430178" w:rsidP="00430178">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根据上述测算原则，大萧条以来美国家庭部门的</w:t>
      </w:r>
      <w:r w:rsidR="00D45004">
        <w:rPr>
          <w:rFonts w:ascii="Times New Roman" w:hAnsi="Times New Roman" w:cs="Times New Roman" w:hint="eastAsia"/>
        </w:rPr>
        <w:t>节余</w:t>
      </w:r>
      <w:r w:rsidRPr="00C3146C">
        <w:rPr>
          <w:rFonts w:ascii="Times New Roman" w:hAnsi="Times New Roman" w:cs="Times New Roman" w:hint="eastAsia"/>
        </w:rPr>
        <w:t>经还原后，如图</w:t>
      </w:r>
      <w:r w:rsidRPr="00C3146C">
        <w:rPr>
          <w:rFonts w:ascii="Times New Roman" w:hAnsi="Times New Roman" w:cs="Times New Roman" w:hint="eastAsia"/>
        </w:rPr>
        <w:t>1</w:t>
      </w:r>
      <w:r w:rsidRPr="00C3146C">
        <w:rPr>
          <w:rFonts w:ascii="Times New Roman" w:hAnsi="Times New Roman" w:cs="Times New Roman" w:hint="eastAsia"/>
        </w:rPr>
        <w:t>所示。</w:t>
      </w:r>
    </w:p>
    <w:p w14:paraId="31F7BE14" w14:textId="77777777" w:rsidR="008E5F4C" w:rsidRPr="00C3146C" w:rsidRDefault="008E5F4C" w:rsidP="008E5F4C">
      <w:pPr>
        <w:spacing w:line="360" w:lineRule="auto"/>
        <w:rPr>
          <w:rFonts w:ascii="Times New Roman" w:hAnsi="Times New Roman" w:cs="Times New Roman"/>
        </w:rPr>
      </w:pPr>
    </w:p>
    <w:p w14:paraId="0843DC1C" w14:textId="0CA70D7B" w:rsidR="00F44161" w:rsidRPr="00C3146C" w:rsidRDefault="00830DAF" w:rsidP="008E5F4C">
      <w:pPr>
        <w:spacing w:line="360" w:lineRule="auto"/>
        <w:rPr>
          <w:rFonts w:ascii="Times New Roman" w:hAnsi="Times New Roman" w:cs="Times New Roman"/>
        </w:rPr>
      </w:pPr>
      <w:bookmarkStart w:id="2" w:name="OLE_LINK3"/>
      <w:bookmarkStart w:id="3" w:name="OLE_LINK4"/>
      <w:r w:rsidRPr="00C3146C">
        <w:rPr>
          <w:noProof/>
          <w14:ligatures w14:val="standardContextual"/>
        </w:rPr>
        <w:drawing>
          <wp:inline distT="0" distB="0" distL="0" distR="0" wp14:anchorId="7FBCCDD2" wp14:editId="235B0033">
            <wp:extent cx="5220335" cy="1924493"/>
            <wp:effectExtent l="0" t="0" r="12065" b="6350"/>
            <wp:docPr id="128058839" name="图表 1">
              <a:extLst xmlns:a="http://schemas.openxmlformats.org/drawingml/2006/main">
                <a:ext uri="{FF2B5EF4-FFF2-40B4-BE49-F238E27FC236}">
                  <a16:creationId xmlns:a16="http://schemas.microsoft.com/office/drawing/2014/main" id="{83B8696B-9782-6344-054C-3C3D265685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C7CE256" w14:textId="37676266" w:rsidR="00830DAF" w:rsidRPr="00C3146C" w:rsidRDefault="00830DAF" w:rsidP="00830DAF">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1 </w:t>
      </w:r>
      <w:r w:rsidRPr="00C3146C">
        <w:rPr>
          <w:rFonts w:ascii="Times New Roman" w:hAnsi="Times New Roman" w:cs="Times New Roman" w:hint="eastAsia"/>
        </w:rPr>
        <w:t>美国家庭真实收支</w:t>
      </w:r>
    </w:p>
    <w:p w14:paraId="13B47892" w14:textId="32DC2605" w:rsidR="000D1FBD" w:rsidRDefault="0022017F" w:rsidP="000D1FBD">
      <w:pPr>
        <w:rPr>
          <w:rFonts w:ascii="Times New Roman" w:hAnsi="Times New Roman" w:cs="Times New Roman"/>
          <w:sz w:val="21"/>
          <w:szCs w:val="21"/>
        </w:rPr>
      </w:pPr>
      <w:r w:rsidRPr="001E326B">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00D45004" w:rsidRPr="00BB75B3">
        <w:rPr>
          <w:rFonts w:ascii="Times New Roman" w:hAnsi="Times New Roman" w:cs="Times New Roman"/>
          <w:sz w:val="21"/>
          <w:szCs w:val="21"/>
        </w:rPr>
        <w:t>,</w:t>
      </w:r>
      <w:r w:rsidR="00D45004">
        <w:rPr>
          <w:rFonts w:ascii="Times New Roman" w:hAnsi="Times New Roman" w:cs="Times New Roman" w:hint="eastAsia"/>
          <w:sz w:val="21"/>
          <w:szCs w:val="21"/>
        </w:rPr>
        <w:t xml:space="preserve"> Interactive Data Tables,</w:t>
      </w:r>
      <w:r w:rsidR="000D1FBD" w:rsidRPr="001E326B">
        <w:rPr>
          <w:rFonts w:ascii="Times New Roman" w:hAnsi="Times New Roman" w:cs="Times New Roman"/>
          <w:sz w:val="21"/>
          <w:szCs w:val="21"/>
        </w:rPr>
        <w:t xml:space="preserve"> </w:t>
      </w:r>
      <w:r w:rsidR="000255B4" w:rsidRPr="0086640D">
        <w:rPr>
          <w:rFonts w:ascii="Times New Roman" w:hAnsi="Times New Roman" w:cs="Times New Roman"/>
          <w:sz w:val="21"/>
          <w:szCs w:val="21"/>
        </w:rPr>
        <w:t>"</w:t>
      </w:r>
      <w:r w:rsidR="000255B4" w:rsidRPr="00BE517C">
        <w:rPr>
          <w:rFonts w:ascii="Times New Roman" w:hAnsi="Times New Roman" w:cs="Times New Roman"/>
          <w:iCs/>
          <w:sz w:val="21"/>
          <w:szCs w:val="21"/>
        </w:rPr>
        <w:t xml:space="preserve">Table 2.1 Personal Income and Its Disposition" </w:t>
      </w:r>
      <w:r w:rsidR="000D1FBD" w:rsidRPr="00BE517C">
        <w:rPr>
          <w:rFonts w:ascii="Times New Roman" w:hAnsi="Times New Roman" w:cs="Times New Roman"/>
          <w:iCs/>
          <w:sz w:val="21"/>
          <w:szCs w:val="21"/>
        </w:rPr>
        <w:t>"Table 2.4.5 Personal Consumption Expenditures by Type of Product"</w:t>
      </w:r>
      <w:r w:rsidR="0065748A">
        <w:rPr>
          <w:rFonts w:ascii="Times New Roman" w:hAnsi="Times New Roman" w:cs="Times New Roman" w:hint="eastAsia"/>
          <w:sz w:val="21"/>
          <w:szCs w:val="21"/>
        </w:rPr>
        <w:t xml:space="preserve">. </w:t>
      </w:r>
      <w:r w:rsidR="00A4743F" w:rsidRPr="001E326B">
        <w:rPr>
          <w:rFonts w:ascii="Times New Roman" w:hAnsi="Times New Roman" w:cs="Times New Roman" w:hint="eastAsia"/>
          <w:sz w:val="21"/>
          <w:szCs w:val="21"/>
        </w:rPr>
        <w:t xml:space="preserve">U.S. </w:t>
      </w:r>
      <w:r w:rsidR="00A4743F" w:rsidRPr="001E326B">
        <w:rPr>
          <w:rFonts w:ascii="Times New Roman" w:hAnsi="Times New Roman" w:cs="Times New Roman"/>
          <w:sz w:val="21"/>
          <w:szCs w:val="21"/>
        </w:rPr>
        <w:t>Centers for Disease Control and Prevention</w:t>
      </w:r>
      <w:r w:rsidR="00A4743F" w:rsidRPr="001E326B">
        <w:rPr>
          <w:rFonts w:ascii="Times New Roman" w:hAnsi="Times New Roman" w:cs="Times New Roman" w:hint="eastAsia"/>
          <w:sz w:val="21"/>
          <w:szCs w:val="21"/>
        </w:rPr>
        <w:t>,</w:t>
      </w:r>
      <w:r w:rsidR="00A4743F" w:rsidRPr="0086640D">
        <w:rPr>
          <w:rFonts w:ascii="Times New Roman" w:hAnsi="Times New Roman" w:cs="Times New Roman"/>
          <w:sz w:val="21"/>
          <w:szCs w:val="21"/>
        </w:rPr>
        <w:t xml:space="preserve"> "</w:t>
      </w:r>
      <w:r w:rsidR="00A4743F" w:rsidRPr="00BE517C">
        <w:rPr>
          <w:rFonts w:ascii="Times New Roman" w:hAnsi="Times New Roman" w:cs="Times New Roman"/>
          <w:iCs/>
          <w:sz w:val="21"/>
          <w:szCs w:val="21"/>
        </w:rPr>
        <w:t xml:space="preserve">Table </w:t>
      </w:r>
      <w:proofErr w:type="spellStart"/>
      <w:r w:rsidR="00A4743F" w:rsidRPr="00BE517C">
        <w:rPr>
          <w:rFonts w:ascii="Times New Roman" w:hAnsi="Times New Roman" w:cs="Times New Roman"/>
          <w:iCs/>
          <w:sz w:val="21"/>
          <w:szCs w:val="21"/>
        </w:rPr>
        <w:t>HExpGDP</w:t>
      </w:r>
      <w:proofErr w:type="spellEnd"/>
      <w:r w:rsidR="00A4743F" w:rsidRPr="00BE517C">
        <w:rPr>
          <w:rFonts w:ascii="Times New Roman" w:hAnsi="Times New Roman" w:cs="Times New Roman"/>
          <w:iCs/>
          <w:sz w:val="21"/>
          <w:szCs w:val="21"/>
        </w:rPr>
        <w:t>. Gross domestic product, national health expenditures, per capita amounts, percent distribution, and average annual percent change: United States, selected years 1960–2019</w:t>
      </w:r>
      <w:r w:rsidR="00A4743F" w:rsidRPr="0086640D">
        <w:rPr>
          <w:rFonts w:ascii="Times New Roman" w:hAnsi="Times New Roman" w:cs="Times New Roman"/>
          <w:sz w:val="21"/>
          <w:szCs w:val="21"/>
        </w:rPr>
        <w:t>"</w:t>
      </w:r>
      <w:r w:rsidR="00AC33C9">
        <w:rPr>
          <w:rFonts w:ascii="Times New Roman" w:hAnsi="Times New Roman" w:cs="Times New Roman" w:hint="eastAsia"/>
          <w:sz w:val="21"/>
          <w:szCs w:val="21"/>
        </w:rPr>
        <w:t>（详见</w:t>
      </w:r>
      <w:r w:rsidR="00AC33C9">
        <w:rPr>
          <w:rFonts w:ascii="Times New Roman" w:hAnsi="Times New Roman" w:cs="Times New Roman"/>
          <w:sz w:val="21"/>
          <w:szCs w:val="21"/>
        </w:rPr>
        <w:lastRenderedPageBreak/>
        <w:fldChar w:fldCharType="begin"/>
      </w:r>
      <w:r w:rsidR="00AC33C9">
        <w:rPr>
          <w:rFonts w:ascii="Times New Roman" w:hAnsi="Times New Roman" w:cs="Times New Roman"/>
          <w:sz w:val="21"/>
          <w:szCs w:val="21"/>
        </w:rPr>
        <w:instrText>HYPERLINK "</w:instrText>
      </w:r>
      <w:r w:rsidR="00AC33C9" w:rsidRPr="00AC33C9">
        <w:rPr>
          <w:rFonts w:ascii="Times New Roman" w:hAnsi="Times New Roman" w:cs="Times New Roman"/>
          <w:sz w:val="21"/>
          <w:szCs w:val="21"/>
        </w:rPr>
        <w:instrText>https://www.cdc.gov/nchs/data/hus/2020-2021/hexpgdp.pdf</w:instrText>
      </w:r>
      <w:r w:rsidR="00AC33C9">
        <w:rPr>
          <w:rFonts w:ascii="Times New Roman" w:hAnsi="Times New Roman" w:cs="Times New Roman"/>
          <w:sz w:val="21"/>
          <w:szCs w:val="21"/>
        </w:rPr>
        <w:instrText>"</w:instrText>
      </w:r>
      <w:r w:rsidR="00AC33C9">
        <w:rPr>
          <w:rFonts w:ascii="Times New Roman" w:hAnsi="Times New Roman" w:cs="Times New Roman"/>
          <w:sz w:val="21"/>
          <w:szCs w:val="21"/>
        </w:rPr>
      </w:r>
      <w:r w:rsidR="00AC33C9">
        <w:rPr>
          <w:rFonts w:ascii="Times New Roman" w:hAnsi="Times New Roman" w:cs="Times New Roman"/>
          <w:sz w:val="21"/>
          <w:szCs w:val="21"/>
        </w:rPr>
        <w:fldChar w:fldCharType="separate"/>
      </w:r>
      <w:r w:rsidR="00AC33C9" w:rsidRPr="002B5D89">
        <w:rPr>
          <w:rStyle w:val="af4"/>
          <w:rFonts w:ascii="Times New Roman" w:hAnsi="Times New Roman" w:cs="Times New Roman"/>
          <w:sz w:val="21"/>
          <w:szCs w:val="21"/>
        </w:rPr>
        <w:t>https://www.cdc.gov/nchs/data/hus/2020-2021/hexpgdp.pdf</w:t>
      </w:r>
      <w:r w:rsidR="00AC33C9">
        <w:rPr>
          <w:rFonts w:ascii="Times New Roman" w:hAnsi="Times New Roman" w:cs="Times New Roman"/>
          <w:sz w:val="21"/>
          <w:szCs w:val="21"/>
        </w:rPr>
        <w:fldChar w:fldCharType="end"/>
      </w:r>
      <w:r w:rsidR="00AC33C9">
        <w:rPr>
          <w:rFonts w:ascii="Times New Roman" w:hAnsi="Times New Roman" w:cs="Times New Roman" w:hint="eastAsia"/>
          <w:sz w:val="21"/>
          <w:szCs w:val="21"/>
        </w:rPr>
        <w:t xml:space="preserve">, </w:t>
      </w:r>
      <w:r w:rsidR="00C46339">
        <w:rPr>
          <w:rFonts w:ascii="Times New Roman" w:hAnsi="Times New Roman" w:cs="Times New Roman"/>
          <w:sz w:val="21"/>
          <w:szCs w:val="21"/>
        </w:rPr>
        <w:t xml:space="preserve">retrieved </w:t>
      </w:r>
      <w:r w:rsidR="00C46339">
        <w:rPr>
          <w:rFonts w:ascii="Times New Roman" w:hAnsi="Times New Roman" w:cs="Times New Roman" w:hint="eastAsia"/>
          <w:sz w:val="21"/>
          <w:szCs w:val="21"/>
        </w:rPr>
        <w:t>Oct.7</w:t>
      </w:r>
      <w:r w:rsidR="00AC33C9">
        <w:rPr>
          <w:rFonts w:ascii="Times New Roman" w:hAnsi="Times New Roman" w:cs="Times New Roman" w:hint="eastAsia"/>
          <w:sz w:val="21"/>
          <w:szCs w:val="21"/>
        </w:rPr>
        <w:t>,2024</w:t>
      </w:r>
      <w:r w:rsidR="00AC33C9">
        <w:rPr>
          <w:rFonts w:ascii="Times New Roman" w:hAnsi="Times New Roman" w:cs="Times New Roman" w:hint="eastAsia"/>
          <w:sz w:val="21"/>
          <w:szCs w:val="21"/>
        </w:rPr>
        <w:t>）</w:t>
      </w:r>
      <w:r w:rsidR="00A4743F" w:rsidRPr="001E326B">
        <w:rPr>
          <w:rFonts w:ascii="Times New Roman" w:hAnsi="Times New Roman" w:cs="Times New Roman" w:hint="eastAsia"/>
          <w:sz w:val="21"/>
          <w:szCs w:val="21"/>
        </w:rPr>
        <w:t>，</w:t>
      </w:r>
      <w:r w:rsidR="00B2641A" w:rsidRPr="001E326B">
        <w:rPr>
          <w:rFonts w:ascii="Times New Roman" w:hAnsi="Times New Roman" w:cs="Times New Roman" w:hint="eastAsia"/>
          <w:sz w:val="21"/>
          <w:szCs w:val="21"/>
        </w:rPr>
        <w:t>最终结果系</w:t>
      </w:r>
      <w:r w:rsidR="00A4743F" w:rsidRPr="001E326B">
        <w:rPr>
          <w:rFonts w:ascii="Times New Roman" w:hAnsi="Times New Roman" w:cs="Times New Roman" w:hint="eastAsia"/>
          <w:sz w:val="21"/>
          <w:szCs w:val="21"/>
        </w:rPr>
        <w:t>笔者估算</w:t>
      </w:r>
      <w:r w:rsidR="0086640D">
        <w:rPr>
          <w:rFonts w:ascii="Times New Roman" w:hAnsi="Times New Roman" w:cs="Times New Roman" w:hint="eastAsia"/>
          <w:sz w:val="21"/>
          <w:szCs w:val="21"/>
        </w:rPr>
        <w:t>所得</w:t>
      </w:r>
      <w:r w:rsidR="00A4743F" w:rsidRPr="001E326B">
        <w:rPr>
          <w:rFonts w:ascii="Times New Roman" w:hAnsi="Times New Roman" w:cs="Times New Roman" w:hint="eastAsia"/>
          <w:sz w:val="21"/>
          <w:szCs w:val="21"/>
        </w:rPr>
        <w:t>。</w:t>
      </w:r>
    </w:p>
    <w:p w14:paraId="35DEB979" w14:textId="660ACBC3" w:rsidR="00924483" w:rsidRDefault="00924483" w:rsidP="000D1FBD">
      <w:pPr>
        <w:rPr>
          <w:rFonts w:ascii="Times New Roman" w:hAnsi="Times New Roman" w:cs="Times New Roman"/>
          <w:sz w:val="21"/>
          <w:szCs w:val="21"/>
        </w:rPr>
      </w:pPr>
      <w:r>
        <w:rPr>
          <w:rFonts w:ascii="Times New Roman" w:hAnsi="Times New Roman" w:cs="Times New Roman" w:hint="eastAsia"/>
          <w:sz w:val="21"/>
          <w:szCs w:val="21"/>
        </w:rPr>
        <w:t>计算方法：真实家庭收支</w:t>
      </w:r>
      <w:r>
        <w:rPr>
          <w:rFonts w:ascii="Times New Roman" w:hAnsi="Times New Roman" w:cs="Times New Roman" w:hint="eastAsia"/>
          <w:sz w:val="21"/>
          <w:szCs w:val="21"/>
        </w:rPr>
        <w:t>=</w:t>
      </w:r>
      <w:r>
        <w:rPr>
          <w:rFonts w:ascii="Times New Roman" w:hAnsi="Times New Roman" w:cs="Times New Roman" w:hint="eastAsia"/>
          <w:sz w:val="21"/>
          <w:szCs w:val="21"/>
        </w:rPr>
        <w:t>家庭实际收入</w:t>
      </w:r>
      <w:r>
        <w:rPr>
          <w:rFonts w:ascii="Times New Roman" w:hAnsi="Times New Roman" w:cs="Times New Roman" w:hint="eastAsia"/>
          <w:sz w:val="21"/>
          <w:szCs w:val="21"/>
        </w:rPr>
        <w:t>-</w:t>
      </w:r>
      <w:r>
        <w:rPr>
          <w:rFonts w:ascii="Times New Roman" w:hAnsi="Times New Roman" w:cs="Times New Roman" w:hint="eastAsia"/>
          <w:sz w:val="21"/>
          <w:szCs w:val="21"/>
        </w:rPr>
        <w:t>家庭实际支出</w:t>
      </w:r>
    </w:p>
    <w:p w14:paraId="78EB3ED8" w14:textId="77777777" w:rsidR="00794693" w:rsidRPr="001E326B" w:rsidRDefault="00794693" w:rsidP="000D1FBD">
      <w:pPr>
        <w:rPr>
          <w:sz w:val="21"/>
          <w:szCs w:val="21"/>
        </w:rPr>
      </w:pPr>
    </w:p>
    <w:bookmarkEnd w:id="2"/>
    <w:bookmarkEnd w:id="3"/>
    <w:p w14:paraId="29222705" w14:textId="098D21BE" w:rsidR="002D4BF0" w:rsidRPr="00C3146C" w:rsidRDefault="00B97BE3" w:rsidP="00DC32BB">
      <w:pPr>
        <w:spacing w:line="360" w:lineRule="auto"/>
        <w:ind w:firstLineChars="200" w:firstLine="480"/>
        <w:rPr>
          <w:rFonts w:ascii="Times New Roman" w:hAnsi="Times New Roman" w:cs="Times New Roman"/>
        </w:rPr>
      </w:pPr>
      <w:r w:rsidRPr="00C3146C">
        <w:rPr>
          <w:rFonts w:ascii="Times New Roman" w:hAnsi="Times New Roman" w:cs="Times New Roman" w:hint="eastAsia"/>
        </w:rPr>
        <w:t>从复原的经济情况</w:t>
      </w:r>
      <w:r w:rsidR="00A67918">
        <w:rPr>
          <w:rFonts w:ascii="Times New Roman" w:hAnsi="Times New Roman" w:cs="Times New Roman" w:hint="eastAsia"/>
        </w:rPr>
        <w:t>（图</w:t>
      </w:r>
      <w:r w:rsidR="00A67918">
        <w:rPr>
          <w:rFonts w:ascii="Times New Roman" w:hAnsi="Times New Roman" w:cs="Times New Roman" w:hint="eastAsia"/>
        </w:rPr>
        <w:t>1</w:t>
      </w:r>
      <w:r w:rsidR="00A67918">
        <w:rPr>
          <w:rFonts w:ascii="Times New Roman" w:hAnsi="Times New Roman" w:cs="Times New Roman" w:hint="eastAsia"/>
        </w:rPr>
        <w:t>）</w:t>
      </w:r>
      <w:r w:rsidRPr="00C3146C">
        <w:rPr>
          <w:rFonts w:ascii="Times New Roman" w:hAnsi="Times New Roman" w:cs="Times New Roman" w:hint="eastAsia"/>
        </w:rPr>
        <w:t>看，美国家庭</w:t>
      </w:r>
      <w:r w:rsidR="0031575A" w:rsidRPr="00C3146C">
        <w:rPr>
          <w:rFonts w:ascii="Times New Roman" w:hAnsi="Times New Roman" w:cs="Times New Roman" w:hint="eastAsia"/>
        </w:rPr>
        <w:t>部门总体</w:t>
      </w:r>
      <w:r w:rsidRPr="00C3146C">
        <w:rPr>
          <w:rFonts w:ascii="Times New Roman" w:hAnsi="Times New Roman" w:cs="Times New Roman" w:hint="eastAsia"/>
        </w:rPr>
        <w:t>收支</w:t>
      </w:r>
      <w:r w:rsidR="0031575A" w:rsidRPr="00C3146C">
        <w:rPr>
          <w:rFonts w:ascii="Times New Roman" w:hAnsi="Times New Roman" w:cs="Times New Roman" w:hint="eastAsia"/>
        </w:rPr>
        <w:t>能够保持基本平衡</w:t>
      </w:r>
      <w:r w:rsidR="0086640D">
        <w:rPr>
          <w:rFonts w:ascii="Times New Roman" w:hAnsi="Times New Roman" w:cs="Times New Roman" w:hint="eastAsia"/>
        </w:rPr>
        <w:t>，</w:t>
      </w:r>
      <w:r w:rsidR="0031575A" w:rsidRPr="00C3146C">
        <w:rPr>
          <w:rFonts w:ascii="Times New Roman" w:hAnsi="Times New Roman" w:cs="Times New Roman" w:hint="eastAsia"/>
        </w:rPr>
        <w:t>并有少量盈余，</w:t>
      </w:r>
      <w:r w:rsidR="0086640D">
        <w:rPr>
          <w:rFonts w:ascii="Times New Roman" w:hAnsi="Times New Roman" w:cs="Times New Roman" w:hint="eastAsia"/>
        </w:rPr>
        <w:t>但</w:t>
      </w:r>
      <w:r w:rsidR="0031575A" w:rsidRPr="00C3146C">
        <w:rPr>
          <w:rFonts w:ascii="Times New Roman" w:hAnsi="Times New Roman" w:cs="Times New Roman" w:hint="eastAsia"/>
        </w:rPr>
        <w:t>扣除资产性收入来源后呈入不敷出状态</w:t>
      </w:r>
      <w:r w:rsidR="0086640D">
        <w:rPr>
          <w:rFonts w:ascii="Times New Roman" w:hAnsi="Times New Roman" w:cs="Times New Roman" w:hint="eastAsia"/>
        </w:rPr>
        <w:t>，</w:t>
      </w:r>
      <w:r w:rsidR="002C2072" w:rsidRPr="00C3146C">
        <w:rPr>
          <w:rFonts w:ascii="Times New Roman" w:hAnsi="Times New Roman" w:cs="Times New Roman" w:hint="eastAsia"/>
        </w:rPr>
        <w:t>且差额逐年加大。</w:t>
      </w:r>
      <w:r w:rsidR="002D4BF0" w:rsidRPr="00C3146C">
        <w:rPr>
          <w:rFonts w:ascii="Times New Roman" w:hAnsi="Times New Roman" w:cs="Times New Roman" w:hint="eastAsia"/>
        </w:rPr>
        <w:t>考虑到美国收入差距的客观现实，家庭部门的加总收支数据可能无法反映不同阶层或阶级的真实生活状况。不过，借助</w:t>
      </w:r>
      <w:r w:rsidR="002D4BF0" w:rsidRPr="00C3146C">
        <w:rPr>
          <w:rFonts w:ascii="Times New Roman" w:hAnsi="Times New Roman" w:cs="Times New Roman" w:hint="eastAsia"/>
        </w:rPr>
        <w:t>BEA</w:t>
      </w:r>
      <w:r w:rsidR="002D4BF0" w:rsidRPr="00C3146C">
        <w:rPr>
          <w:rFonts w:ascii="Times New Roman" w:hAnsi="Times New Roman" w:cs="Times New Roman" w:hint="eastAsia"/>
        </w:rPr>
        <w:t>公布的家庭收支结构，或可通过构造三种不同口径的家庭收支指标</w:t>
      </w:r>
      <w:r w:rsidR="007B3466" w:rsidRPr="00C3146C">
        <w:rPr>
          <w:rFonts w:ascii="Times New Roman" w:hAnsi="Times New Roman" w:cs="Times New Roman" w:hint="eastAsia"/>
        </w:rPr>
        <w:t>，</w:t>
      </w:r>
      <w:r w:rsidR="002D4BF0" w:rsidRPr="00C3146C">
        <w:rPr>
          <w:rFonts w:ascii="Times New Roman" w:hAnsi="Times New Roman" w:cs="Times New Roman" w:hint="eastAsia"/>
        </w:rPr>
        <w:t>测算不同生活状态的家庭收支状况：</w:t>
      </w:r>
    </w:p>
    <w:p w14:paraId="1E3FA9FC" w14:textId="365189C4" w:rsidR="00DC32BB" w:rsidRPr="00751291" w:rsidRDefault="00DB7C10" w:rsidP="00DC32BB">
      <w:pPr>
        <w:spacing w:line="360" w:lineRule="auto"/>
        <w:ind w:firstLineChars="200" w:firstLine="480"/>
        <w:rPr>
          <w:rFonts w:ascii="Times New Roman" w:hAnsi="Times New Roman" w:cs="Times New Roman"/>
        </w:rPr>
      </w:pPr>
      <w:r w:rsidRPr="00C3146C">
        <w:rPr>
          <w:rFonts w:ascii="Times New Roman" w:hAnsi="Times New Roman" w:cs="Times New Roman" w:hint="eastAsia"/>
        </w:rPr>
        <w:t>（</w:t>
      </w:r>
      <w:r w:rsidR="00DC32BB" w:rsidRPr="00C3146C">
        <w:rPr>
          <w:rFonts w:ascii="Times New Roman" w:hAnsi="Times New Roman" w:cs="Times New Roman" w:hint="eastAsia"/>
        </w:rPr>
        <w:t>1</w:t>
      </w:r>
      <w:r w:rsidR="00DC32BB" w:rsidRPr="00C3146C">
        <w:rPr>
          <w:rFonts w:ascii="Times New Roman" w:hAnsi="Times New Roman" w:cs="Times New Roman" w:hint="eastAsia"/>
        </w:rPr>
        <w:t>）</w:t>
      </w:r>
      <w:r w:rsidR="004F1D6E" w:rsidRPr="00C3146C">
        <w:rPr>
          <w:rFonts w:ascii="Times New Roman" w:hAnsi="Times New Roman" w:cs="Times New Roman" w:hint="eastAsia"/>
        </w:rPr>
        <w:t>I</w:t>
      </w:r>
      <w:r w:rsidR="004F1D6E" w:rsidRPr="00C3146C">
        <w:rPr>
          <w:rFonts w:ascii="Times New Roman" w:hAnsi="Times New Roman" w:cs="Times New Roman" w:hint="eastAsia"/>
        </w:rPr>
        <w:t>类家庭，</w:t>
      </w:r>
      <w:r w:rsidR="00683734" w:rsidRPr="00751291">
        <w:rPr>
          <w:rFonts w:ascii="Times New Roman" w:hAnsi="Times New Roman" w:cs="Times New Roman" w:hint="eastAsia"/>
        </w:rPr>
        <w:t>此类家庭无法享受政府提供的</w:t>
      </w:r>
      <w:r w:rsidR="00683734" w:rsidRPr="00751291">
        <w:rPr>
          <w:rFonts w:ascii="Times New Roman" w:hAnsi="Times New Roman" w:cs="Times New Roman" w:hint="eastAsia"/>
        </w:rPr>
        <w:t>Medicaid</w:t>
      </w:r>
      <w:r w:rsidR="00683734" w:rsidRPr="00751291">
        <w:rPr>
          <w:rFonts w:ascii="Times New Roman" w:hAnsi="Times New Roman" w:cs="Times New Roman" w:hint="eastAsia"/>
        </w:rPr>
        <w:t>服务，</w:t>
      </w:r>
      <w:r w:rsidR="00DC32BB" w:rsidRPr="00751291">
        <w:rPr>
          <w:rFonts w:ascii="Times New Roman" w:hAnsi="Times New Roman" w:cs="Times New Roman" w:hint="eastAsia"/>
        </w:rPr>
        <w:t>以</w:t>
      </w:r>
      <w:r w:rsidR="00481EAC" w:rsidRPr="00751291">
        <w:rPr>
          <w:rFonts w:ascii="Times New Roman" w:hAnsi="Times New Roman" w:cs="Times New Roman" w:hint="eastAsia"/>
        </w:rPr>
        <w:t>增加</w:t>
      </w:r>
      <w:r w:rsidR="00D50B36" w:rsidRPr="00751291">
        <w:rPr>
          <w:rFonts w:ascii="Times New Roman" w:hAnsi="Times New Roman" w:cs="Times New Roman" w:hint="eastAsia"/>
        </w:rPr>
        <w:t>政府</w:t>
      </w:r>
      <w:r w:rsidR="00D50B36" w:rsidRPr="00751291">
        <w:rPr>
          <w:rFonts w:ascii="Times New Roman" w:hAnsi="Times New Roman" w:cs="Times New Roman"/>
        </w:rPr>
        <w:t>Medicaid</w:t>
      </w:r>
      <w:r w:rsidR="00D50B36" w:rsidRPr="00751291">
        <w:rPr>
          <w:rFonts w:ascii="Times New Roman" w:hAnsi="Times New Roman" w:cs="Times New Roman" w:hint="eastAsia"/>
        </w:rPr>
        <w:t>支出</w:t>
      </w:r>
      <w:r w:rsidR="005A2304" w:rsidRPr="00751291">
        <w:rPr>
          <w:rFonts w:ascii="Times New Roman" w:hAnsi="Times New Roman" w:cs="Times New Roman" w:hint="eastAsia"/>
        </w:rPr>
        <w:t>后</w:t>
      </w:r>
      <w:r w:rsidR="00D50B36" w:rsidRPr="00751291">
        <w:rPr>
          <w:rFonts w:ascii="Times New Roman" w:hAnsi="Times New Roman" w:cs="Times New Roman" w:hint="eastAsia"/>
        </w:rPr>
        <w:t>的</w:t>
      </w:r>
      <w:r w:rsidR="00DC32BB" w:rsidRPr="00751291">
        <w:rPr>
          <w:rFonts w:ascii="Times New Roman" w:hAnsi="Times New Roman" w:cs="Times New Roman" w:hint="eastAsia"/>
        </w:rPr>
        <w:t>加总数据考察美国普通中产阶级的</w:t>
      </w:r>
      <w:r w:rsidR="00683734" w:rsidRPr="00751291">
        <w:rPr>
          <w:rFonts w:ascii="Times New Roman" w:hAnsi="Times New Roman" w:cs="Times New Roman" w:hint="eastAsia"/>
        </w:rPr>
        <w:t>生活状况</w:t>
      </w:r>
      <w:r w:rsidR="00332543" w:rsidRPr="00751291">
        <w:rPr>
          <w:rFonts w:ascii="Times New Roman" w:hAnsi="Times New Roman" w:cs="Times New Roman" w:hint="eastAsia"/>
        </w:rPr>
        <w:t>；</w:t>
      </w:r>
    </w:p>
    <w:p w14:paraId="0B68E0BF" w14:textId="4CBDD5AC" w:rsidR="00DC32BB" w:rsidRPr="00751291" w:rsidRDefault="00DB7C10" w:rsidP="00DC32BB">
      <w:pPr>
        <w:spacing w:line="360" w:lineRule="auto"/>
        <w:ind w:firstLineChars="200" w:firstLine="480"/>
        <w:rPr>
          <w:rFonts w:ascii="Times New Roman" w:hAnsi="Times New Roman" w:cs="Times New Roman"/>
        </w:rPr>
      </w:pPr>
      <w:r w:rsidRPr="00751291">
        <w:rPr>
          <w:rFonts w:ascii="Times New Roman" w:hAnsi="Times New Roman" w:cs="Times New Roman" w:hint="eastAsia"/>
        </w:rPr>
        <w:t>（</w:t>
      </w:r>
      <w:r w:rsidR="00DC32BB" w:rsidRPr="00751291">
        <w:rPr>
          <w:rFonts w:ascii="Times New Roman" w:hAnsi="Times New Roman" w:cs="Times New Roman" w:hint="eastAsia"/>
        </w:rPr>
        <w:t>2</w:t>
      </w:r>
      <w:r w:rsidR="00DC32BB" w:rsidRPr="00751291">
        <w:rPr>
          <w:rFonts w:ascii="Times New Roman" w:hAnsi="Times New Roman" w:cs="Times New Roman" w:hint="eastAsia"/>
        </w:rPr>
        <w:t>）</w:t>
      </w:r>
      <w:r w:rsidR="00231E43" w:rsidRPr="00751291">
        <w:rPr>
          <w:rFonts w:ascii="Times New Roman" w:hAnsi="Times New Roman" w:cs="Times New Roman" w:hint="eastAsia"/>
        </w:rPr>
        <w:t>Ⅱ</w:t>
      </w:r>
      <w:r w:rsidR="004F1D6E" w:rsidRPr="00751291">
        <w:rPr>
          <w:rFonts w:ascii="Times New Roman" w:hAnsi="Times New Roman" w:cs="Times New Roman" w:hint="eastAsia"/>
        </w:rPr>
        <w:t>类家庭，</w:t>
      </w:r>
      <w:r w:rsidR="00751291" w:rsidRPr="00751291">
        <w:rPr>
          <w:rFonts w:ascii="Times New Roman" w:hAnsi="Times New Roman" w:cs="Times New Roman" w:hint="eastAsia"/>
        </w:rPr>
        <w:t>此类家庭一般缺乏相应地资产配置，</w:t>
      </w:r>
      <w:r w:rsidR="00332543" w:rsidRPr="00751291">
        <w:rPr>
          <w:rFonts w:ascii="Times New Roman" w:hAnsi="Times New Roman" w:cs="Times New Roman" w:hint="eastAsia"/>
        </w:rPr>
        <w:t>以扣除资产性收入的收支考察中等偏下家庭的生活状况；</w:t>
      </w:r>
    </w:p>
    <w:p w14:paraId="5182BBB4" w14:textId="2C0C6A44" w:rsidR="00332543" w:rsidRPr="00C3146C" w:rsidRDefault="00DB7C10" w:rsidP="00DC32BB">
      <w:pPr>
        <w:spacing w:line="360" w:lineRule="auto"/>
        <w:ind w:firstLineChars="200" w:firstLine="480"/>
        <w:rPr>
          <w:rFonts w:ascii="Times New Roman" w:hAnsi="Times New Roman" w:cs="Times New Roman"/>
        </w:rPr>
      </w:pPr>
      <w:r w:rsidRPr="00751291">
        <w:rPr>
          <w:rFonts w:ascii="Times New Roman" w:hAnsi="Times New Roman" w:cs="Times New Roman" w:hint="eastAsia"/>
        </w:rPr>
        <w:t>（</w:t>
      </w:r>
      <w:r w:rsidR="00332543" w:rsidRPr="00751291">
        <w:rPr>
          <w:rFonts w:ascii="Times New Roman" w:hAnsi="Times New Roman" w:cs="Times New Roman" w:hint="eastAsia"/>
        </w:rPr>
        <w:t>3</w:t>
      </w:r>
      <w:r w:rsidR="00332543" w:rsidRPr="00751291">
        <w:rPr>
          <w:rFonts w:ascii="Times New Roman" w:hAnsi="Times New Roman" w:cs="Times New Roman" w:hint="eastAsia"/>
        </w:rPr>
        <w:t>）</w:t>
      </w:r>
      <w:r w:rsidR="00231E43" w:rsidRPr="00751291">
        <w:rPr>
          <w:rFonts w:ascii="Times New Roman" w:hAnsi="Times New Roman" w:cs="Times New Roman" w:hint="eastAsia"/>
        </w:rPr>
        <w:t>Ⅲ</w:t>
      </w:r>
      <w:r w:rsidR="004F1D6E" w:rsidRPr="00751291">
        <w:rPr>
          <w:rFonts w:ascii="Times New Roman" w:hAnsi="Times New Roman" w:cs="Times New Roman" w:hint="eastAsia"/>
        </w:rPr>
        <w:t>类家庭，</w:t>
      </w:r>
      <w:r w:rsidR="00751291" w:rsidRPr="00751291">
        <w:rPr>
          <w:rFonts w:ascii="Times New Roman" w:hAnsi="Times New Roman" w:cs="Times New Roman" w:hint="eastAsia"/>
        </w:rPr>
        <w:t>此类家庭一般没有固定收入、缺乏相应地资产配置、难以负担购置住房开支，</w:t>
      </w:r>
      <w:r w:rsidR="00736C5C" w:rsidRPr="00751291">
        <w:rPr>
          <w:rFonts w:ascii="Times New Roman" w:hAnsi="Times New Roman" w:cs="Times New Roman" w:hint="eastAsia"/>
        </w:rPr>
        <w:t>以扣除资产性收入、雇主团体医疗</w:t>
      </w:r>
      <w:r w:rsidR="00751291" w:rsidRPr="00751291">
        <w:rPr>
          <w:rFonts w:ascii="Times New Roman" w:hAnsi="Times New Roman" w:cs="Times New Roman" w:hint="eastAsia"/>
        </w:rPr>
        <w:t>和</w:t>
      </w:r>
      <w:r w:rsidR="00E95203" w:rsidRPr="00751291">
        <w:rPr>
          <w:rFonts w:ascii="Times New Roman" w:hAnsi="Times New Roman" w:cs="Times New Roman" w:hint="eastAsia"/>
        </w:rPr>
        <w:t>住宅购置支出</w:t>
      </w:r>
      <w:r w:rsidR="00736C5C" w:rsidRPr="00751291">
        <w:rPr>
          <w:rFonts w:ascii="Times New Roman" w:hAnsi="Times New Roman" w:cs="Times New Roman" w:hint="eastAsia"/>
        </w:rPr>
        <w:t>的收支数据考察兼职就业家庭的生活状况。</w:t>
      </w:r>
    </w:p>
    <w:p w14:paraId="1F67CAB3" w14:textId="7420A931" w:rsidR="009865D3" w:rsidRPr="00C3146C" w:rsidRDefault="00E02A5D" w:rsidP="00DC32BB">
      <w:pPr>
        <w:spacing w:line="360" w:lineRule="auto"/>
        <w:ind w:firstLineChars="200" w:firstLine="480"/>
        <w:rPr>
          <w:rFonts w:ascii="Times New Roman" w:hAnsi="Times New Roman" w:cs="Times New Roman"/>
        </w:rPr>
      </w:pPr>
      <w:r w:rsidRPr="00C3146C">
        <w:rPr>
          <w:rFonts w:ascii="Times New Roman" w:hAnsi="Times New Roman" w:cs="Times New Roman" w:hint="eastAsia"/>
        </w:rPr>
        <w:t>三种统计口径</w:t>
      </w:r>
      <w:r>
        <w:rPr>
          <w:rFonts w:ascii="Times New Roman" w:hAnsi="Times New Roman" w:cs="Times New Roman" w:hint="eastAsia"/>
        </w:rPr>
        <w:t>趋势显示</w:t>
      </w:r>
      <w:r w:rsidRPr="00C3146C">
        <w:rPr>
          <w:rFonts w:ascii="Times New Roman" w:hAnsi="Times New Roman" w:cs="Times New Roman" w:hint="eastAsia"/>
        </w:rPr>
        <w:t>美国家庭收支状况出现严重分化，中等收入水平以下的家庭收支严重恶化</w:t>
      </w:r>
      <w:r>
        <w:rPr>
          <w:rFonts w:ascii="Times New Roman" w:hAnsi="Times New Roman" w:cs="Times New Roman" w:hint="eastAsia"/>
        </w:rPr>
        <w:t>（见图</w:t>
      </w:r>
      <w:r>
        <w:rPr>
          <w:rFonts w:ascii="Times New Roman" w:hAnsi="Times New Roman" w:cs="Times New Roman" w:hint="eastAsia"/>
        </w:rPr>
        <w:t>2</w:t>
      </w:r>
      <w:r>
        <w:rPr>
          <w:rFonts w:ascii="Times New Roman" w:hAnsi="Times New Roman" w:cs="Times New Roman" w:hint="eastAsia"/>
        </w:rPr>
        <w:t>）</w:t>
      </w:r>
      <w:r w:rsidRPr="00C3146C">
        <w:rPr>
          <w:rFonts w:ascii="Times New Roman" w:hAnsi="Times New Roman" w:cs="Times New Roman" w:hint="eastAsia"/>
        </w:rPr>
        <w:t>。</w:t>
      </w:r>
    </w:p>
    <w:p w14:paraId="6BD7F47D" w14:textId="77777777" w:rsidR="00736C5C" w:rsidRPr="00C3146C" w:rsidRDefault="004250CF" w:rsidP="00DB4AB4">
      <w:pPr>
        <w:rPr>
          <w:rFonts w:ascii="Times New Roman" w:hAnsi="Times New Roman" w:cs="Times New Roman"/>
        </w:rPr>
      </w:pPr>
      <w:r w:rsidRPr="00C3146C">
        <w:rPr>
          <w:noProof/>
        </w:rPr>
        <w:drawing>
          <wp:inline distT="0" distB="0" distL="0" distR="0" wp14:anchorId="1B512A50" wp14:editId="0E2CE9E0">
            <wp:extent cx="4901565" cy="2041451"/>
            <wp:effectExtent l="0" t="0" r="13335" b="16510"/>
            <wp:docPr id="861669804" name="图表 1">
              <a:extLst xmlns:a="http://schemas.openxmlformats.org/drawingml/2006/main">
                <a:ext uri="{FF2B5EF4-FFF2-40B4-BE49-F238E27FC236}">
                  <a16:creationId xmlns:a16="http://schemas.microsoft.com/office/drawing/2014/main" id="{7CC3E8E1-8388-B183-3B31-81A1390CA6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A92A1C9" w14:textId="57909BF4" w:rsidR="00604E9E" w:rsidRPr="00C3146C" w:rsidRDefault="00604E9E" w:rsidP="00604E9E">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2 </w:t>
      </w:r>
      <w:r w:rsidRPr="00C3146C">
        <w:rPr>
          <w:rFonts w:ascii="Times New Roman" w:hAnsi="Times New Roman" w:cs="Times New Roman" w:hint="eastAsia"/>
        </w:rPr>
        <w:t>美国三类家庭收支状况</w:t>
      </w:r>
    </w:p>
    <w:p w14:paraId="383AACF2" w14:textId="74E5E7BF" w:rsidR="00B2641A" w:rsidRPr="00BF1FE6" w:rsidRDefault="00B2641A" w:rsidP="00B2641A">
      <w:pPr>
        <w:rPr>
          <w:sz w:val="21"/>
          <w:szCs w:val="21"/>
        </w:rPr>
      </w:pPr>
      <w:r w:rsidRPr="00BF1FE6">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00E02A5D" w:rsidRPr="001E326B">
        <w:rPr>
          <w:rFonts w:ascii="Times New Roman" w:hAnsi="Times New Roman" w:cs="Times New Roman"/>
          <w:sz w:val="21"/>
          <w:szCs w:val="21"/>
        </w:rPr>
        <w:t xml:space="preserve">, </w:t>
      </w:r>
      <w:r w:rsidR="00E02A5D" w:rsidRPr="0086640D">
        <w:rPr>
          <w:rFonts w:ascii="Times New Roman" w:hAnsi="Times New Roman" w:cs="Times New Roman"/>
          <w:sz w:val="21"/>
          <w:szCs w:val="21"/>
        </w:rPr>
        <w:t>"</w:t>
      </w:r>
      <w:r w:rsidR="00E02A5D" w:rsidRPr="007243ED">
        <w:rPr>
          <w:rFonts w:ascii="Times New Roman" w:hAnsi="Times New Roman" w:cs="Times New Roman"/>
          <w:iCs/>
          <w:sz w:val="21"/>
          <w:szCs w:val="21"/>
        </w:rPr>
        <w:t>Table 2.1 Personal Income and Its Disposition" "Table 2.4.5 Personal Consumption Expenditures by Type of Product"</w:t>
      </w:r>
      <w:r w:rsidR="00E02A5D" w:rsidRPr="001E326B">
        <w:rPr>
          <w:rFonts w:ascii="Times New Roman" w:hAnsi="Times New Roman" w:cs="Times New Roman" w:hint="eastAsia"/>
          <w:sz w:val="21"/>
          <w:szCs w:val="21"/>
        </w:rPr>
        <w:t xml:space="preserve">; U.S. </w:t>
      </w:r>
      <w:r w:rsidR="00E02A5D" w:rsidRPr="001E326B">
        <w:rPr>
          <w:rFonts w:ascii="Times New Roman" w:hAnsi="Times New Roman" w:cs="Times New Roman"/>
          <w:sz w:val="21"/>
          <w:szCs w:val="21"/>
        </w:rPr>
        <w:t>Centers for Disease Control and Prevention</w:t>
      </w:r>
      <w:r w:rsidR="00E02A5D" w:rsidRPr="001E326B">
        <w:rPr>
          <w:rFonts w:ascii="Times New Roman" w:hAnsi="Times New Roman" w:cs="Times New Roman" w:hint="eastAsia"/>
          <w:sz w:val="21"/>
          <w:szCs w:val="21"/>
        </w:rPr>
        <w:t>,</w:t>
      </w:r>
      <w:r w:rsidR="00E02A5D" w:rsidRPr="0086640D">
        <w:rPr>
          <w:rFonts w:ascii="Times New Roman" w:hAnsi="Times New Roman" w:cs="Times New Roman"/>
          <w:sz w:val="21"/>
          <w:szCs w:val="21"/>
        </w:rPr>
        <w:t xml:space="preserve"> "</w:t>
      </w:r>
      <w:r w:rsidR="00E02A5D" w:rsidRPr="007243ED">
        <w:rPr>
          <w:rFonts w:ascii="Times New Roman" w:hAnsi="Times New Roman" w:cs="Times New Roman"/>
          <w:iCs/>
          <w:sz w:val="21"/>
          <w:szCs w:val="21"/>
        </w:rPr>
        <w:t xml:space="preserve">Table </w:t>
      </w:r>
      <w:proofErr w:type="spellStart"/>
      <w:r w:rsidR="00E02A5D" w:rsidRPr="007243ED">
        <w:rPr>
          <w:rFonts w:ascii="Times New Roman" w:hAnsi="Times New Roman" w:cs="Times New Roman"/>
          <w:iCs/>
          <w:sz w:val="21"/>
          <w:szCs w:val="21"/>
        </w:rPr>
        <w:t>HExpGDP</w:t>
      </w:r>
      <w:proofErr w:type="spellEnd"/>
      <w:r w:rsidR="00E02A5D" w:rsidRPr="007243ED">
        <w:rPr>
          <w:rFonts w:ascii="Times New Roman" w:hAnsi="Times New Roman" w:cs="Times New Roman"/>
          <w:iCs/>
          <w:sz w:val="21"/>
          <w:szCs w:val="21"/>
        </w:rPr>
        <w:t>. Gross domestic product, national health expenditures, per capita amounts, percent distribution, and average annual percent change: United States, selected years 1960–2019</w:t>
      </w:r>
      <w:r w:rsidR="00E02A5D" w:rsidRPr="0086640D">
        <w:rPr>
          <w:rFonts w:ascii="Times New Roman" w:hAnsi="Times New Roman" w:cs="Times New Roman"/>
          <w:sz w:val="21"/>
          <w:szCs w:val="21"/>
        </w:rPr>
        <w:t>"</w:t>
      </w:r>
      <w:r w:rsidR="00E02A5D" w:rsidRPr="001E326B">
        <w:rPr>
          <w:rFonts w:ascii="Times New Roman" w:hAnsi="Times New Roman" w:cs="Times New Roman" w:hint="eastAsia"/>
          <w:sz w:val="21"/>
          <w:szCs w:val="21"/>
        </w:rPr>
        <w:t>，最终结果系笔者估算</w:t>
      </w:r>
      <w:r w:rsidR="00E02A5D">
        <w:rPr>
          <w:rFonts w:ascii="Times New Roman" w:hAnsi="Times New Roman" w:cs="Times New Roman" w:hint="eastAsia"/>
          <w:sz w:val="21"/>
          <w:szCs w:val="21"/>
        </w:rPr>
        <w:t>所得</w:t>
      </w:r>
      <w:r w:rsidR="00E02A5D" w:rsidRPr="001E326B">
        <w:rPr>
          <w:rFonts w:ascii="Times New Roman" w:hAnsi="Times New Roman" w:cs="Times New Roman" w:hint="eastAsia"/>
          <w:sz w:val="21"/>
          <w:szCs w:val="21"/>
        </w:rPr>
        <w:t>。</w:t>
      </w:r>
    </w:p>
    <w:p w14:paraId="159FFDA5" w14:textId="77777777" w:rsidR="00DC61CE" w:rsidRPr="00C3146C" w:rsidRDefault="00DC61CE" w:rsidP="00E35DCC">
      <w:pPr>
        <w:spacing w:line="360" w:lineRule="auto"/>
        <w:ind w:firstLineChars="200" w:firstLine="480"/>
        <w:rPr>
          <w:rFonts w:ascii="Times New Roman" w:hAnsi="Times New Roman" w:cs="Times New Roman"/>
        </w:rPr>
      </w:pPr>
    </w:p>
    <w:p w14:paraId="5D0EAE90" w14:textId="7EA4FC6F" w:rsidR="00E35DCC" w:rsidRPr="00C3146C" w:rsidRDefault="00E02A5D" w:rsidP="00E35DCC">
      <w:pPr>
        <w:spacing w:line="360" w:lineRule="auto"/>
        <w:ind w:firstLineChars="200" w:firstLine="480"/>
        <w:rPr>
          <w:rFonts w:ascii="Times New Roman" w:hAnsi="Times New Roman" w:cs="Times New Roman"/>
        </w:rPr>
      </w:pPr>
      <w:r>
        <w:rPr>
          <w:rFonts w:ascii="Times New Roman" w:hAnsi="Times New Roman" w:cs="Times New Roman" w:hint="eastAsia"/>
        </w:rPr>
        <w:lastRenderedPageBreak/>
        <w:t>由图</w:t>
      </w:r>
      <w:r>
        <w:rPr>
          <w:rFonts w:ascii="Times New Roman" w:hAnsi="Times New Roman" w:cs="Times New Roman" w:hint="eastAsia"/>
        </w:rPr>
        <w:t>2</w:t>
      </w:r>
      <w:r>
        <w:rPr>
          <w:rFonts w:ascii="Times New Roman" w:hAnsi="Times New Roman" w:cs="Times New Roman" w:hint="eastAsia"/>
        </w:rPr>
        <w:t>可知，</w:t>
      </w:r>
      <w:r w:rsidR="00FF2736" w:rsidRPr="00C3146C">
        <w:rPr>
          <w:rFonts w:ascii="Times New Roman" w:hAnsi="Times New Roman" w:cs="Times New Roman" w:hint="eastAsia"/>
        </w:rPr>
        <w:t>I</w:t>
      </w:r>
      <w:r w:rsidR="00FF2736" w:rsidRPr="00C3146C">
        <w:rPr>
          <w:rFonts w:ascii="Times New Roman" w:hAnsi="Times New Roman" w:cs="Times New Roman" w:hint="eastAsia"/>
        </w:rPr>
        <w:t>类</w:t>
      </w:r>
      <w:r w:rsidR="00E35DCC" w:rsidRPr="00C3146C">
        <w:rPr>
          <w:rFonts w:ascii="Times New Roman" w:hAnsi="Times New Roman" w:cs="Times New Roman" w:hint="eastAsia"/>
        </w:rPr>
        <w:t>家庭能够在经济正常增长年份保持脆弱的收支平衡，但在经济危机年份马上会出现轻微的收支失衡状况。对于</w:t>
      </w:r>
      <w:r w:rsidR="00231E43" w:rsidRPr="00231E43">
        <w:rPr>
          <w:rFonts w:ascii="Times New Roman" w:hAnsi="Times New Roman" w:cs="Times New Roman" w:hint="eastAsia"/>
        </w:rPr>
        <w:t>Ⅱ</w:t>
      </w:r>
      <w:r w:rsidR="00D310E4" w:rsidRPr="00C3146C">
        <w:rPr>
          <w:rFonts w:ascii="Times New Roman" w:hAnsi="Times New Roman" w:cs="Times New Roman" w:hint="eastAsia"/>
        </w:rPr>
        <w:t>类</w:t>
      </w:r>
      <w:r w:rsidR="00E35DCC" w:rsidRPr="00C3146C">
        <w:rPr>
          <w:rFonts w:ascii="Times New Roman" w:hAnsi="Times New Roman" w:cs="Times New Roman" w:hint="eastAsia"/>
        </w:rPr>
        <w:t>家庭而言，</w:t>
      </w:r>
      <w:r w:rsidR="00E35DCC" w:rsidRPr="00751291">
        <w:rPr>
          <w:rFonts w:ascii="Times New Roman" w:hAnsi="Times New Roman" w:cs="Times New Roman" w:hint="eastAsia"/>
        </w:rPr>
        <w:t>购置住房支出</w:t>
      </w:r>
      <w:r w:rsidR="00E35DCC" w:rsidRPr="00C3146C">
        <w:rPr>
          <w:rFonts w:ascii="Times New Roman" w:hAnsi="Times New Roman" w:cs="Times New Roman" w:hint="eastAsia"/>
        </w:rPr>
        <w:t>加重了家庭原本入不敷出的状况，这种状况在</w:t>
      </w:r>
      <w:r w:rsidR="00E35DCC" w:rsidRPr="00C3146C">
        <w:rPr>
          <w:rFonts w:ascii="Times New Roman" w:hAnsi="Times New Roman" w:cs="Times New Roman" w:hint="eastAsia"/>
        </w:rPr>
        <w:t>2003</w:t>
      </w:r>
      <w:r>
        <w:rPr>
          <w:rFonts w:ascii="Times New Roman" w:hAnsi="Times New Roman" w:cs="Times New Roman" w:hint="eastAsia"/>
        </w:rPr>
        <w:t>—</w:t>
      </w:r>
      <w:r w:rsidR="00E35DCC" w:rsidRPr="00C3146C">
        <w:rPr>
          <w:rFonts w:ascii="Times New Roman" w:hAnsi="Times New Roman" w:cs="Times New Roman" w:hint="eastAsia"/>
        </w:rPr>
        <w:t>2007</w:t>
      </w:r>
      <w:r w:rsidR="00E35DCC" w:rsidRPr="00C3146C">
        <w:rPr>
          <w:rFonts w:ascii="Times New Roman" w:hAnsi="Times New Roman" w:cs="Times New Roman" w:hint="eastAsia"/>
        </w:rPr>
        <w:t>年显得尤为突出，这种变化与美国住房信贷市场的次级房贷膨胀高度相关，</w:t>
      </w:r>
      <w:r w:rsidR="00E35DCC" w:rsidRPr="00C3146C">
        <w:rPr>
          <w:rFonts w:ascii="Times New Roman" w:hAnsi="Times New Roman" w:cs="Times New Roman" w:hint="eastAsia"/>
        </w:rPr>
        <w:t>2007</w:t>
      </w:r>
      <w:r w:rsidR="00E35DCC" w:rsidRPr="00C3146C">
        <w:rPr>
          <w:rFonts w:ascii="Times New Roman" w:hAnsi="Times New Roman" w:cs="Times New Roman" w:hint="eastAsia"/>
        </w:rPr>
        <w:t>年次贷危机爆发后，针对信用处于次级状态的家庭住房贷款收紧，</w:t>
      </w:r>
      <w:r w:rsidR="00D310E4" w:rsidRPr="00C3146C">
        <w:rPr>
          <w:rFonts w:ascii="Times New Roman" w:hAnsi="Times New Roman" w:cs="Times New Roman" w:hint="eastAsia"/>
        </w:rPr>
        <w:t>住宅购置支出下降、</w:t>
      </w:r>
      <w:r w:rsidR="00E35DCC" w:rsidRPr="00C3146C">
        <w:rPr>
          <w:rFonts w:ascii="Times New Roman" w:hAnsi="Times New Roman" w:cs="Times New Roman" w:hint="eastAsia"/>
        </w:rPr>
        <w:t>家庭</w:t>
      </w:r>
      <w:r w:rsidR="00EE4885" w:rsidRPr="00C3146C">
        <w:rPr>
          <w:rFonts w:ascii="Times New Roman" w:hAnsi="Times New Roman" w:cs="Times New Roman" w:hint="eastAsia"/>
        </w:rPr>
        <w:t>收支状况出现短暂的改善。兼职就业状态的</w:t>
      </w:r>
      <w:r w:rsidR="00231E43" w:rsidRPr="00231E43">
        <w:rPr>
          <w:rFonts w:ascii="Times New Roman" w:hAnsi="Times New Roman" w:cs="Times New Roman" w:hint="eastAsia"/>
        </w:rPr>
        <w:t>Ⅲ</w:t>
      </w:r>
      <w:r w:rsidR="00FF2736" w:rsidRPr="00C3146C">
        <w:rPr>
          <w:rFonts w:ascii="Times New Roman" w:hAnsi="Times New Roman" w:cs="Times New Roman" w:hint="eastAsia"/>
        </w:rPr>
        <w:t>类</w:t>
      </w:r>
      <w:r w:rsidR="00EE4885" w:rsidRPr="00C3146C">
        <w:rPr>
          <w:rFonts w:ascii="Times New Roman" w:hAnsi="Times New Roman" w:cs="Times New Roman" w:hint="eastAsia"/>
        </w:rPr>
        <w:t>家庭长期处于入不敷出的状态，</w:t>
      </w:r>
      <w:r w:rsidR="00FF2736" w:rsidRPr="00C3146C">
        <w:rPr>
          <w:rFonts w:ascii="Times New Roman" w:hAnsi="Times New Roman" w:cs="Times New Roman" w:hint="eastAsia"/>
        </w:rPr>
        <w:t>只能依靠社会救助或借债等外部力量维持收支平衡，从</w:t>
      </w:r>
      <w:r w:rsidR="00231E43" w:rsidRPr="00231E43">
        <w:rPr>
          <w:rFonts w:ascii="Times New Roman" w:hAnsi="Times New Roman" w:cs="Times New Roman" w:hint="eastAsia"/>
        </w:rPr>
        <w:t>Ⅲ</w:t>
      </w:r>
      <w:r w:rsidR="00FF2736" w:rsidRPr="00C3146C">
        <w:rPr>
          <w:rFonts w:ascii="Times New Roman" w:hAnsi="Times New Roman" w:cs="Times New Roman" w:hint="eastAsia"/>
        </w:rPr>
        <w:t>类家庭收支统计口径看，雇主提供的团体医疗</w:t>
      </w:r>
      <w:r w:rsidR="00FF2736" w:rsidRPr="00751291">
        <w:rPr>
          <w:rFonts w:ascii="Times New Roman" w:hAnsi="Times New Roman" w:cs="Times New Roman" w:hint="eastAsia"/>
        </w:rPr>
        <w:t>保险是美国普通家庭维</w:t>
      </w:r>
      <w:r w:rsidR="00FF2736" w:rsidRPr="00C3146C">
        <w:rPr>
          <w:rFonts w:ascii="Times New Roman" w:hAnsi="Times New Roman" w:cs="Times New Roman" w:hint="eastAsia"/>
        </w:rPr>
        <w:t>持收支平衡的重要支撑。</w:t>
      </w:r>
      <w:r w:rsidR="00FE4862" w:rsidRPr="00C3146C">
        <w:rPr>
          <w:rFonts w:ascii="Times New Roman" w:hAnsi="Times New Roman" w:cs="Times New Roman" w:hint="eastAsia"/>
        </w:rPr>
        <w:t>因而，</w:t>
      </w:r>
      <w:r w:rsidR="00FE4862" w:rsidRPr="00C3146C">
        <w:rPr>
          <w:rFonts w:ascii="黑体" w:eastAsia="黑体" w:hAnsi="黑体" w:cs="Times New Roman" w:hint="eastAsia"/>
        </w:rPr>
        <w:t>就业</w:t>
      </w:r>
      <w:r w:rsidR="008C18E6" w:rsidRPr="00C3146C">
        <w:rPr>
          <w:rFonts w:ascii="黑体" w:eastAsia="黑体" w:hAnsi="黑体" w:cs="Times New Roman" w:hint="eastAsia"/>
        </w:rPr>
        <w:t>数据的变迁</w:t>
      </w:r>
      <w:r w:rsidR="00FE4862" w:rsidRPr="00C3146C">
        <w:rPr>
          <w:rFonts w:ascii="黑体" w:eastAsia="黑体" w:hAnsi="黑体" w:cs="Times New Roman" w:hint="eastAsia"/>
        </w:rPr>
        <w:t>是理解美国经济的重要窗口</w:t>
      </w:r>
      <w:r w:rsidR="00FE4862" w:rsidRPr="00C3146C">
        <w:rPr>
          <w:rFonts w:ascii="Times New Roman" w:hAnsi="Times New Roman" w:cs="Times New Roman" w:hint="eastAsia"/>
        </w:rPr>
        <w:t>。</w:t>
      </w:r>
    </w:p>
    <w:p w14:paraId="174BA20E" w14:textId="15F42D62" w:rsidR="00954821" w:rsidRPr="00C3146C" w:rsidRDefault="00954821" w:rsidP="00E35DCC">
      <w:pPr>
        <w:spacing w:line="360" w:lineRule="auto"/>
        <w:ind w:firstLineChars="200" w:firstLine="480"/>
        <w:rPr>
          <w:rFonts w:ascii="黑体" w:eastAsia="黑体" w:hAnsi="黑体" w:cs="Times New Roman"/>
        </w:rPr>
      </w:pPr>
      <w:r w:rsidRPr="00C3146C">
        <w:rPr>
          <w:rFonts w:ascii="Times New Roman" w:hAnsi="Times New Roman" w:cs="Times New Roman" w:hint="eastAsia"/>
        </w:rPr>
        <w:t>从三类家庭的收支状况看，</w:t>
      </w:r>
      <w:r w:rsidRPr="00C3146C">
        <w:rPr>
          <w:rFonts w:ascii="黑体" w:eastAsia="黑体" w:hAnsi="黑体" w:cs="Times New Roman" w:hint="eastAsia"/>
        </w:rPr>
        <w:t>普通美国家庭保持收支平衡离不开三种外部力量：资产性收入、政府兜底和雇主提供的</w:t>
      </w:r>
      <w:r w:rsidR="00E02A5D">
        <w:rPr>
          <w:rFonts w:ascii="黑体" w:eastAsia="黑体" w:hAnsi="黑体" w:cs="Times New Roman" w:hint="eastAsia"/>
        </w:rPr>
        <w:t>团体</w:t>
      </w:r>
      <w:r w:rsidRPr="00C3146C">
        <w:rPr>
          <w:rFonts w:ascii="黑体" w:eastAsia="黑体" w:hAnsi="黑体" w:cs="Times New Roman" w:hint="eastAsia"/>
        </w:rPr>
        <w:t>医疗保险。</w:t>
      </w:r>
    </w:p>
    <w:p w14:paraId="1CE1A2A9" w14:textId="77777777" w:rsidR="00604E9E" w:rsidRPr="00C3146C" w:rsidRDefault="00604E9E" w:rsidP="00604E9E">
      <w:pPr>
        <w:spacing w:line="360" w:lineRule="auto"/>
        <w:rPr>
          <w:rFonts w:ascii="Times New Roman" w:hAnsi="Times New Roman" w:cs="Times New Roman"/>
        </w:rPr>
      </w:pPr>
    </w:p>
    <w:bookmarkEnd w:id="0"/>
    <w:bookmarkEnd w:id="1"/>
    <w:p w14:paraId="24CEA58F" w14:textId="5E359884" w:rsidR="00533B90" w:rsidRPr="00C3146C" w:rsidRDefault="00DB7C10" w:rsidP="00E35DCC">
      <w:pPr>
        <w:spacing w:line="360" w:lineRule="auto"/>
        <w:ind w:firstLineChars="200" w:firstLine="489"/>
        <w:rPr>
          <w:rFonts w:ascii="Times New Roman" w:hAnsi="Times New Roman" w:cs="Times New Roman"/>
          <w:b/>
          <w:bCs/>
        </w:rPr>
      </w:pPr>
      <w:r w:rsidRPr="00C3146C">
        <w:rPr>
          <w:rFonts w:ascii="Times New Roman" w:hAnsi="Times New Roman" w:cs="Times New Roman" w:hint="eastAsia"/>
          <w:b/>
          <w:bCs/>
        </w:rPr>
        <w:t>2.</w:t>
      </w:r>
      <w:r w:rsidR="00533B90" w:rsidRPr="00C3146C">
        <w:rPr>
          <w:rFonts w:ascii="Times New Roman" w:hAnsi="Times New Roman" w:cs="Times New Roman" w:hint="eastAsia"/>
          <w:b/>
          <w:bCs/>
        </w:rPr>
        <w:t>真实的企业</w:t>
      </w:r>
      <w:r w:rsidR="00991509" w:rsidRPr="00C3146C">
        <w:rPr>
          <w:rFonts w:ascii="Times New Roman" w:hAnsi="Times New Roman" w:cs="Times New Roman" w:hint="eastAsia"/>
          <w:b/>
          <w:bCs/>
        </w:rPr>
        <w:t>经营</w:t>
      </w:r>
      <w:r w:rsidR="00533B90" w:rsidRPr="00C3146C">
        <w:rPr>
          <w:rFonts w:ascii="Times New Roman" w:hAnsi="Times New Roman" w:cs="Times New Roman" w:hint="eastAsia"/>
          <w:b/>
          <w:bCs/>
        </w:rPr>
        <w:t>状况</w:t>
      </w:r>
    </w:p>
    <w:p w14:paraId="26B222B0" w14:textId="7DC026EC" w:rsidR="00533B90" w:rsidRPr="00C3146C" w:rsidRDefault="007347D2" w:rsidP="00E35DCC">
      <w:pPr>
        <w:spacing w:line="360" w:lineRule="auto"/>
        <w:ind w:firstLineChars="200" w:firstLine="480"/>
        <w:rPr>
          <w:rFonts w:ascii="Times New Roman" w:hAnsi="Times New Roman" w:cs="Times New Roman"/>
        </w:rPr>
      </w:pPr>
      <w:r w:rsidRPr="00C3146C">
        <w:rPr>
          <w:rFonts w:ascii="Times New Roman" w:hAnsi="Times New Roman" w:cs="Times New Roman" w:hint="eastAsia"/>
        </w:rPr>
        <w:t>相比家庭收支数据，国民经济账户</w:t>
      </w:r>
      <w:r w:rsidR="006A0148">
        <w:rPr>
          <w:rFonts w:ascii="Times New Roman" w:hAnsi="Times New Roman" w:cs="Times New Roman" w:hint="eastAsia"/>
        </w:rPr>
        <w:t>体系</w:t>
      </w:r>
      <w:r w:rsidR="00231E43" w:rsidRPr="00231E43">
        <w:rPr>
          <w:rFonts w:ascii="Times New Roman" w:hAnsi="Times New Roman" w:cs="Times New Roman" w:hint="eastAsia"/>
        </w:rPr>
        <w:t>反映</w:t>
      </w:r>
      <w:r w:rsidRPr="00C3146C">
        <w:rPr>
          <w:rFonts w:ascii="Times New Roman" w:hAnsi="Times New Roman" w:cs="Times New Roman" w:hint="eastAsia"/>
        </w:rPr>
        <w:t>的企业经营状况</w:t>
      </w:r>
      <w:r w:rsidR="00B12828" w:rsidRPr="00C3146C">
        <w:rPr>
          <w:rFonts w:ascii="Times New Roman" w:hAnsi="Times New Roman" w:cs="Times New Roman" w:hint="eastAsia"/>
        </w:rPr>
        <w:t>调整幅度较小</w:t>
      </w:r>
      <w:r w:rsidRPr="00C3146C">
        <w:rPr>
          <w:rFonts w:ascii="Times New Roman" w:hAnsi="Times New Roman" w:cs="Times New Roman" w:hint="eastAsia"/>
        </w:rPr>
        <w:t>，仅需</w:t>
      </w:r>
      <w:r>
        <w:rPr>
          <w:rFonts w:ascii="Times New Roman" w:hAnsi="Times New Roman" w:cs="Times New Roman" w:hint="eastAsia"/>
          <w:color w:val="000000"/>
        </w:rPr>
        <w:t>做如下</w:t>
      </w:r>
      <w:r>
        <w:rPr>
          <w:rFonts w:ascii="Times New Roman" w:hAnsi="Times New Roman" w:cs="Times New Roman" w:hint="eastAsia"/>
        </w:rPr>
        <w:t>调整：参照</w:t>
      </w:r>
      <w:r w:rsidRPr="00C3146C">
        <w:rPr>
          <w:rFonts w:ascii="Times New Roman" w:hAnsi="Times New Roman" w:cs="Times New Roman" w:hint="eastAsia"/>
        </w:rPr>
        <w:t>GAAP</w:t>
      </w:r>
      <w:r w:rsidRPr="00C3146C">
        <w:rPr>
          <w:rFonts w:ascii="Times New Roman" w:hAnsi="Times New Roman" w:cs="Times New Roman" w:hint="eastAsia"/>
        </w:rPr>
        <w:t>，以历史成本计算企业固定资产的折旧数据。</w:t>
      </w:r>
    </w:p>
    <w:p w14:paraId="1AE97535" w14:textId="033567DE" w:rsidR="00AD387F" w:rsidRPr="00C3146C" w:rsidRDefault="00D941B0" w:rsidP="00E35DCC">
      <w:pPr>
        <w:spacing w:line="360" w:lineRule="auto"/>
        <w:ind w:firstLineChars="200" w:firstLine="480"/>
        <w:rPr>
          <w:rFonts w:ascii="Times New Roman" w:hAnsi="Times New Roman" w:cs="Times New Roman"/>
        </w:rPr>
      </w:pPr>
      <w:r w:rsidRPr="00C3146C">
        <w:rPr>
          <w:rFonts w:ascii="Times New Roman" w:hAnsi="Times New Roman" w:cs="Times New Roman" w:hint="eastAsia"/>
        </w:rPr>
        <w:t>以美联储公布的国家资产负债表</w:t>
      </w:r>
      <w:r w:rsidR="00D22A8F">
        <w:rPr>
          <w:rFonts w:ascii="Times New Roman" w:hAnsi="Times New Roman" w:cs="Times New Roman" w:hint="eastAsia"/>
        </w:rPr>
        <w:t>（</w:t>
      </w:r>
      <w:r w:rsidR="00D22A8F">
        <w:rPr>
          <w:rFonts w:ascii="Times New Roman" w:hAnsi="Times New Roman" w:cs="Times New Roman" w:hint="eastAsia"/>
        </w:rPr>
        <w:t>Z.1</w:t>
      </w:r>
      <w:r w:rsidR="00D22A8F">
        <w:rPr>
          <w:rFonts w:ascii="Times New Roman" w:hAnsi="Times New Roman" w:cs="Times New Roman" w:hint="eastAsia"/>
        </w:rPr>
        <w:t>）</w:t>
      </w:r>
      <w:r w:rsidR="00F62067" w:rsidRPr="00C3146C">
        <w:rPr>
          <w:rStyle w:val="a5"/>
          <w:rFonts w:ascii="Times New Roman" w:hAnsi="Times New Roman" w:cs="Times New Roman"/>
        </w:rPr>
        <w:footnoteReference w:id="12"/>
      </w:r>
      <w:r w:rsidRPr="00C3146C">
        <w:rPr>
          <w:rFonts w:ascii="Times New Roman" w:hAnsi="Times New Roman" w:cs="Times New Roman" w:hint="eastAsia"/>
        </w:rPr>
        <w:t>为参照，可以复原美国私营企业部门的实际折旧数据。美联储按</w:t>
      </w:r>
      <w:r w:rsidR="00760A59" w:rsidRPr="00C3146C">
        <w:rPr>
          <w:rFonts w:ascii="Times New Roman" w:hAnsi="Times New Roman" w:cs="Times New Roman" w:hint="eastAsia"/>
        </w:rPr>
        <w:t>季度</w:t>
      </w:r>
      <w:r w:rsidRPr="00C3146C">
        <w:rPr>
          <w:rFonts w:ascii="Times New Roman" w:hAnsi="Times New Roman" w:cs="Times New Roman" w:hint="eastAsia"/>
        </w:rPr>
        <w:t>公布非金融公司、非金融非法人组织的资产负债表情况，其中</w:t>
      </w:r>
      <w:r w:rsidR="001F2B93">
        <w:rPr>
          <w:rFonts w:ascii="Times New Roman" w:hAnsi="Times New Roman" w:cs="Times New Roman" w:hint="eastAsia"/>
        </w:rPr>
        <w:t>，</w:t>
      </w:r>
      <w:r w:rsidRPr="00C3146C">
        <w:rPr>
          <w:rFonts w:ascii="Times New Roman" w:hAnsi="Times New Roman" w:cs="Times New Roman" w:hint="eastAsia"/>
        </w:rPr>
        <w:t>非金融公司资产负债表公布了厂房、设备和知识产权等固定、无形资产的市价</w:t>
      </w:r>
      <w:r w:rsidRPr="00C3146C">
        <w:rPr>
          <w:rFonts w:ascii="Times New Roman" w:hAnsi="Times New Roman" w:cs="Times New Roman" w:hint="eastAsia"/>
        </w:rPr>
        <w:t>-</w:t>
      </w:r>
      <w:r w:rsidRPr="00C3146C">
        <w:rPr>
          <w:rFonts w:ascii="Times New Roman" w:hAnsi="Times New Roman" w:cs="Times New Roman" w:hint="eastAsia"/>
        </w:rPr>
        <w:t>历史成本对照，以此为参照，可对</w:t>
      </w:r>
      <w:r w:rsidRPr="00C3146C">
        <w:rPr>
          <w:rFonts w:ascii="Times New Roman" w:hAnsi="Times New Roman" w:cs="Times New Roman" w:hint="eastAsia"/>
        </w:rPr>
        <w:t>BEA</w:t>
      </w:r>
      <w:r w:rsidRPr="00C3146C">
        <w:rPr>
          <w:rFonts w:ascii="Times New Roman" w:hAnsi="Times New Roman" w:cs="Times New Roman" w:hint="eastAsia"/>
        </w:rPr>
        <w:t>公布的年度折旧数据复原，复原公式如下：</w:t>
      </w:r>
    </w:p>
    <w:p w14:paraId="09423FBC" w14:textId="1FB2976D" w:rsidR="00D941B0" w:rsidRPr="00556459" w:rsidRDefault="00D941B0" w:rsidP="00E35DCC">
      <w:pPr>
        <w:spacing w:line="360" w:lineRule="auto"/>
        <w:ind w:firstLineChars="200" w:firstLine="480"/>
        <w:rPr>
          <w:rFonts w:ascii="Times New Roman" w:hAnsi="Times New Roman" w:cs="Times New Roman"/>
        </w:rPr>
      </w:pPr>
      <w:r w:rsidRPr="00556459">
        <w:rPr>
          <w:rFonts w:ascii="Times New Roman" w:hAnsi="Times New Roman" w:cs="Times New Roman" w:hint="eastAsia"/>
        </w:rPr>
        <w:t>实际折旧</w:t>
      </w:r>
      <w:r w:rsidRPr="00556459">
        <w:rPr>
          <w:rFonts w:ascii="Times New Roman" w:hAnsi="Times New Roman" w:cs="Times New Roman" w:hint="eastAsia"/>
        </w:rPr>
        <w:t>=</w:t>
      </w:r>
      <w:r w:rsidRPr="00556459">
        <w:rPr>
          <w:rFonts w:ascii="Times New Roman" w:hAnsi="Times New Roman" w:cs="Times New Roman" w:hint="eastAsia"/>
          <w:color w:val="000000"/>
        </w:rPr>
        <w:t>市价</w:t>
      </w:r>
      <w:r w:rsidRPr="00556459">
        <w:rPr>
          <w:rFonts w:ascii="Times New Roman" w:hAnsi="Times New Roman" w:cs="Times New Roman" w:hint="eastAsia"/>
        </w:rPr>
        <w:t>折旧</w:t>
      </w:r>
      <w:r w:rsidR="001F2B93" w:rsidRPr="00556459">
        <w:rPr>
          <w:rFonts w:cs="Times New Roman" w:hint="eastAsia"/>
        </w:rPr>
        <w:t>×</w:t>
      </w:r>
      <w:r w:rsidRPr="00556459">
        <w:rPr>
          <w:rFonts w:ascii="Times New Roman" w:hAnsi="Times New Roman" w:cs="Times New Roman" w:hint="eastAsia"/>
        </w:rPr>
        <w:t>复原系数γ</w:t>
      </w:r>
    </w:p>
    <w:p w14:paraId="4D93BBBB" w14:textId="77777777" w:rsidR="00D941B0" w:rsidRPr="00556459" w:rsidRDefault="00D941B0" w:rsidP="00E35DCC">
      <w:pPr>
        <w:spacing w:line="360" w:lineRule="auto"/>
        <w:ind w:firstLineChars="200" w:firstLine="480"/>
        <w:rPr>
          <w:rFonts w:ascii="Times New Roman" w:hAnsi="Times New Roman" w:cs="Times New Roman"/>
        </w:rPr>
      </w:pPr>
      <w:r w:rsidRPr="00556459">
        <w:rPr>
          <w:rFonts w:ascii="Times New Roman" w:hAnsi="Times New Roman" w:cs="Times New Roman" w:hint="eastAsia"/>
        </w:rPr>
        <w:t>γ</w:t>
      </w:r>
      <w:r w:rsidRPr="00556459">
        <w:rPr>
          <w:rFonts w:ascii="Times New Roman" w:hAnsi="Times New Roman" w:cs="Times New Roman" w:hint="eastAsia"/>
        </w:rPr>
        <w:t>=</w:t>
      </w:r>
      <w:r w:rsidRPr="00556459">
        <w:rPr>
          <w:rFonts w:ascii="Times New Roman" w:hAnsi="Times New Roman" w:cs="Times New Roman" w:hint="eastAsia"/>
        </w:rPr>
        <w:t>历史成本计价的非存货非金融资产</w:t>
      </w:r>
      <w:r w:rsidRPr="00556459">
        <w:rPr>
          <w:rFonts w:ascii="Times New Roman" w:hAnsi="Times New Roman" w:cs="Times New Roman" w:hint="eastAsia"/>
        </w:rPr>
        <w:t>/</w:t>
      </w:r>
      <w:r w:rsidRPr="00556459">
        <w:rPr>
          <w:rFonts w:ascii="Times New Roman" w:hAnsi="Times New Roman" w:cs="Times New Roman" w:hint="eastAsia"/>
        </w:rPr>
        <w:t>非存货非金融资产市价</w:t>
      </w:r>
    </w:p>
    <w:p w14:paraId="3795C3C2" w14:textId="5B9EC6EE" w:rsidR="00A05E53" w:rsidRDefault="00A368E2" w:rsidP="00E35DCC">
      <w:pPr>
        <w:spacing w:line="360" w:lineRule="auto"/>
        <w:ind w:firstLineChars="200" w:firstLine="480"/>
        <w:rPr>
          <w:rFonts w:ascii="Times New Roman" w:hAnsi="Times New Roman" w:cs="Times New Roman"/>
        </w:rPr>
      </w:pPr>
      <w:r w:rsidRPr="00556459">
        <w:rPr>
          <w:rFonts w:ascii="Times New Roman" w:hAnsi="Times New Roman" w:cs="Times New Roman" w:hint="eastAsia"/>
        </w:rPr>
        <w:t>调整前，依据</w:t>
      </w:r>
      <w:r w:rsidRPr="00556459">
        <w:rPr>
          <w:rFonts w:ascii="Times New Roman" w:hAnsi="Times New Roman" w:cs="Times New Roman" w:hint="eastAsia"/>
        </w:rPr>
        <w:t>BEA</w:t>
      </w:r>
      <w:r w:rsidRPr="00556459">
        <w:rPr>
          <w:rFonts w:ascii="Times New Roman" w:hAnsi="Times New Roman" w:cs="Times New Roman" w:hint="eastAsia"/>
        </w:rPr>
        <w:t>公布的市价固定资产投资数据估算，</w:t>
      </w:r>
      <w:r w:rsidRPr="00556459">
        <w:rPr>
          <w:rFonts w:ascii="Times New Roman" w:hAnsi="Times New Roman" w:cs="Times New Roman" w:hint="eastAsia"/>
        </w:rPr>
        <w:t>1929</w:t>
      </w:r>
      <w:r w:rsidR="001F2B93" w:rsidRPr="00556459">
        <w:rPr>
          <w:rFonts w:ascii="Times New Roman" w:hAnsi="Times New Roman" w:cs="Times New Roman" w:hint="eastAsia"/>
        </w:rPr>
        <w:t>—</w:t>
      </w:r>
      <w:r w:rsidR="001F2B93" w:rsidRPr="00556459">
        <w:rPr>
          <w:rFonts w:ascii="Times New Roman" w:hAnsi="Times New Roman" w:cs="Times New Roman"/>
        </w:rPr>
        <w:t>2024</w:t>
      </w:r>
      <w:r w:rsidR="001F2B93" w:rsidRPr="00556459">
        <w:rPr>
          <w:rFonts w:ascii="Times New Roman" w:hAnsi="Times New Roman" w:cs="Times New Roman" w:hint="eastAsia"/>
        </w:rPr>
        <w:t>年，</w:t>
      </w:r>
      <w:r w:rsidRPr="00556459">
        <w:rPr>
          <w:rFonts w:ascii="Times New Roman" w:hAnsi="Times New Roman" w:cs="Times New Roman" w:hint="eastAsia"/>
        </w:rPr>
        <w:t>美国私营部门累计完成固定资产投资</w:t>
      </w:r>
      <w:r w:rsidRPr="00556459">
        <w:rPr>
          <w:rFonts w:ascii="Times New Roman" w:hAnsi="Times New Roman" w:cs="Times New Roman" w:hint="eastAsia"/>
        </w:rPr>
        <w:t>72</w:t>
      </w:r>
      <w:r w:rsidRPr="00556459">
        <w:rPr>
          <w:rFonts w:ascii="Times New Roman" w:hAnsi="Times New Roman" w:cs="Times New Roman" w:hint="eastAsia"/>
        </w:rPr>
        <w:t>万亿</w:t>
      </w:r>
      <w:r w:rsidR="0090418D" w:rsidRPr="00556459">
        <w:rPr>
          <w:rFonts w:ascii="Times New Roman" w:hAnsi="Times New Roman" w:cs="Times New Roman" w:hint="eastAsia"/>
        </w:rPr>
        <w:t>美元</w:t>
      </w:r>
      <w:r w:rsidRPr="00556459">
        <w:rPr>
          <w:rFonts w:ascii="Times New Roman" w:hAnsi="Times New Roman" w:cs="Times New Roman" w:hint="eastAsia"/>
        </w:rPr>
        <w:t>，其中非金融公司和非金融非法人组织中非居民固定资产的市场价值为</w:t>
      </w:r>
      <w:r w:rsidRPr="00556459">
        <w:rPr>
          <w:rFonts w:ascii="Times New Roman" w:hAnsi="Times New Roman" w:cs="Times New Roman" w:hint="eastAsia"/>
        </w:rPr>
        <w:t>38.3</w:t>
      </w:r>
      <w:r w:rsidRPr="00556459">
        <w:rPr>
          <w:rFonts w:ascii="Times New Roman" w:hAnsi="Times New Roman" w:cs="Times New Roman" w:hint="eastAsia"/>
        </w:rPr>
        <w:t>万亿</w:t>
      </w:r>
      <w:r w:rsidR="0090418D" w:rsidRPr="00556459">
        <w:rPr>
          <w:rFonts w:ascii="Times New Roman" w:hAnsi="Times New Roman" w:cs="Times New Roman" w:hint="eastAsia"/>
        </w:rPr>
        <w:t>美元</w:t>
      </w:r>
      <w:r w:rsidRPr="00556459">
        <w:rPr>
          <w:rFonts w:ascii="Times New Roman" w:hAnsi="Times New Roman" w:cs="Times New Roman" w:hint="eastAsia"/>
        </w:rPr>
        <w:t>，参照历史成本调整后的账面价值为</w:t>
      </w:r>
      <w:r w:rsidRPr="00556459">
        <w:rPr>
          <w:rFonts w:ascii="Times New Roman" w:hAnsi="Times New Roman" w:cs="Times New Roman" w:hint="eastAsia"/>
        </w:rPr>
        <w:t>22.1</w:t>
      </w:r>
      <w:r w:rsidRPr="00556459">
        <w:rPr>
          <w:rFonts w:ascii="Times New Roman" w:hAnsi="Times New Roman" w:cs="Times New Roman" w:hint="eastAsia"/>
        </w:rPr>
        <w:t>万亿</w:t>
      </w:r>
      <w:r w:rsidR="0090418D" w:rsidRPr="00556459">
        <w:rPr>
          <w:rFonts w:ascii="Times New Roman" w:hAnsi="Times New Roman" w:cs="Times New Roman" w:hint="eastAsia"/>
        </w:rPr>
        <w:t>美元</w:t>
      </w:r>
      <w:r w:rsidR="00751291" w:rsidRPr="00556459">
        <w:rPr>
          <w:rFonts w:ascii="Times New Roman" w:hAnsi="Times New Roman" w:cs="Times New Roman" w:hint="eastAsia"/>
        </w:rPr>
        <w:t>。</w:t>
      </w:r>
      <w:r w:rsidR="00751291" w:rsidRPr="00556459">
        <w:rPr>
          <w:rFonts w:ascii="Times New Roman" w:hAnsi="Times New Roman" w:cs="Times New Roman" w:hint="eastAsia"/>
        </w:rPr>
        <w:t>1929</w:t>
      </w:r>
      <w:r w:rsidR="00751291" w:rsidRPr="00556459">
        <w:rPr>
          <w:rFonts w:ascii="Times New Roman" w:hAnsi="Times New Roman" w:cs="Times New Roman" w:hint="eastAsia"/>
        </w:rPr>
        <w:t>—</w:t>
      </w:r>
      <w:r w:rsidR="00751291" w:rsidRPr="00556459">
        <w:rPr>
          <w:rFonts w:ascii="Times New Roman" w:hAnsi="Times New Roman" w:cs="Times New Roman"/>
        </w:rPr>
        <w:t>2024</w:t>
      </w:r>
      <w:r w:rsidR="00751291" w:rsidRPr="00556459">
        <w:rPr>
          <w:rFonts w:ascii="Times New Roman" w:hAnsi="Times New Roman" w:cs="Times New Roman" w:hint="eastAsia"/>
        </w:rPr>
        <w:t>年，</w:t>
      </w:r>
      <w:r w:rsidRPr="00556459">
        <w:rPr>
          <w:rFonts w:ascii="Times New Roman" w:hAnsi="Times New Roman" w:cs="Times New Roman" w:hint="eastAsia"/>
        </w:rPr>
        <w:t>累计折旧的账面</w:t>
      </w:r>
      <w:r w:rsidRPr="00C3146C">
        <w:rPr>
          <w:rFonts w:ascii="Times New Roman" w:hAnsi="Times New Roman" w:cs="Times New Roman" w:hint="eastAsia"/>
        </w:rPr>
        <w:t>价值</w:t>
      </w:r>
      <w:r w:rsidRPr="00C3146C">
        <w:rPr>
          <w:rFonts w:ascii="Times New Roman" w:hAnsi="Times New Roman" w:cs="Times New Roman" w:hint="eastAsia"/>
        </w:rPr>
        <w:t>32.2</w:t>
      </w:r>
      <w:r w:rsidRPr="00C3146C">
        <w:rPr>
          <w:rFonts w:ascii="Times New Roman" w:hAnsi="Times New Roman" w:cs="Times New Roman" w:hint="eastAsia"/>
        </w:rPr>
        <w:t>万亿</w:t>
      </w:r>
      <w:r w:rsidR="0090418D">
        <w:rPr>
          <w:rFonts w:ascii="Times New Roman" w:hAnsi="Times New Roman" w:cs="Times New Roman" w:hint="eastAsia"/>
        </w:rPr>
        <w:lastRenderedPageBreak/>
        <w:t>美元</w:t>
      </w:r>
      <w:r w:rsidRPr="00C3146C">
        <w:rPr>
          <w:rFonts w:ascii="Times New Roman" w:hAnsi="Times New Roman" w:cs="Times New Roman" w:hint="eastAsia"/>
        </w:rPr>
        <w:t>，</w:t>
      </w:r>
      <w:r w:rsidR="00DD370E" w:rsidRPr="00C3146C">
        <w:rPr>
          <w:rFonts w:ascii="Times New Roman" w:hAnsi="Times New Roman" w:cs="Times New Roman" w:hint="eastAsia"/>
        </w:rPr>
        <w:t>考虑到资产减值损失的可能性</w:t>
      </w:r>
      <w:r w:rsidR="0090418D">
        <w:rPr>
          <w:rFonts w:ascii="Times New Roman" w:hAnsi="Times New Roman" w:cs="Times New Roman" w:hint="eastAsia"/>
        </w:rPr>
        <w:t>且</w:t>
      </w:r>
      <w:r w:rsidR="0090418D" w:rsidRPr="0090418D">
        <w:rPr>
          <w:rFonts w:ascii="Times New Roman" w:hAnsi="Times New Roman" w:cs="Times New Roman" w:hint="eastAsia"/>
        </w:rPr>
        <w:t>无形资产减值的风险明显高于有形资产</w:t>
      </w:r>
      <w:r w:rsidR="0090418D">
        <w:rPr>
          <w:rFonts w:ascii="Times New Roman" w:hAnsi="Times New Roman" w:cs="Times New Roman" w:hint="eastAsia"/>
        </w:rPr>
        <w:t>，以及</w:t>
      </w:r>
      <w:r w:rsidR="00DD370E" w:rsidRPr="00C3146C">
        <w:rPr>
          <w:rFonts w:ascii="Times New Roman" w:hAnsi="Times New Roman" w:cs="Times New Roman" w:hint="eastAsia"/>
        </w:rPr>
        <w:t>其他私营部门</w:t>
      </w:r>
      <w:r w:rsidR="0090418D">
        <w:rPr>
          <w:rFonts w:ascii="Times New Roman" w:hAnsi="Times New Roman" w:cs="Times New Roman" w:hint="eastAsia"/>
        </w:rPr>
        <w:t>的</w:t>
      </w:r>
      <w:r w:rsidR="00DD370E" w:rsidRPr="00C3146C">
        <w:rPr>
          <w:rFonts w:ascii="Times New Roman" w:hAnsi="Times New Roman" w:cs="Times New Roman" w:hint="eastAsia"/>
        </w:rPr>
        <w:t>固定资产存量，参照历史成本调整后的固定资产折旧数据基本属实</w:t>
      </w:r>
      <w:r w:rsidR="004475EE" w:rsidRPr="00C3146C">
        <w:rPr>
          <w:rFonts w:ascii="Times New Roman" w:hAnsi="Times New Roman" w:cs="Times New Roman" w:hint="eastAsia"/>
        </w:rPr>
        <w:t>，但不排除适当误差。</w:t>
      </w:r>
    </w:p>
    <w:p w14:paraId="4C9206D1" w14:textId="1530E98D" w:rsidR="001F2B93" w:rsidRPr="00C3146C" w:rsidRDefault="001F2B93" w:rsidP="00E35DCC">
      <w:pPr>
        <w:spacing w:line="360" w:lineRule="auto"/>
        <w:ind w:firstLineChars="200" w:firstLine="480"/>
        <w:rPr>
          <w:rFonts w:ascii="Times New Roman" w:hAnsi="Times New Roman" w:cs="Times New Roman"/>
        </w:rPr>
      </w:pPr>
      <w:r>
        <w:rPr>
          <w:rFonts w:ascii="Times New Roman" w:hAnsi="Times New Roman" w:cs="Times New Roman" w:hint="eastAsia"/>
        </w:rPr>
        <w:t>经调整（</w:t>
      </w:r>
      <w:r w:rsidR="0090418D">
        <w:rPr>
          <w:rFonts w:ascii="Times New Roman" w:hAnsi="Times New Roman" w:cs="Times New Roman" w:hint="eastAsia"/>
        </w:rPr>
        <w:t>见</w:t>
      </w:r>
      <w:r>
        <w:rPr>
          <w:rFonts w:ascii="Times New Roman" w:hAnsi="Times New Roman" w:cs="Times New Roman" w:hint="eastAsia"/>
        </w:rPr>
        <w:t>图</w:t>
      </w:r>
      <w:r>
        <w:rPr>
          <w:rFonts w:ascii="Times New Roman" w:hAnsi="Times New Roman" w:cs="Times New Roman" w:hint="eastAsia"/>
        </w:rPr>
        <w:t>3</w:t>
      </w:r>
      <w:r>
        <w:rPr>
          <w:rFonts w:ascii="Times New Roman" w:hAnsi="Times New Roman" w:cs="Times New Roman" w:hint="eastAsia"/>
        </w:rPr>
        <w:t>）</w:t>
      </w:r>
      <w:r w:rsidRPr="00C3146C">
        <w:rPr>
          <w:rFonts w:ascii="Times New Roman" w:hAnsi="Times New Roman" w:cs="Times New Roman" w:hint="eastAsia"/>
        </w:rPr>
        <w:t>，美国私营部门投资呈现了明显的加速周转现象。里根执政前，美国私营部门的实体性生产资产快速扩张，</w:t>
      </w:r>
      <w:r w:rsidRPr="00C3146C">
        <w:rPr>
          <w:rFonts w:ascii="Times New Roman" w:hAnsi="Times New Roman" w:cs="Times New Roman" w:hint="eastAsia"/>
        </w:rPr>
        <w:t>1950</w:t>
      </w:r>
      <w:r>
        <w:rPr>
          <w:rFonts w:ascii="Times New Roman" w:hAnsi="Times New Roman" w:cs="Times New Roman" w:hint="eastAsia"/>
        </w:rPr>
        <w:t>—</w:t>
      </w:r>
      <w:r w:rsidRPr="00C3146C">
        <w:rPr>
          <w:rFonts w:ascii="Times New Roman" w:hAnsi="Times New Roman" w:cs="Times New Roman" w:hint="eastAsia"/>
        </w:rPr>
        <w:t>1980</w:t>
      </w:r>
      <w:r w:rsidRPr="00C3146C">
        <w:rPr>
          <w:rFonts w:ascii="Times New Roman" w:hAnsi="Times New Roman" w:cs="Times New Roman" w:hint="eastAsia"/>
        </w:rPr>
        <w:t>年</w:t>
      </w:r>
      <w:r>
        <w:rPr>
          <w:rFonts w:ascii="Times New Roman" w:hAnsi="Times New Roman" w:cs="Times New Roman" w:hint="eastAsia"/>
        </w:rPr>
        <w:t>，</w:t>
      </w:r>
      <w:r w:rsidRPr="00C3146C">
        <w:rPr>
          <w:rFonts w:ascii="Times New Roman" w:hAnsi="Times New Roman" w:cs="Times New Roman" w:hint="eastAsia"/>
        </w:rPr>
        <w:t>美国私营部门厂房、设备保持了高速增长，无形资产增速相对缓慢，这种投资格局使得美国私营部门折旧保持了平稳的高速增长态势，折旧对</w:t>
      </w:r>
      <w:r w:rsidRPr="00C3146C">
        <w:rPr>
          <w:rFonts w:ascii="Times New Roman" w:hAnsi="Times New Roman" w:cs="Times New Roman" w:hint="eastAsia"/>
        </w:rPr>
        <w:t>GDI</w:t>
      </w:r>
      <w:r w:rsidRPr="00C3146C">
        <w:rPr>
          <w:rFonts w:ascii="Times New Roman" w:hAnsi="Times New Roman" w:cs="Times New Roman" w:hint="eastAsia"/>
        </w:rPr>
        <w:t>的平均贡献率稳定在</w:t>
      </w:r>
      <w:r w:rsidRPr="00C3146C">
        <w:rPr>
          <w:rFonts w:ascii="Times New Roman" w:hAnsi="Times New Roman" w:cs="Times New Roman" w:hint="eastAsia"/>
        </w:rPr>
        <w:t>12%</w:t>
      </w:r>
      <w:r w:rsidRPr="00C3146C">
        <w:rPr>
          <w:rFonts w:ascii="Times New Roman" w:hAnsi="Times New Roman" w:cs="Times New Roman" w:hint="eastAsia"/>
        </w:rPr>
        <w:t>以上，这是美国战后“黄金二十年”增长的重要支撑之一。里根执政后，私营部门生产性资产投资由设备过渡至无形资产，实体资产扩张增速放缓，致使折旧年均增长率降低到</w:t>
      </w:r>
      <w:r w:rsidRPr="00C3146C">
        <w:rPr>
          <w:rFonts w:ascii="Times New Roman" w:hAnsi="Times New Roman" w:cs="Times New Roman" w:hint="eastAsia"/>
        </w:rPr>
        <w:t>5%</w:t>
      </w:r>
      <w:r w:rsidRPr="00C3146C">
        <w:rPr>
          <w:rFonts w:ascii="Times New Roman" w:hAnsi="Times New Roman" w:cs="Times New Roman" w:hint="eastAsia"/>
        </w:rPr>
        <w:t>，对</w:t>
      </w:r>
      <w:r w:rsidRPr="00C3146C">
        <w:rPr>
          <w:rFonts w:ascii="Times New Roman" w:hAnsi="Times New Roman" w:cs="Times New Roman" w:hint="eastAsia"/>
        </w:rPr>
        <w:t>GDI</w:t>
      </w:r>
      <w:r w:rsidRPr="00C3146C">
        <w:rPr>
          <w:rFonts w:ascii="Times New Roman" w:hAnsi="Times New Roman" w:cs="Times New Roman" w:hint="eastAsia"/>
        </w:rPr>
        <w:t>的平均贡献率降至</w:t>
      </w:r>
      <w:r w:rsidRPr="00C3146C">
        <w:rPr>
          <w:rFonts w:ascii="Times New Roman" w:hAnsi="Times New Roman" w:cs="Times New Roman" w:hint="eastAsia"/>
        </w:rPr>
        <w:t>10%</w:t>
      </w:r>
      <w:r w:rsidRPr="00C3146C">
        <w:rPr>
          <w:rFonts w:ascii="Times New Roman" w:hAnsi="Times New Roman" w:cs="Times New Roman" w:hint="eastAsia"/>
        </w:rPr>
        <w:t>。资产投资标的转换导致私营部门呈现了加速折旧趋势，资产折旧年限从战后初期的</w:t>
      </w:r>
      <w:r w:rsidRPr="00C3146C">
        <w:rPr>
          <w:rFonts w:ascii="Times New Roman" w:hAnsi="Times New Roman" w:cs="Times New Roman" w:hint="eastAsia"/>
        </w:rPr>
        <w:t>27</w:t>
      </w:r>
      <w:r w:rsidRPr="00C3146C">
        <w:rPr>
          <w:rFonts w:ascii="Times New Roman" w:hAnsi="Times New Roman" w:cs="Times New Roman" w:hint="eastAsia"/>
        </w:rPr>
        <w:t>年左右降低至</w:t>
      </w:r>
      <w:r w:rsidRPr="00C3146C">
        <w:rPr>
          <w:rFonts w:ascii="Times New Roman" w:hAnsi="Times New Roman" w:cs="Times New Roman" w:hint="eastAsia"/>
        </w:rPr>
        <w:t>12</w:t>
      </w:r>
      <w:r w:rsidRPr="00C3146C">
        <w:rPr>
          <w:rFonts w:ascii="Times New Roman" w:hAnsi="Times New Roman" w:cs="Times New Roman" w:hint="eastAsia"/>
        </w:rPr>
        <w:t>年左右。投资结构转换与资产折旧年限降低表明，美国私营部门企业更加注重现金流的快速周转。与此同时，融资主体呈现结构性转换，里根执政以来，非金融公司负债率持续下降、非金融非法人组织负债率快速攀升，</w:t>
      </w:r>
      <w:r w:rsidRPr="008F2354">
        <w:rPr>
          <w:rFonts w:ascii="Times New Roman" w:hAnsi="Times New Roman" w:cs="Times New Roman"/>
        </w:rPr>
        <w:t>1980</w:t>
      </w:r>
      <w:r w:rsidRPr="008F2354">
        <w:rPr>
          <w:rFonts w:ascii="Times New Roman" w:hAnsi="Times New Roman" w:cs="Times New Roman" w:hint="eastAsia"/>
        </w:rPr>
        <w:t>年非金融非法人组织负债率为</w:t>
      </w:r>
      <w:r w:rsidRPr="008F2354">
        <w:rPr>
          <w:rFonts w:ascii="Times New Roman" w:hAnsi="Times New Roman" w:cs="Times New Roman"/>
        </w:rPr>
        <w:t>23.</w:t>
      </w:r>
      <w:r w:rsidR="00751291" w:rsidRPr="008F2354">
        <w:rPr>
          <w:rFonts w:ascii="Times New Roman" w:hAnsi="Times New Roman" w:cs="Times New Roman" w:hint="eastAsia"/>
        </w:rPr>
        <w:t>5</w:t>
      </w:r>
      <w:r w:rsidRPr="008F2354">
        <w:rPr>
          <w:rFonts w:ascii="Times New Roman" w:hAnsi="Times New Roman" w:cs="Times New Roman"/>
        </w:rPr>
        <w:t>%</w:t>
      </w:r>
      <w:r w:rsidRPr="008F2354">
        <w:rPr>
          <w:rFonts w:ascii="Times New Roman" w:hAnsi="Times New Roman" w:cs="Times New Roman" w:hint="eastAsia"/>
        </w:rPr>
        <w:t>、</w:t>
      </w:r>
      <w:r w:rsidRPr="008F2354">
        <w:rPr>
          <w:rFonts w:ascii="Times New Roman" w:hAnsi="Times New Roman" w:cs="Times New Roman"/>
        </w:rPr>
        <w:t>2024</w:t>
      </w:r>
      <w:r w:rsidRPr="008F2354">
        <w:rPr>
          <w:rFonts w:ascii="Times New Roman" w:hAnsi="Times New Roman" w:cs="Times New Roman" w:hint="eastAsia"/>
        </w:rPr>
        <w:t>年二季度升至</w:t>
      </w:r>
      <w:r w:rsidRPr="008F2354">
        <w:rPr>
          <w:rFonts w:ascii="Times New Roman" w:hAnsi="Times New Roman" w:cs="Times New Roman"/>
        </w:rPr>
        <w:t>42.5%</w:t>
      </w:r>
      <w:r w:rsidR="00C533F6" w:rsidRPr="008F2354">
        <w:rPr>
          <w:rStyle w:val="a5"/>
          <w:rFonts w:ascii="Times New Roman" w:hAnsi="Times New Roman" w:cs="Times New Roman"/>
        </w:rPr>
        <w:footnoteReference w:id="13"/>
      </w:r>
      <w:r w:rsidRPr="008F2354">
        <w:rPr>
          <w:rFonts w:ascii="Times New Roman" w:hAnsi="Times New Roman" w:cs="Times New Roman" w:hint="eastAsia"/>
        </w:rPr>
        <w:t>。</w:t>
      </w:r>
    </w:p>
    <w:p w14:paraId="65674668" w14:textId="126319BF" w:rsidR="000C65F0" w:rsidRDefault="000C65F0" w:rsidP="000C65F0">
      <w:pPr>
        <w:spacing w:line="360" w:lineRule="auto"/>
        <w:rPr>
          <w:rFonts w:ascii="Times New Roman" w:hAnsi="Times New Roman" w:cs="Times New Roman"/>
        </w:rPr>
      </w:pPr>
    </w:p>
    <w:p w14:paraId="6239E782" w14:textId="25EE2D04" w:rsidR="003D2D0E" w:rsidRPr="00C3146C" w:rsidRDefault="003D2D0E" w:rsidP="000C65F0">
      <w:pPr>
        <w:spacing w:line="360" w:lineRule="auto"/>
        <w:rPr>
          <w:rFonts w:ascii="Times New Roman" w:hAnsi="Times New Roman" w:cs="Times New Roman"/>
        </w:rPr>
      </w:pPr>
      <w:r>
        <w:rPr>
          <w:noProof/>
          <w14:ligatures w14:val="standardContextual"/>
        </w:rPr>
        <w:drawing>
          <wp:inline distT="0" distB="0" distL="0" distR="0" wp14:anchorId="3D41BB0F" wp14:editId="62150331">
            <wp:extent cx="5238044" cy="2743200"/>
            <wp:effectExtent l="0" t="0" r="7620" b="12700"/>
            <wp:docPr id="432298863" name="图表 1">
              <a:extLst xmlns:a="http://schemas.openxmlformats.org/drawingml/2006/main">
                <a:ext uri="{FF2B5EF4-FFF2-40B4-BE49-F238E27FC236}">
                  <a16:creationId xmlns:a16="http://schemas.microsoft.com/office/drawing/2014/main" id="{10F999A3-9C70-105D-6759-D76679D2F3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E0CE84D" w14:textId="1D4E1ADA" w:rsidR="00604E9E" w:rsidRPr="00C3146C" w:rsidRDefault="00604E9E" w:rsidP="00604E9E">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3 </w:t>
      </w:r>
      <w:r w:rsidRPr="00C3146C">
        <w:rPr>
          <w:rFonts w:ascii="Times New Roman" w:hAnsi="Times New Roman" w:cs="Times New Roman" w:hint="eastAsia"/>
        </w:rPr>
        <w:t>美国私营部门实际折旧情况</w:t>
      </w:r>
    </w:p>
    <w:p w14:paraId="4604E7A9" w14:textId="7A134888" w:rsidR="005A0F20" w:rsidRPr="00BF1FE6" w:rsidRDefault="004475EE" w:rsidP="0019626F">
      <w:pPr>
        <w:rPr>
          <w:rFonts w:ascii="Times New Roman" w:hAnsi="Times New Roman" w:cs="Times New Roman"/>
          <w:sz w:val="21"/>
          <w:szCs w:val="21"/>
        </w:rPr>
      </w:pPr>
      <w:r w:rsidRPr="00BF1FE6">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0019626F" w:rsidRPr="00BF1FE6">
        <w:rPr>
          <w:rFonts w:ascii="Times New Roman" w:hAnsi="Times New Roman" w:cs="Times New Roman"/>
          <w:sz w:val="21"/>
          <w:szCs w:val="21"/>
        </w:rPr>
        <w:t xml:space="preserve">, </w:t>
      </w:r>
      <w:r w:rsidR="0019626F" w:rsidRPr="001F2B93">
        <w:rPr>
          <w:rFonts w:ascii="Times New Roman" w:hAnsi="Times New Roman" w:cs="Times New Roman"/>
          <w:sz w:val="21"/>
          <w:szCs w:val="21"/>
        </w:rPr>
        <w:t>"</w:t>
      </w:r>
      <w:r w:rsidR="0019626F" w:rsidRPr="00BE517C">
        <w:rPr>
          <w:rFonts w:ascii="Times New Roman" w:hAnsi="Times New Roman" w:cs="Times New Roman"/>
          <w:iCs/>
          <w:sz w:val="21"/>
          <w:szCs w:val="21"/>
        </w:rPr>
        <w:t>Table 1.10. Gross Domestic Income by Type of Income"</w:t>
      </w:r>
      <w:r>
        <w:rPr>
          <w:rFonts w:ascii="Times New Roman" w:hAnsi="Times New Roman" w:cs="Times New Roman" w:hint="eastAsia"/>
          <w:sz w:val="21"/>
          <w:szCs w:val="21"/>
        </w:rPr>
        <w:t xml:space="preserve">; Federal Reserve </w:t>
      </w:r>
      <w:r w:rsidR="0019626F" w:rsidRPr="00BF1FE6">
        <w:rPr>
          <w:rFonts w:ascii="Times New Roman" w:hAnsi="Times New Roman" w:cs="Times New Roman"/>
          <w:sz w:val="21"/>
          <w:szCs w:val="21"/>
        </w:rPr>
        <w:t>Statistical</w:t>
      </w:r>
      <w:r w:rsidR="0019626F" w:rsidRPr="00BF1FE6">
        <w:rPr>
          <w:rFonts w:ascii="Times New Roman" w:hAnsi="Times New Roman" w:cs="Times New Roman" w:hint="eastAsia"/>
          <w:sz w:val="21"/>
          <w:szCs w:val="21"/>
        </w:rPr>
        <w:t xml:space="preserve"> Release, </w:t>
      </w:r>
      <w:r w:rsidR="0019626F" w:rsidRPr="009674DE">
        <w:rPr>
          <w:rFonts w:ascii="Times New Roman" w:hAnsi="Times New Roman" w:cs="Times New Roman"/>
          <w:sz w:val="21"/>
          <w:szCs w:val="21"/>
        </w:rPr>
        <w:t>Z.1 Financial Accounts of United States</w:t>
      </w:r>
      <w:r w:rsidR="001E326B" w:rsidRPr="009674DE">
        <w:rPr>
          <w:rFonts w:ascii="Times New Roman" w:hAnsi="Times New Roman" w:cs="Times New Roman"/>
          <w:sz w:val="21"/>
          <w:szCs w:val="21"/>
        </w:rPr>
        <w:t>:</w:t>
      </w:r>
      <w:r w:rsidR="0019626F" w:rsidRPr="009674DE">
        <w:rPr>
          <w:rFonts w:ascii="Times New Roman" w:hAnsi="Times New Roman" w:cs="Times New Roman"/>
          <w:sz w:val="21"/>
          <w:szCs w:val="21"/>
        </w:rPr>
        <w:t xml:space="preserve"> Flow of </w:t>
      </w:r>
      <w:r w:rsidR="0019626F" w:rsidRPr="009674DE">
        <w:rPr>
          <w:rFonts w:ascii="Times New Roman" w:hAnsi="Times New Roman" w:cs="Times New Roman"/>
          <w:sz w:val="21"/>
          <w:szCs w:val="21"/>
        </w:rPr>
        <w:lastRenderedPageBreak/>
        <w:t>Funds, Balance Sheets, and Integrated Macroeconomic Accounts Historical Annual Tables</w:t>
      </w:r>
      <w:r w:rsidR="00CC413C" w:rsidRPr="009674DE">
        <w:rPr>
          <w:rFonts w:ascii="Times New Roman" w:hAnsi="Times New Roman" w:cs="Times New Roman" w:hint="eastAsia"/>
          <w:sz w:val="21"/>
          <w:szCs w:val="21"/>
        </w:rPr>
        <w:t>,</w:t>
      </w:r>
      <w:r w:rsidR="00CC413C">
        <w:rPr>
          <w:rFonts w:ascii="Times New Roman" w:hAnsi="Times New Roman" w:cs="Times New Roman"/>
          <w:sz w:val="21"/>
          <w:szCs w:val="21"/>
        </w:rPr>
        <w:t xml:space="preserve"> </w:t>
      </w:r>
      <w:r w:rsidR="00CC413C">
        <w:rPr>
          <w:rFonts w:ascii="Times New Roman" w:hAnsi="Times New Roman" w:cs="Times New Roman" w:hint="eastAsia"/>
          <w:sz w:val="21"/>
          <w:szCs w:val="21"/>
        </w:rPr>
        <w:t>历年（</w:t>
      </w:r>
      <w:r w:rsidR="00CC413C">
        <w:rPr>
          <w:rFonts w:ascii="Times New Roman" w:hAnsi="Times New Roman" w:cs="Times New Roman" w:hint="eastAsia"/>
          <w:sz w:val="21"/>
          <w:szCs w:val="21"/>
        </w:rPr>
        <w:t>1945</w:t>
      </w:r>
      <w:r w:rsidR="00CC413C">
        <w:rPr>
          <w:rFonts w:ascii="Times New Roman" w:hAnsi="Times New Roman" w:cs="Times New Roman" w:hint="eastAsia"/>
          <w:sz w:val="21"/>
          <w:szCs w:val="21"/>
        </w:rPr>
        <w:t>—</w:t>
      </w:r>
      <w:r w:rsidR="00CC413C">
        <w:rPr>
          <w:rFonts w:ascii="Times New Roman" w:hAnsi="Times New Roman" w:cs="Times New Roman" w:hint="eastAsia"/>
          <w:sz w:val="21"/>
          <w:szCs w:val="21"/>
        </w:rPr>
        <w:t>2023</w:t>
      </w:r>
      <w:r w:rsidR="00CC413C">
        <w:rPr>
          <w:rFonts w:ascii="Times New Roman" w:hAnsi="Times New Roman" w:cs="Times New Roman" w:hint="eastAsia"/>
          <w:sz w:val="21"/>
          <w:szCs w:val="21"/>
        </w:rPr>
        <w:t>）</w:t>
      </w:r>
      <w:r w:rsidR="001F2B93">
        <w:rPr>
          <w:rFonts w:ascii="Times New Roman" w:hAnsi="Times New Roman" w:cs="Times New Roman" w:hint="eastAsia"/>
          <w:sz w:val="21"/>
          <w:szCs w:val="21"/>
        </w:rPr>
        <w:t>。</w:t>
      </w:r>
      <w:r w:rsidR="0019626F" w:rsidRPr="00BF1FE6">
        <w:rPr>
          <w:rFonts w:ascii="Times New Roman" w:hAnsi="Times New Roman" w:cs="Times New Roman" w:hint="eastAsia"/>
          <w:sz w:val="21"/>
          <w:szCs w:val="21"/>
        </w:rPr>
        <w:t>最终结果为</w:t>
      </w:r>
      <w:r w:rsidR="000147FF" w:rsidRPr="00BF1FE6">
        <w:rPr>
          <w:rFonts w:ascii="Times New Roman" w:hAnsi="Times New Roman" w:cs="Times New Roman" w:hint="eastAsia"/>
          <w:sz w:val="21"/>
          <w:szCs w:val="21"/>
        </w:rPr>
        <w:t>笔</w:t>
      </w:r>
      <w:r w:rsidR="0019626F" w:rsidRPr="00BF1FE6">
        <w:rPr>
          <w:rFonts w:ascii="Times New Roman" w:hAnsi="Times New Roman" w:cs="Times New Roman" w:hint="eastAsia"/>
          <w:sz w:val="21"/>
          <w:szCs w:val="21"/>
        </w:rPr>
        <w:t>者搜集整理</w:t>
      </w:r>
      <w:r w:rsidR="000F7E7E" w:rsidRPr="00BF1FE6">
        <w:rPr>
          <w:rFonts w:ascii="Times New Roman" w:hAnsi="Times New Roman" w:cs="Times New Roman" w:hint="eastAsia"/>
          <w:sz w:val="21"/>
          <w:szCs w:val="21"/>
        </w:rPr>
        <w:t>和</w:t>
      </w:r>
      <w:r w:rsidR="0019626F" w:rsidRPr="00BF1FE6">
        <w:rPr>
          <w:rFonts w:ascii="Times New Roman" w:hAnsi="Times New Roman" w:cs="Times New Roman" w:hint="eastAsia"/>
          <w:sz w:val="21"/>
          <w:szCs w:val="21"/>
        </w:rPr>
        <w:t>估算</w:t>
      </w:r>
      <w:r w:rsidR="001F2B93">
        <w:rPr>
          <w:rFonts w:ascii="Times New Roman" w:hAnsi="Times New Roman" w:cs="Times New Roman" w:hint="eastAsia"/>
          <w:sz w:val="21"/>
          <w:szCs w:val="21"/>
        </w:rPr>
        <w:t>所得</w:t>
      </w:r>
      <w:r w:rsidR="0019626F" w:rsidRPr="00BF1FE6">
        <w:rPr>
          <w:rFonts w:ascii="Times New Roman" w:hAnsi="Times New Roman" w:cs="Times New Roman" w:hint="eastAsia"/>
          <w:sz w:val="21"/>
          <w:szCs w:val="21"/>
        </w:rPr>
        <w:t>。</w:t>
      </w:r>
    </w:p>
    <w:p w14:paraId="45381D1B" w14:textId="77777777" w:rsidR="006639D4" w:rsidRPr="00C3146C" w:rsidRDefault="006639D4" w:rsidP="004475EE">
      <w:pPr>
        <w:spacing w:line="360" w:lineRule="auto"/>
        <w:rPr>
          <w:rFonts w:ascii="Times New Roman" w:hAnsi="Times New Roman" w:cs="Times New Roman"/>
        </w:rPr>
      </w:pPr>
    </w:p>
    <w:p w14:paraId="5968C2E0" w14:textId="06F0DB13" w:rsidR="00065519" w:rsidRPr="00C3146C" w:rsidRDefault="002E2809" w:rsidP="00065519">
      <w:pPr>
        <w:spacing w:line="360" w:lineRule="auto"/>
        <w:ind w:firstLine="480"/>
        <w:rPr>
          <w:rFonts w:ascii="Times New Roman" w:hAnsi="Times New Roman" w:cs="Times New Roman"/>
        </w:rPr>
      </w:pPr>
      <w:r w:rsidRPr="00C3146C">
        <w:rPr>
          <w:rFonts w:ascii="Times New Roman" w:hAnsi="Times New Roman" w:cs="Times New Roman" w:hint="eastAsia"/>
        </w:rPr>
        <w:t>如果以</w:t>
      </w:r>
      <w:r w:rsidRPr="00C3146C">
        <w:rPr>
          <w:rFonts w:ascii="Times New Roman" w:hAnsi="Times New Roman" w:cs="Times New Roman" w:hint="eastAsia"/>
        </w:rPr>
        <w:t>GDI</w:t>
      </w:r>
      <w:r w:rsidRPr="00C3146C">
        <w:rPr>
          <w:rFonts w:ascii="Times New Roman" w:hAnsi="Times New Roman" w:cs="Times New Roman" w:hint="eastAsia"/>
        </w:rPr>
        <w:t>作为美国各类经济组织总营收的代理变量</w:t>
      </w:r>
      <w:r w:rsidR="00777661" w:rsidRPr="00C3146C">
        <w:rPr>
          <w:rStyle w:val="a5"/>
          <w:rFonts w:ascii="Times New Roman" w:hAnsi="Times New Roman" w:cs="Times New Roman"/>
        </w:rPr>
        <w:footnoteReference w:id="14"/>
      </w:r>
      <w:r w:rsidRPr="00C3146C">
        <w:rPr>
          <w:rFonts w:ascii="Times New Roman" w:hAnsi="Times New Roman" w:cs="Times New Roman" w:hint="eastAsia"/>
        </w:rPr>
        <w:t>构造美国生产的利润指标，美国生产的利润率在互联网泡沫破灭后呈现了总体上升的趋势，它甚至超过了克林顿执政时期的新经济时代。</w:t>
      </w:r>
      <w:r w:rsidR="001F2B93">
        <w:rPr>
          <w:rFonts w:ascii="Times New Roman" w:hAnsi="Times New Roman" w:cs="Times New Roman" w:hint="eastAsia"/>
        </w:rPr>
        <w:t>新冠</w:t>
      </w:r>
      <w:r w:rsidRPr="00C3146C">
        <w:rPr>
          <w:rFonts w:ascii="Times New Roman" w:hAnsi="Times New Roman" w:cs="Times New Roman" w:hint="eastAsia"/>
        </w:rPr>
        <w:t>疫情以来，美国生产的模拟利润率更是连续三年保持在</w:t>
      </w:r>
      <w:r w:rsidRPr="00C3146C">
        <w:rPr>
          <w:rFonts w:ascii="Times New Roman" w:hAnsi="Times New Roman" w:cs="Times New Roman" w:hint="eastAsia"/>
        </w:rPr>
        <w:t>10%</w:t>
      </w:r>
      <w:r w:rsidRPr="00C3146C">
        <w:rPr>
          <w:rFonts w:ascii="Times New Roman" w:hAnsi="Times New Roman" w:cs="Times New Roman" w:hint="eastAsia"/>
        </w:rPr>
        <w:t>以上。</w:t>
      </w:r>
      <w:r w:rsidR="003E34DB" w:rsidRPr="00C3146C">
        <w:rPr>
          <w:rFonts w:ascii="Times New Roman" w:hAnsi="Times New Roman" w:cs="Times New Roman" w:hint="eastAsia"/>
        </w:rPr>
        <w:t>美国上次出现这种盈利状况还要追溯到</w:t>
      </w:r>
      <w:r w:rsidR="001F2B93">
        <w:rPr>
          <w:rFonts w:ascii="Times New Roman" w:hAnsi="Times New Roman" w:cs="Times New Roman" w:hint="eastAsia"/>
        </w:rPr>
        <w:t>二</w:t>
      </w:r>
      <w:r w:rsidR="003E34DB" w:rsidRPr="00C3146C">
        <w:rPr>
          <w:rFonts w:ascii="Times New Roman" w:hAnsi="Times New Roman" w:cs="Times New Roman" w:hint="eastAsia"/>
        </w:rPr>
        <w:t>战后</w:t>
      </w:r>
      <w:r w:rsidR="001F2B93">
        <w:rPr>
          <w:rFonts w:ascii="Times New Roman" w:hAnsi="Times New Roman" w:cs="Times New Roman" w:hint="eastAsia"/>
        </w:rPr>
        <w:t>的</w:t>
      </w:r>
      <w:r w:rsidR="00D310E4" w:rsidRPr="00C3146C">
        <w:rPr>
          <w:rFonts w:ascii="Times New Roman" w:hAnsi="Times New Roman" w:cs="Times New Roman" w:hint="eastAsia"/>
        </w:rPr>
        <w:t>“</w:t>
      </w:r>
      <w:r w:rsidR="003E34DB" w:rsidRPr="00C3146C">
        <w:rPr>
          <w:rFonts w:ascii="Times New Roman" w:hAnsi="Times New Roman" w:cs="Times New Roman" w:hint="eastAsia"/>
        </w:rPr>
        <w:t>黄金二十年</w:t>
      </w:r>
      <w:r w:rsidR="00D310E4" w:rsidRPr="00C3146C">
        <w:rPr>
          <w:rFonts w:ascii="Times New Roman" w:hAnsi="Times New Roman" w:cs="Times New Roman" w:hint="eastAsia"/>
        </w:rPr>
        <w:t>”</w:t>
      </w:r>
      <w:r w:rsidR="003E34DB" w:rsidRPr="00C3146C">
        <w:rPr>
          <w:rFonts w:ascii="Times New Roman" w:hAnsi="Times New Roman" w:cs="Times New Roman" w:hint="eastAsia"/>
        </w:rPr>
        <w:t>。</w:t>
      </w:r>
    </w:p>
    <w:p w14:paraId="2308F1F4" w14:textId="77777777" w:rsidR="00805BE6" w:rsidRPr="00C3146C" w:rsidRDefault="00065519" w:rsidP="00065519">
      <w:pPr>
        <w:spacing w:line="360" w:lineRule="auto"/>
        <w:ind w:firstLine="480"/>
        <w:rPr>
          <w:rFonts w:ascii="Times New Roman" w:hAnsi="Times New Roman" w:cs="Times New Roman"/>
        </w:rPr>
      </w:pPr>
      <w:r w:rsidRPr="00C3146C">
        <w:rPr>
          <w:rFonts w:ascii="Times New Roman" w:hAnsi="Times New Roman" w:cs="Times New Roman" w:hint="eastAsia"/>
        </w:rPr>
        <w:t>由此引出一个新的问题：</w:t>
      </w:r>
      <w:r w:rsidRPr="00C3146C">
        <w:rPr>
          <w:rFonts w:ascii="黑体" w:eastAsia="黑体" w:hAnsi="黑体" w:cs="Times New Roman" w:hint="eastAsia"/>
        </w:rPr>
        <w:t>美国经济是否恢复了黄金增长机制？</w:t>
      </w:r>
    </w:p>
    <w:p w14:paraId="2936EAAB" w14:textId="77777777" w:rsidR="001B76DC" w:rsidRPr="00C3146C" w:rsidRDefault="001B76DC" w:rsidP="00065519">
      <w:pPr>
        <w:spacing w:line="360" w:lineRule="auto"/>
        <w:ind w:firstLine="480"/>
        <w:rPr>
          <w:rFonts w:ascii="Times New Roman" w:hAnsi="Times New Roman" w:cs="Times New Roman"/>
        </w:rPr>
      </w:pPr>
    </w:p>
    <w:p w14:paraId="3AD57179" w14:textId="0E8D7EE3" w:rsidR="0026766B" w:rsidRPr="00C3146C" w:rsidRDefault="00DB7C10" w:rsidP="00065519">
      <w:pPr>
        <w:spacing w:line="360" w:lineRule="auto"/>
        <w:ind w:firstLine="480"/>
        <w:rPr>
          <w:rFonts w:ascii="Times New Roman" w:hAnsi="Times New Roman" w:cs="Times New Roman"/>
          <w:b/>
          <w:bCs/>
        </w:rPr>
      </w:pPr>
      <w:r w:rsidRPr="00C3146C">
        <w:rPr>
          <w:rFonts w:ascii="Times New Roman" w:hAnsi="Times New Roman" w:cs="Times New Roman" w:hint="eastAsia"/>
          <w:b/>
          <w:bCs/>
        </w:rPr>
        <w:t>3.</w:t>
      </w:r>
      <w:r w:rsidR="0026766B" w:rsidRPr="00C3146C">
        <w:rPr>
          <w:rFonts w:ascii="Times New Roman" w:hAnsi="Times New Roman" w:cs="Times New Roman" w:hint="eastAsia"/>
          <w:b/>
          <w:bCs/>
        </w:rPr>
        <w:t>真实的政府</w:t>
      </w:r>
      <w:r w:rsidR="001B76DC" w:rsidRPr="00C3146C">
        <w:rPr>
          <w:rFonts w:ascii="Times New Roman" w:hAnsi="Times New Roman" w:cs="Times New Roman" w:hint="eastAsia"/>
          <w:b/>
          <w:bCs/>
        </w:rPr>
        <w:t>运转情况</w:t>
      </w:r>
    </w:p>
    <w:p w14:paraId="296EF025" w14:textId="7546D98C" w:rsidR="0026766B" w:rsidRPr="00C3146C" w:rsidRDefault="00A05572" w:rsidP="00065519">
      <w:pPr>
        <w:spacing w:line="360" w:lineRule="auto"/>
        <w:ind w:firstLine="480"/>
        <w:rPr>
          <w:rFonts w:ascii="Times New Roman" w:hAnsi="Times New Roman" w:cs="Times New Roman"/>
        </w:rPr>
      </w:pPr>
      <w:r w:rsidRPr="00C3146C">
        <w:rPr>
          <w:rFonts w:ascii="Times New Roman" w:hAnsi="Times New Roman" w:cs="Times New Roman" w:hint="eastAsia"/>
        </w:rPr>
        <w:t>国民经济户体系只核算了政府部门产生的直接消费和直接收入，</w:t>
      </w:r>
      <w:r w:rsidR="001F2B93">
        <w:rPr>
          <w:rFonts w:ascii="Times New Roman" w:hAnsi="Times New Roman" w:cs="Times New Roman" w:hint="eastAsia"/>
        </w:rPr>
        <w:t>它</w:t>
      </w:r>
      <w:r w:rsidRPr="00C3146C">
        <w:rPr>
          <w:rFonts w:ascii="Times New Roman" w:hAnsi="Times New Roman" w:cs="Times New Roman" w:hint="eastAsia"/>
        </w:rPr>
        <w:t>们体现为支出端的政府投资和政府消费、收入端的生产税净额。在实际经济运行中，政府承担了大量的转移支付功能，如支出端</w:t>
      </w:r>
      <w:r w:rsidR="00D310E4" w:rsidRPr="00C3146C">
        <w:rPr>
          <w:rFonts w:ascii="Times New Roman" w:hAnsi="Times New Roman" w:cs="Times New Roman" w:hint="eastAsia"/>
        </w:rPr>
        <w:t>部分</w:t>
      </w:r>
      <w:r w:rsidRPr="00C3146C">
        <w:rPr>
          <w:rFonts w:ascii="Times New Roman" w:hAnsi="Times New Roman" w:cs="Times New Roman" w:hint="eastAsia"/>
        </w:rPr>
        <w:t>家庭</w:t>
      </w:r>
      <w:r w:rsidR="00683138" w:rsidRPr="00C3146C">
        <w:rPr>
          <w:rFonts w:ascii="Times New Roman" w:hAnsi="Times New Roman" w:cs="Times New Roman" w:hint="eastAsia"/>
        </w:rPr>
        <w:t>医疗</w:t>
      </w:r>
      <w:r w:rsidRPr="00C3146C">
        <w:rPr>
          <w:rFonts w:ascii="Times New Roman" w:hAnsi="Times New Roman" w:cs="Times New Roman" w:hint="eastAsia"/>
        </w:rPr>
        <w:t>支出</w:t>
      </w:r>
      <w:r w:rsidR="00683138" w:rsidRPr="00C3146C">
        <w:rPr>
          <w:rFonts w:ascii="Times New Roman" w:hAnsi="Times New Roman" w:cs="Times New Roman" w:hint="eastAsia"/>
        </w:rPr>
        <w:t>由</w:t>
      </w:r>
      <w:r w:rsidRPr="00C3146C">
        <w:rPr>
          <w:rFonts w:ascii="Times New Roman" w:hAnsi="Times New Roman" w:cs="Times New Roman" w:hint="eastAsia"/>
        </w:rPr>
        <w:t>政府社保体系</w:t>
      </w:r>
      <w:r w:rsidR="00683138" w:rsidRPr="00C3146C">
        <w:rPr>
          <w:rFonts w:ascii="Times New Roman" w:hAnsi="Times New Roman" w:cs="Times New Roman" w:hint="eastAsia"/>
        </w:rPr>
        <w:t>承担</w:t>
      </w:r>
      <w:r w:rsidRPr="00C3146C">
        <w:rPr>
          <w:rFonts w:ascii="Times New Roman" w:hAnsi="Times New Roman" w:cs="Times New Roman" w:hint="eastAsia"/>
        </w:rPr>
        <w:t>、收入端劳动者报酬和营业盈余中包含了应缴个人所得税和企业所得税，这些属于表内调整项目。在表外，美国家庭还需要向州政府和地方政府缴纳财产税，这些税收收入属于征收存量税、不计入</w:t>
      </w:r>
      <w:r w:rsidRPr="00C3146C">
        <w:rPr>
          <w:rFonts w:ascii="Times New Roman" w:hAnsi="Times New Roman" w:cs="Times New Roman" w:hint="eastAsia"/>
        </w:rPr>
        <w:t>GDP</w:t>
      </w:r>
      <w:r w:rsidRPr="00C3146C">
        <w:rPr>
          <w:rFonts w:ascii="Times New Roman" w:hAnsi="Times New Roman" w:cs="Times New Roman" w:hint="eastAsia"/>
        </w:rPr>
        <w:t>科目。在财政报表体系中析出计入国民经济总量的收入、支出后，我们可以清晰地了解美国政府介入一次分配和二次分配的方式。</w:t>
      </w:r>
    </w:p>
    <w:p w14:paraId="1FFF9655" w14:textId="50F0FCBF" w:rsidR="003237A7" w:rsidRPr="00C3146C" w:rsidRDefault="003237A7" w:rsidP="00065519">
      <w:pPr>
        <w:spacing w:line="360" w:lineRule="auto"/>
        <w:ind w:firstLine="480"/>
        <w:rPr>
          <w:rFonts w:ascii="Times New Roman" w:hAnsi="Times New Roman" w:cs="Times New Roman"/>
        </w:rPr>
      </w:pPr>
      <w:r w:rsidRPr="00C3146C">
        <w:rPr>
          <w:rFonts w:ascii="Times New Roman" w:hAnsi="Times New Roman" w:cs="Times New Roman" w:hint="eastAsia"/>
        </w:rPr>
        <w:t>美国财政收支采用大财政口径，即政府及政府控制的公益基金全部纳入统计口径。</w:t>
      </w:r>
      <w:r w:rsidR="000B14B9" w:rsidRPr="00C3146C">
        <w:rPr>
          <w:rFonts w:ascii="Times New Roman" w:hAnsi="Times New Roman" w:cs="Times New Roman" w:hint="eastAsia"/>
        </w:rPr>
        <w:t>依据国民经济账户</w:t>
      </w:r>
      <w:r w:rsidR="006A0148">
        <w:rPr>
          <w:rFonts w:ascii="Times New Roman" w:hAnsi="Times New Roman" w:cs="Times New Roman" w:hint="eastAsia"/>
        </w:rPr>
        <w:t>体系</w:t>
      </w:r>
      <w:r w:rsidR="000B14B9" w:rsidRPr="00C3146C">
        <w:rPr>
          <w:rFonts w:ascii="Times New Roman" w:hAnsi="Times New Roman" w:cs="Times New Roman" w:hint="eastAsia"/>
        </w:rPr>
        <w:t>、财政收支两种统计口径差异，可以把计入</w:t>
      </w:r>
      <w:r w:rsidR="000B14B9" w:rsidRPr="00C3146C">
        <w:rPr>
          <w:rFonts w:ascii="Times New Roman" w:hAnsi="Times New Roman" w:cs="Times New Roman" w:hint="eastAsia"/>
        </w:rPr>
        <w:t>GDP</w:t>
      </w:r>
      <w:r w:rsidR="000B14B9" w:rsidRPr="00C3146C">
        <w:rPr>
          <w:rFonts w:ascii="Times New Roman" w:hAnsi="Times New Roman" w:cs="Times New Roman" w:hint="eastAsia"/>
        </w:rPr>
        <w:t>内的政府支出</w:t>
      </w:r>
      <w:r w:rsidR="001F2B93">
        <w:rPr>
          <w:rFonts w:ascii="Times New Roman" w:hAnsi="Times New Roman" w:cs="Times New Roman" w:hint="eastAsia"/>
        </w:rPr>
        <w:t>列</w:t>
      </w:r>
      <w:r w:rsidR="000B14B9" w:rsidRPr="00C3146C">
        <w:rPr>
          <w:rFonts w:ascii="Times New Roman" w:hAnsi="Times New Roman" w:cs="Times New Roman" w:hint="eastAsia"/>
        </w:rPr>
        <w:t>为表内支出</w:t>
      </w:r>
      <w:r w:rsidR="001F2B93">
        <w:rPr>
          <w:rFonts w:ascii="Times New Roman" w:hAnsi="Times New Roman" w:cs="Times New Roman" w:hint="eastAsia"/>
        </w:rPr>
        <w:t>，把</w:t>
      </w:r>
      <w:r w:rsidR="000B14B9" w:rsidRPr="00C3146C">
        <w:rPr>
          <w:rFonts w:ascii="Times New Roman" w:hAnsi="Times New Roman" w:cs="Times New Roman" w:hint="eastAsia"/>
        </w:rPr>
        <w:t>计入财政部收支数据但未计入</w:t>
      </w:r>
      <w:r w:rsidR="000B14B9" w:rsidRPr="00C3146C">
        <w:rPr>
          <w:rFonts w:ascii="Times New Roman" w:hAnsi="Times New Roman" w:cs="Times New Roman" w:hint="eastAsia"/>
        </w:rPr>
        <w:t>GDP</w:t>
      </w:r>
      <w:r w:rsidR="000B14B9" w:rsidRPr="00C3146C">
        <w:rPr>
          <w:rFonts w:ascii="Times New Roman" w:hAnsi="Times New Roman" w:cs="Times New Roman" w:hint="eastAsia"/>
        </w:rPr>
        <w:t>的支出数据列为表外支出</w:t>
      </w:r>
      <w:r w:rsidR="00910AEE" w:rsidRPr="00C3146C">
        <w:rPr>
          <w:rFonts w:ascii="Times New Roman" w:hAnsi="Times New Roman" w:cs="Times New Roman" w:hint="eastAsia"/>
        </w:rPr>
        <w:t>。</w:t>
      </w:r>
      <w:r w:rsidR="001F2B93">
        <w:rPr>
          <w:rFonts w:ascii="Times New Roman" w:hAnsi="Times New Roman" w:cs="Times New Roman" w:hint="eastAsia"/>
        </w:rPr>
        <w:t>在</w:t>
      </w:r>
      <w:r w:rsidR="00910AEE" w:rsidRPr="00C3146C">
        <w:rPr>
          <w:rFonts w:ascii="Times New Roman" w:hAnsi="Times New Roman" w:cs="Times New Roman" w:hint="eastAsia"/>
        </w:rPr>
        <w:t>表内支出</w:t>
      </w:r>
      <w:r w:rsidR="00BB11B8" w:rsidRPr="00C3146C">
        <w:rPr>
          <w:rFonts w:ascii="Times New Roman" w:hAnsi="Times New Roman" w:cs="Times New Roman" w:hint="eastAsia"/>
        </w:rPr>
        <w:t>中，投资主要集中在交通运输设施建造、政府运营部门软件购置与能源部门研发支出等，</w:t>
      </w:r>
      <w:r w:rsidR="001F2B93" w:rsidRPr="00C3146C">
        <w:rPr>
          <w:rFonts w:ascii="Times New Roman" w:hAnsi="Times New Roman" w:cs="Times New Roman" w:hint="eastAsia"/>
        </w:rPr>
        <w:t>政府消费</w:t>
      </w:r>
      <w:r w:rsidR="001F2B93">
        <w:rPr>
          <w:rFonts w:ascii="Times New Roman" w:hAnsi="Times New Roman" w:cs="Times New Roman" w:hint="eastAsia"/>
        </w:rPr>
        <w:t>主要包括</w:t>
      </w:r>
      <w:r w:rsidR="00BB11B8" w:rsidRPr="00C3146C">
        <w:rPr>
          <w:rFonts w:ascii="Times New Roman" w:hAnsi="Times New Roman" w:cs="Times New Roman" w:hint="eastAsia"/>
        </w:rPr>
        <w:t>公共安全、教</w:t>
      </w:r>
      <w:r w:rsidR="00BB11B8" w:rsidRPr="00C3146C">
        <w:rPr>
          <w:rFonts w:ascii="Times New Roman" w:hAnsi="Times New Roman" w:cs="Times New Roman" w:hint="eastAsia"/>
        </w:rPr>
        <w:lastRenderedPageBreak/>
        <w:t>育、社区与</w:t>
      </w:r>
      <w:r w:rsidR="0084753F">
        <w:rPr>
          <w:rFonts w:ascii="Times New Roman" w:hAnsi="Times New Roman" w:cs="Times New Roman" w:hint="eastAsia"/>
        </w:rPr>
        <w:t>特殊</w:t>
      </w:r>
      <w:r w:rsidR="0084753F" w:rsidRPr="0084753F">
        <w:rPr>
          <w:rFonts w:ascii="Times New Roman" w:hAnsi="Times New Roman" w:cs="Times New Roman" w:hint="eastAsia"/>
        </w:rPr>
        <w:t>群体</w:t>
      </w:r>
      <w:r w:rsidR="00BB11B8" w:rsidRPr="0084753F">
        <w:rPr>
          <w:rFonts w:ascii="Times New Roman" w:hAnsi="Times New Roman" w:cs="Times New Roman" w:hint="eastAsia"/>
        </w:rPr>
        <w:t>社保等其</w:t>
      </w:r>
      <w:r w:rsidR="00BB11B8" w:rsidRPr="00C3146C">
        <w:rPr>
          <w:rFonts w:ascii="Times New Roman" w:hAnsi="Times New Roman" w:cs="Times New Roman" w:hint="eastAsia"/>
        </w:rPr>
        <w:t>他部门支出。表外支出主要包括债务利息、医疗和</w:t>
      </w:r>
      <w:r w:rsidR="0084753F">
        <w:rPr>
          <w:rFonts w:ascii="Times New Roman" w:hAnsi="Times New Roman" w:cs="Times New Roman" w:hint="eastAsia"/>
        </w:rPr>
        <w:t>普通家庭</w:t>
      </w:r>
      <w:r w:rsidR="0084753F" w:rsidRPr="0084753F">
        <w:rPr>
          <w:rFonts w:ascii="Times New Roman" w:hAnsi="Times New Roman" w:cs="Times New Roman" w:hint="eastAsia"/>
        </w:rPr>
        <w:t>的</w:t>
      </w:r>
      <w:r w:rsidR="00BB11B8" w:rsidRPr="0084753F">
        <w:rPr>
          <w:rFonts w:ascii="Times New Roman" w:hAnsi="Times New Roman" w:cs="Times New Roman" w:hint="eastAsia"/>
        </w:rPr>
        <w:t>社保支付等三</w:t>
      </w:r>
      <w:r w:rsidR="00BB11B8" w:rsidRPr="00C3146C">
        <w:rPr>
          <w:rFonts w:ascii="Times New Roman" w:hAnsi="Times New Roman" w:cs="Times New Roman" w:hint="eastAsia"/>
        </w:rPr>
        <w:t>项。</w:t>
      </w:r>
      <w:r w:rsidR="001F2B93">
        <w:rPr>
          <w:rFonts w:ascii="Times New Roman" w:hAnsi="Times New Roman" w:cs="Times New Roman" w:hint="eastAsia"/>
        </w:rPr>
        <w:t>二</w:t>
      </w:r>
      <w:r w:rsidR="005D2D9E" w:rsidRPr="00C3146C">
        <w:rPr>
          <w:rFonts w:ascii="Times New Roman" w:hAnsi="Times New Roman" w:cs="Times New Roman" w:hint="eastAsia"/>
        </w:rPr>
        <w:t>战后至今，政府表内</w:t>
      </w:r>
      <w:r w:rsidR="001F2B93">
        <w:rPr>
          <w:rFonts w:ascii="Times New Roman" w:hAnsi="Times New Roman" w:cs="Times New Roman" w:hint="eastAsia"/>
        </w:rPr>
        <w:t>、表</w:t>
      </w:r>
      <w:r w:rsidR="005D2D9E" w:rsidRPr="00C3146C">
        <w:rPr>
          <w:rFonts w:ascii="Times New Roman" w:hAnsi="Times New Roman" w:cs="Times New Roman" w:hint="eastAsia"/>
        </w:rPr>
        <w:t>外支出呈趋同趋势，表外医疗支付规模持续扩张、至</w:t>
      </w:r>
      <w:r w:rsidR="005D2D9E" w:rsidRPr="00C3146C">
        <w:rPr>
          <w:rFonts w:ascii="Times New Roman" w:hAnsi="Times New Roman" w:cs="Times New Roman" w:hint="eastAsia"/>
        </w:rPr>
        <w:t>2002</w:t>
      </w:r>
      <w:r w:rsidR="005D2D9E" w:rsidRPr="00C3146C">
        <w:rPr>
          <w:rFonts w:ascii="Times New Roman" w:hAnsi="Times New Roman" w:cs="Times New Roman" w:hint="eastAsia"/>
        </w:rPr>
        <w:t>年超过债务利息，</w:t>
      </w:r>
      <w:r w:rsidR="005D2D9E" w:rsidRPr="00C3146C">
        <w:rPr>
          <w:rFonts w:ascii="Times New Roman" w:hAnsi="Times New Roman" w:cs="Times New Roman" w:hint="eastAsia"/>
        </w:rPr>
        <w:t>2016</w:t>
      </w:r>
      <w:r w:rsidR="005D2D9E" w:rsidRPr="00C3146C">
        <w:rPr>
          <w:rFonts w:ascii="Times New Roman" w:hAnsi="Times New Roman" w:cs="Times New Roman" w:hint="eastAsia"/>
        </w:rPr>
        <w:t>年达到与社保支付规模相当的水平</w:t>
      </w:r>
      <w:r w:rsidR="00092010">
        <w:rPr>
          <w:rFonts w:ascii="Times New Roman" w:hAnsi="Times New Roman" w:cs="Times New Roman" w:hint="eastAsia"/>
        </w:rPr>
        <w:t>（</w:t>
      </w:r>
      <w:r w:rsidR="001F2B93">
        <w:rPr>
          <w:rFonts w:ascii="Times New Roman" w:hAnsi="Times New Roman" w:cs="Times New Roman" w:hint="eastAsia"/>
        </w:rPr>
        <w:t>见</w:t>
      </w:r>
      <w:r w:rsidR="00092010">
        <w:rPr>
          <w:rFonts w:ascii="Times New Roman" w:hAnsi="Times New Roman" w:cs="Times New Roman" w:hint="eastAsia"/>
        </w:rPr>
        <w:t>图</w:t>
      </w:r>
      <w:r w:rsidR="00092010">
        <w:rPr>
          <w:rFonts w:ascii="Times New Roman" w:hAnsi="Times New Roman" w:cs="Times New Roman" w:hint="eastAsia"/>
        </w:rPr>
        <w:t>4</w:t>
      </w:r>
      <w:r w:rsidR="00092010">
        <w:rPr>
          <w:rFonts w:ascii="Times New Roman" w:hAnsi="Times New Roman" w:cs="Times New Roman" w:hint="eastAsia"/>
        </w:rPr>
        <w:t>）</w:t>
      </w:r>
      <w:r w:rsidR="004A28C9" w:rsidRPr="00C3146C">
        <w:rPr>
          <w:rFonts w:ascii="Times New Roman" w:hAnsi="Times New Roman" w:cs="Times New Roman" w:hint="eastAsia"/>
        </w:rPr>
        <w:t>。政府表外医疗支出直接形成家庭医疗消费支出、表外社保转移支付形成家庭表外收入。</w:t>
      </w:r>
    </w:p>
    <w:p w14:paraId="325C0A4B" w14:textId="77777777" w:rsidR="002119F8" w:rsidRPr="00C3146C" w:rsidRDefault="002119F8" w:rsidP="00065519">
      <w:pPr>
        <w:spacing w:line="360" w:lineRule="auto"/>
        <w:ind w:firstLine="480"/>
        <w:rPr>
          <w:rFonts w:ascii="Times New Roman" w:hAnsi="Times New Roman" w:cs="Times New Roman"/>
        </w:rPr>
      </w:pPr>
    </w:p>
    <w:p w14:paraId="2B36FB05" w14:textId="77777777" w:rsidR="00805BE6" w:rsidRPr="00C3146C" w:rsidRDefault="003237A7" w:rsidP="008E5F4C">
      <w:pPr>
        <w:spacing w:line="360" w:lineRule="auto"/>
        <w:rPr>
          <w:rFonts w:ascii="Times New Roman" w:hAnsi="Times New Roman" w:cs="Times New Roman"/>
        </w:rPr>
      </w:pPr>
      <w:r w:rsidRPr="00C3146C">
        <w:rPr>
          <w:noProof/>
        </w:rPr>
        <w:drawing>
          <wp:inline distT="0" distB="0" distL="0" distR="0" wp14:anchorId="09A9EA67" wp14:editId="4CD3F442">
            <wp:extent cx="5273675" cy="2286000"/>
            <wp:effectExtent l="0" t="0" r="9525" b="12700"/>
            <wp:docPr id="965662404" name="图表 1">
              <a:extLst xmlns:a="http://schemas.openxmlformats.org/drawingml/2006/main">
                <a:ext uri="{FF2B5EF4-FFF2-40B4-BE49-F238E27FC236}">
                  <a16:creationId xmlns:a16="http://schemas.microsoft.com/office/drawing/2014/main" id="{1173F9FD-2551-C333-F6AD-01BC55CB7F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7CF6B85" w14:textId="6E97FB4D" w:rsidR="00604E9E" w:rsidRPr="00C3146C" w:rsidRDefault="00604E9E" w:rsidP="00604E9E">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4 </w:t>
      </w:r>
      <w:r w:rsidRPr="00C3146C">
        <w:rPr>
          <w:rFonts w:ascii="Times New Roman" w:hAnsi="Times New Roman" w:cs="Times New Roman" w:hint="eastAsia"/>
        </w:rPr>
        <w:t>美国财政表内</w:t>
      </w:r>
      <w:r w:rsidRPr="00C3146C">
        <w:rPr>
          <w:rFonts w:ascii="Times New Roman" w:hAnsi="Times New Roman" w:cs="Times New Roman" w:hint="eastAsia"/>
        </w:rPr>
        <w:t>/</w:t>
      </w:r>
      <w:r w:rsidRPr="00C3146C">
        <w:rPr>
          <w:rFonts w:ascii="Times New Roman" w:hAnsi="Times New Roman" w:cs="Times New Roman" w:hint="eastAsia"/>
        </w:rPr>
        <w:t>外支出情况</w:t>
      </w:r>
    </w:p>
    <w:p w14:paraId="7748B4DF" w14:textId="39B0A381" w:rsidR="008E4A9C" w:rsidRPr="00BF1FE6" w:rsidRDefault="008E4A9C" w:rsidP="00BF1FE6">
      <w:pPr>
        <w:rPr>
          <w:rFonts w:ascii="Times New Roman" w:hAnsi="Times New Roman" w:cs="Times New Roman"/>
          <w:sz w:val="21"/>
          <w:szCs w:val="21"/>
        </w:rPr>
      </w:pPr>
      <w:r w:rsidRPr="00BF1FE6">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00A20430" w:rsidRPr="00BF1FE6">
        <w:rPr>
          <w:rFonts w:ascii="Times New Roman" w:hAnsi="Times New Roman" w:cs="Times New Roman"/>
          <w:sz w:val="21"/>
          <w:szCs w:val="21"/>
        </w:rPr>
        <w:t xml:space="preserve">, </w:t>
      </w:r>
      <w:r w:rsidR="00A20430" w:rsidRPr="0090418D">
        <w:rPr>
          <w:rFonts w:ascii="Times New Roman" w:hAnsi="Times New Roman" w:cs="Times New Roman"/>
          <w:sz w:val="21"/>
          <w:szCs w:val="21"/>
        </w:rPr>
        <w:t>"</w:t>
      </w:r>
      <w:r w:rsidR="00A20430" w:rsidRPr="00BE517C">
        <w:rPr>
          <w:rFonts w:ascii="Times New Roman" w:hAnsi="Times New Roman" w:cs="Times New Roman"/>
          <w:iCs/>
          <w:sz w:val="21"/>
          <w:szCs w:val="21"/>
        </w:rPr>
        <w:t>Table 3.1 Government Current Receipts and Expenditures", "</w:t>
      </w:r>
      <w:r w:rsidR="00FF7D06" w:rsidRPr="0090418D">
        <w:rPr>
          <w:sz w:val="21"/>
          <w:szCs w:val="21"/>
        </w:rPr>
        <w:t xml:space="preserve"> </w:t>
      </w:r>
      <w:r w:rsidR="00FF7D06" w:rsidRPr="00BE517C">
        <w:rPr>
          <w:rFonts w:ascii="Times New Roman" w:hAnsi="Times New Roman" w:cs="Times New Roman"/>
          <w:iCs/>
          <w:sz w:val="21"/>
          <w:szCs w:val="21"/>
        </w:rPr>
        <w:t>Table 3.15.5 Government Consumption Expenditures and Gross Investment by Function</w:t>
      </w:r>
      <w:r w:rsidR="00A20430" w:rsidRPr="00BE517C">
        <w:rPr>
          <w:rFonts w:ascii="Times New Roman" w:hAnsi="Times New Roman" w:cs="Times New Roman"/>
          <w:iCs/>
          <w:sz w:val="21"/>
          <w:szCs w:val="21"/>
        </w:rPr>
        <w:t>", "Table 3.16 Government Current Expenditures by Function"</w:t>
      </w:r>
      <w:r w:rsidR="00A20430" w:rsidRPr="0090418D">
        <w:rPr>
          <w:rFonts w:ascii="Times New Roman" w:hAnsi="Times New Roman" w:cs="Times New Roman"/>
          <w:sz w:val="21"/>
          <w:szCs w:val="21"/>
        </w:rPr>
        <w:t>.</w:t>
      </w:r>
      <w:r w:rsidR="001F2B93">
        <w:rPr>
          <w:rFonts w:ascii="Times New Roman" w:hAnsi="Times New Roman" w:cs="Times New Roman" w:hint="eastAsia"/>
          <w:sz w:val="21"/>
          <w:szCs w:val="21"/>
        </w:rPr>
        <w:t>图中</w:t>
      </w:r>
      <w:r w:rsidR="00A20430" w:rsidRPr="00BF1FE6">
        <w:rPr>
          <w:rFonts w:ascii="Times New Roman" w:hAnsi="Times New Roman" w:cs="Times New Roman" w:hint="eastAsia"/>
          <w:sz w:val="21"/>
          <w:szCs w:val="21"/>
        </w:rPr>
        <w:t>表内</w:t>
      </w:r>
      <w:r w:rsidR="001F2B93">
        <w:rPr>
          <w:rFonts w:ascii="Times New Roman" w:hAnsi="Times New Roman" w:cs="Times New Roman" w:hint="eastAsia"/>
          <w:sz w:val="21"/>
          <w:szCs w:val="21"/>
        </w:rPr>
        <w:t>/</w:t>
      </w:r>
      <w:r w:rsidR="00A20430" w:rsidRPr="00BF1FE6">
        <w:rPr>
          <w:rFonts w:ascii="Times New Roman" w:hAnsi="Times New Roman" w:cs="Times New Roman" w:hint="eastAsia"/>
          <w:sz w:val="21"/>
          <w:szCs w:val="21"/>
        </w:rPr>
        <w:t>外支出</w:t>
      </w:r>
      <w:r w:rsidR="001F2B93">
        <w:rPr>
          <w:rFonts w:ascii="Times New Roman" w:hAnsi="Times New Roman" w:cs="Times New Roman" w:hint="eastAsia"/>
          <w:sz w:val="21"/>
          <w:szCs w:val="21"/>
        </w:rPr>
        <w:t>数据</w:t>
      </w:r>
      <w:r w:rsidR="00037756">
        <w:rPr>
          <w:rFonts w:ascii="Times New Roman" w:hAnsi="Times New Roman" w:cs="Times New Roman" w:hint="eastAsia"/>
          <w:sz w:val="21"/>
          <w:szCs w:val="21"/>
        </w:rPr>
        <w:t>系</w:t>
      </w:r>
      <w:r w:rsidR="0090418D">
        <w:rPr>
          <w:rFonts w:ascii="Times New Roman" w:hAnsi="Times New Roman" w:cs="Times New Roman" w:hint="eastAsia"/>
          <w:sz w:val="21"/>
          <w:szCs w:val="21"/>
        </w:rPr>
        <w:t>笔者</w:t>
      </w:r>
      <w:r w:rsidR="00A20430" w:rsidRPr="00BF1FE6">
        <w:rPr>
          <w:rFonts w:ascii="Times New Roman" w:hAnsi="Times New Roman" w:cs="Times New Roman" w:hint="eastAsia"/>
          <w:sz w:val="21"/>
          <w:szCs w:val="21"/>
        </w:rPr>
        <w:t>估算</w:t>
      </w:r>
      <w:r w:rsidR="0090418D">
        <w:rPr>
          <w:rFonts w:ascii="Times New Roman" w:hAnsi="Times New Roman" w:cs="Times New Roman" w:hint="eastAsia"/>
          <w:sz w:val="21"/>
          <w:szCs w:val="21"/>
        </w:rPr>
        <w:t>所得</w:t>
      </w:r>
      <w:r w:rsidR="00A20430" w:rsidRPr="00BF1FE6">
        <w:rPr>
          <w:rFonts w:ascii="Times New Roman" w:hAnsi="Times New Roman" w:cs="Times New Roman" w:hint="eastAsia"/>
          <w:sz w:val="21"/>
          <w:szCs w:val="21"/>
        </w:rPr>
        <w:t>。</w:t>
      </w:r>
      <w:r w:rsidR="00A20430" w:rsidRPr="00BF1FE6">
        <w:rPr>
          <w:rFonts w:ascii="Times New Roman" w:hAnsi="Times New Roman" w:cs="Times New Roman" w:hint="eastAsia"/>
          <w:sz w:val="21"/>
          <w:szCs w:val="21"/>
        </w:rPr>
        <w:t xml:space="preserve"> </w:t>
      </w:r>
    </w:p>
    <w:p w14:paraId="3B4FC8D9" w14:textId="77777777" w:rsidR="008E4A9C" w:rsidRPr="00C3146C" w:rsidRDefault="008E4A9C" w:rsidP="00E80281">
      <w:pPr>
        <w:spacing w:line="360" w:lineRule="auto"/>
        <w:ind w:firstLineChars="200" w:firstLine="480"/>
        <w:rPr>
          <w:rFonts w:ascii="Times New Roman" w:hAnsi="Times New Roman" w:cs="Times New Roman"/>
        </w:rPr>
      </w:pPr>
    </w:p>
    <w:p w14:paraId="7ED8EDA4" w14:textId="701CC3C1" w:rsidR="00E80281" w:rsidRPr="00C3146C" w:rsidRDefault="00E80281" w:rsidP="00E80281">
      <w:pPr>
        <w:spacing w:line="360" w:lineRule="auto"/>
        <w:ind w:firstLineChars="200" w:firstLine="480"/>
        <w:rPr>
          <w:rFonts w:ascii="Times New Roman" w:hAnsi="Times New Roman" w:cs="Times New Roman"/>
        </w:rPr>
      </w:pPr>
      <w:r w:rsidRPr="00C3146C">
        <w:rPr>
          <w:rFonts w:ascii="Times New Roman" w:hAnsi="Times New Roman" w:cs="Times New Roman" w:hint="eastAsia"/>
        </w:rPr>
        <w:t>美国医保、社保是独立的账户支付体系，</w:t>
      </w:r>
      <w:r w:rsidR="001F2B93">
        <w:rPr>
          <w:rFonts w:ascii="Times New Roman" w:hAnsi="Times New Roman" w:cs="Times New Roman" w:hint="eastAsia"/>
        </w:rPr>
        <w:t>它</w:t>
      </w:r>
      <w:r w:rsidR="005B5231" w:rsidRPr="00C3146C">
        <w:rPr>
          <w:rFonts w:ascii="Times New Roman" w:hAnsi="Times New Roman" w:cs="Times New Roman" w:hint="eastAsia"/>
        </w:rPr>
        <w:t>们在美国再分配中扮演的角色日趋吃重。以医保为例，</w:t>
      </w:r>
      <w:r w:rsidR="005B5231" w:rsidRPr="00A22491">
        <w:rPr>
          <w:rFonts w:ascii="Times New Roman" w:hAnsi="Times New Roman" w:cs="Times New Roman" w:hint="eastAsia"/>
        </w:rPr>
        <w:t>2023</w:t>
      </w:r>
      <w:r w:rsidR="005B5231" w:rsidRPr="00A22491">
        <w:rPr>
          <w:rFonts w:ascii="Times New Roman" w:hAnsi="Times New Roman" w:cs="Times New Roman" w:hint="eastAsia"/>
        </w:rPr>
        <w:t>年美国医疗支出</w:t>
      </w:r>
      <w:r w:rsidR="005B5231" w:rsidRPr="00A22491">
        <w:rPr>
          <w:rFonts w:ascii="Times New Roman" w:hAnsi="Times New Roman" w:cs="Times New Roman" w:hint="eastAsia"/>
        </w:rPr>
        <w:t>4.79</w:t>
      </w:r>
      <w:r w:rsidR="005B5231" w:rsidRPr="00A22491">
        <w:rPr>
          <w:rFonts w:ascii="Times New Roman" w:hAnsi="Times New Roman" w:cs="Times New Roman" w:hint="eastAsia"/>
        </w:rPr>
        <w:t>万亿</w:t>
      </w:r>
      <w:r w:rsidR="001F2B93" w:rsidRPr="00A22491">
        <w:rPr>
          <w:rFonts w:ascii="Times New Roman" w:hAnsi="Times New Roman" w:cs="Times New Roman" w:hint="eastAsia"/>
        </w:rPr>
        <w:t>美元，</w:t>
      </w:r>
      <w:r w:rsidR="006149AC" w:rsidRPr="00A22491">
        <w:rPr>
          <w:rStyle w:val="a5"/>
          <w:rFonts w:ascii="Times New Roman" w:hAnsi="Times New Roman" w:cs="Times New Roman"/>
        </w:rPr>
        <w:footnoteReference w:id="15"/>
      </w:r>
      <w:r w:rsidR="0003181C" w:rsidRPr="00A22491">
        <w:rPr>
          <w:rFonts w:ascii="Times New Roman" w:hAnsi="Times New Roman" w:cs="Times New Roman" w:hint="eastAsia"/>
        </w:rPr>
        <w:t>其中</w:t>
      </w:r>
      <w:r w:rsidR="00A22491">
        <w:rPr>
          <w:rFonts w:ascii="Times New Roman" w:hAnsi="Times New Roman" w:cs="Times New Roman" w:hint="eastAsia"/>
        </w:rPr>
        <w:t>3.05</w:t>
      </w:r>
      <w:r w:rsidR="0003181C" w:rsidRPr="00A22491">
        <w:rPr>
          <w:rFonts w:ascii="Times New Roman" w:hAnsi="Times New Roman" w:cs="Times New Roman" w:hint="eastAsia"/>
        </w:rPr>
        <w:t>万亿</w:t>
      </w:r>
      <w:r w:rsidR="001F2B93" w:rsidRPr="00A22491">
        <w:rPr>
          <w:rFonts w:ascii="Times New Roman" w:hAnsi="Times New Roman" w:cs="Times New Roman" w:hint="eastAsia"/>
        </w:rPr>
        <w:t>美元</w:t>
      </w:r>
      <w:r w:rsidR="0003181C" w:rsidRPr="00A22491">
        <w:rPr>
          <w:rFonts w:ascii="Times New Roman" w:hAnsi="Times New Roman" w:cs="Times New Roman" w:hint="eastAsia"/>
        </w:rPr>
        <w:t>计入</w:t>
      </w:r>
      <w:r w:rsidR="0003181C" w:rsidRPr="00A22491">
        <w:rPr>
          <w:rFonts w:ascii="Times New Roman" w:hAnsi="Times New Roman" w:cs="Times New Roman" w:hint="eastAsia"/>
        </w:rPr>
        <w:t>GDP</w:t>
      </w:r>
      <w:r w:rsidR="0003181C" w:rsidRPr="00A22491">
        <w:rPr>
          <w:rFonts w:ascii="Times New Roman" w:hAnsi="Times New Roman" w:cs="Times New Roman" w:hint="eastAsia"/>
        </w:rPr>
        <w:t>，占比</w:t>
      </w:r>
      <w:r w:rsidR="0003181C" w:rsidRPr="00A22491">
        <w:rPr>
          <w:rFonts w:ascii="Times New Roman" w:hAnsi="Times New Roman" w:cs="Times New Roman" w:hint="eastAsia"/>
        </w:rPr>
        <w:t>1</w:t>
      </w:r>
      <w:r w:rsidR="00A22491">
        <w:rPr>
          <w:rFonts w:ascii="Times New Roman" w:hAnsi="Times New Roman" w:cs="Times New Roman" w:hint="eastAsia"/>
        </w:rPr>
        <w:t>1</w:t>
      </w:r>
      <w:r w:rsidR="0003181C" w:rsidRPr="00A22491">
        <w:rPr>
          <w:rFonts w:ascii="Times New Roman" w:hAnsi="Times New Roman" w:cs="Times New Roman" w:hint="eastAsia"/>
        </w:rPr>
        <w:t>.</w:t>
      </w:r>
      <w:r w:rsidR="00A22491">
        <w:rPr>
          <w:rFonts w:ascii="Times New Roman" w:hAnsi="Times New Roman" w:cs="Times New Roman" w:hint="eastAsia"/>
        </w:rPr>
        <w:t>0</w:t>
      </w:r>
      <w:r w:rsidR="0003181C" w:rsidRPr="00A22491">
        <w:rPr>
          <w:rFonts w:ascii="Times New Roman" w:hAnsi="Times New Roman" w:cs="Times New Roman" w:hint="eastAsia"/>
        </w:rPr>
        <w:t>%</w:t>
      </w:r>
      <w:r w:rsidR="0098045E" w:rsidRPr="00A22491">
        <w:rPr>
          <w:rFonts w:ascii="Times New Roman" w:hAnsi="Times New Roman" w:cs="Times New Roman" w:hint="eastAsia"/>
        </w:rPr>
        <w:t>，加上家庭医药支出</w:t>
      </w:r>
      <w:r w:rsidR="0098045E" w:rsidRPr="00A22491">
        <w:rPr>
          <w:rFonts w:ascii="Times New Roman" w:hAnsi="Times New Roman" w:cs="Times New Roman" w:hint="eastAsia"/>
        </w:rPr>
        <w:t>63</w:t>
      </w:r>
      <w:r w:rsidR="00A22491">
        <w:rPr>
          <w:rFonts w:ascii="Times New Roman" w:hAnsi="Times New Roman" w:cs="Times New Roman" w:hint="eastAsia"/>
        </w:rPr>
        <w:t>5</w:t>
      </w:r>
      <w:r w:rsidR="0098045E" w:rsidRPr="00A22491">
        <w:rPr>
          <w:rFonts w:ascii="Times New Roman" w:hAnsi="Times New Roman" w:cs="Times New Roman" w:hint="eastAsia"/>
        </w:rPr>
        <w:t>0</w:t>
      </w:r>
      <w:r w:rsidR="0098045E" w:rsidRPr="00A22491">
        <w:rPr>
          <w:rFonts w:ascii="Times New Roman" w:hAnsi="Times New Roman" w:cs="Times New Roman" w:hint="eastAsia"/>
        </w:rPr>
        <w:t>亿</w:t>
      </w:r>
      <w:r w:rsidR="001F2B93" w:rsidRPr="00A22491">
        <w:rPr>
          <w:rFonts w:ascii="Times New Roman" w:hAnsi="Times New Roman" w:cs="Times New Roman" w:hint="eastAsia"/>
        </w:rPr>
        <w:t>美元</w:t>
      </w:r>
      <w:r w:rsidR="0098045E" w:rsidRPr="00A22491">
        <w:rPr>
          <w:rFonts w:ascii="Times New Roman" w:hAnsi="Times New Roman" w:cs="Times New Roman" w:hint="eastAsia"/>
        </w:rPr>
        <w:t>，两者占比</w:t>
      </w:r>
      <w:r w:rsidR="0098045E" w:rsidRPr="00A22491">
        <w:rPr>
          <w:rFonts w:ascii="Times New Roman" w:hAnsi="Times New Roman" w:cs="Times New Roman"/>
        </w:rPr>
        <w:t>13.</w:t>
      </w:r>
      <w:r w:rsidR="00A22491">
        <w:rPr>
          <w:rFonts w:ascii="Times New Roman" w:hAnsi="Times New Roman" w:cs="Times New Roman" w:hint="eastAsia"/>
        </w:rPr>
        <w:t>3</w:t>
      </w:r>
      <w:r w:rsidR="0098045E" w:rsidRPr="00A22491">
        <w:rPr>
          <w:rFonts w:ascii="Times New Roman" w:hAnsi="Times New Roman" w:cs="Times New Roman"/>
        </w:rPr>
        <w:t>%</w:t>
      </w:r>
      <w:r w:rsidR="005B23CA" w:rsidRPr="00A22491">
        <w:rPr>
          <w:rFonts w:ascii="Times New Roman" w:hAnsi="Times New Roman" w:cs="Times New Roman" w:hint="eastAsia"/>
        </w:rPr>
        <w:t>。除此之外，美国政</w:t>
      </w:r>
      <w:r w:rsidR="005B23CA" w:rsidRPr="00C3146C">
        <w:rPr>
          <w:rFonts w:ascii="Times New Roman" w:hAnsi="Times New Roman" w:cs="Times New Roman" w:hint="eastAsia"/>
        </w:rPr>
        <w:t>府每财年赤字规模</w:t>
      </w:r>
      <w:r w:rsidR="005154E3" w:rsidRPr="00C3146C">
        <w:rPr>
          <w:rFonts w:ascii="Times New Roman" w:hAnsi="Times New Roman" w:cs="Times New Roman" w:hint="eastAsia"/>
        </w:rPr>
        <w:t>已经超过债务利息支付额</w:t>
      </w:r>
      <w:r w:rsidR="005B23CA" w:rsidRPr="00C3146C">
        <w:rPr>
          <w:rFonts w:ascii="Times New Roman" w:hAnsi="Times New Roman" w:cs="Times New Roman" w:hint="eastAsia"/>
        </w:rPr>
        <w:t>，</w:t>
      </w:r>
      <w:r w:rsidR="005B23CA" w:rsidRPr="00C3146C">
        <w:rPr>
          <w:rFonts w:ascii="Times New Roman" w:hAnsi="Times New Roman" w:cs="Times New Roman" w:hint="eastAsia"/>
        </w:rPr>
        <w:t>2023</w:t>
      </w:r>
      <w:r w:rsidR="005B23CA" w:rsidRPr="00C3146C">
        <w:rPr>
          <w:rFonts w:ascii="Times New Roman" w:hAnsi="Times New Roman" w:cs="Times New Roman" w:hint="eastAsia"/>
        </w:rPr>
        <w:t>财年赤字</w:t>
      </w:r>
      <w:r w:rsidR="005154E3" w:rsidRPr="00C3146C">
        <w:rPr>
          <w:rFonts w:ascii="Times New Roman" w:hAnsi="Times New Roman" w:cs="Times New Roman" w:hint="eastAsia"/>
        </w:rPr>
        <w:t>1.7</w:t>
      </w:r>
      <w:r w:rsidR="005B23CA" w:rsidRPr="00C3146C">
        <w:rPr>
          <w:rFonts w:ascii="Times New Roman" w:hAnsi="Times New Roman" w:cs="Times New Roman" w:hint="eastAsia"/>
        </w:rPr>
        <w:t>万亿</w:t>
      </w:r>
      <w:r w:rsidR="001F2B93">
        <w:rPr>
          <w:rFonts w:ascii="Times New Roman" w:hAnsi="Times New Roman" w:cs="Times New Roman" w:hint="eastAsia"/>
        </w:rPr>
        <w:t>美元</w:t>
      </w:r>
      <w:r w:rsidR="005B23CA" w:rsidRPr="00C3146C">
        <w:rPr>
          <w:rFonts w:ascii="Times New Roman" w:hAnsi="Times New Roman" w:cs="Times New Roman" w:hint="eastAsia"/>
        </w:rPr>
        <w:t>、当财年政府债务利息是</w:t>
      </w:r>
      <w:r w:rsidR="005B23CA" w:rsidRPr="00C3146C">
        <w:rPr>
          <w:rFonts w:ascii="Times New Roman" w:hAnsi="Times New Roman" w:cs="Times New Roman" w:hint="eastAsia"/>
        </w:rPr>
        <w:t>9737</w:t>
      </w:r>
      <w:r w:rsidR="005B23CA" w:rsidRPr="00C3146C">
        <w:rPr>
          <w:rFonts w:ascii="Times New Roman" w:hAnsi="Times New Roman" w:cs="Times New Roman" w:hint="eastAsia"/>
        </w:rPr>
        <w:t>亿</w:t>
      </w:r>
      <w:r w:rsidR="001F2B93">
        <w:rPr>
          <w:rFonts w:ascii="Times New Roman" w:hAnsi="Times New Roman" w:cs="Times New Roman" w:hint="eastAsia"/>
        </w:rPr>
        <w:t>美元</w:t>
      </w:r>
      <w:r w:rsidR="005B23CA" w:rsidRPr="00C3146C">
        <w:rPr>
          <w:rFonts w:ascii="Times New Roman" w:hAnsi="Times New Roman" w:cs="Times New Roman" w:hint="eastAsia"/>
        </w:rPr>
        <w:t>，美国各级政府的债务</w:t>
      </w:r>
      <w:r w:rsidR="00321EA5" w:rsidRPr="00C3146C">
        <w:rPr>
          <w:rFonts w:ascii="Times New Roman" w:hAnsi="Times New Roman" w:cs="Times New Roman" w:hint="eastAsia"/>
        </w:rPr>
        <w:t>付息也要以借新还旧的方式</w:t>
      </w:r>
      <w:r w:rsidR="001F2B93">
        <w:rPr>
          <w:rFonts w:ascii="Times New Roman" w:hAnsi="Times New Roman" w:cs="Times New Roman" w:hint="eastAsia"/>
        </w:rPr>
        <w:t>来</w:t>
      </w:r>
      <w:r w:rsidR="00321EA5" w:rsidRPr="00C3146C">
        <w:rPr>
          <w:rFonts w:ascii="Times New Roman" w:hAnsi="Times New Roman" w:cs="Times New Roman" w:hint="eastAsia"/>
        </w:rPr>
        <w:t>偿付。我们把过多注意力放到美国庞大的债务规模上，却忽视了美国政府债务募集的资金投向了何处，这才是理解美国政府收支的核心问题。</w:t>
      </w:r>
    </w:p>
    <w:p w14:paraId="1E9D9E71" w14:textId="74ADD7AF" w:rsidR="004B2881" w:rsidRPr="00C3146C" w:rsidRDefault="001F2B93" w:rsidP="00E80281">
      <w:pPr>
        <w:spacing w:line="360" w:lineRule="auto"/>
        <w:ind w:firstLineChars="200" w:firstLine="480"/>
        <w:rPr>
          <w:rFonts w:ascii="Times New Roman" w:hAnsi="Times New Roman" w:cs="Times New Roman"/>
        </w:rPr>
      </w:pPr>
      <w:r>
        <w:rPr>
          <w:rFonts w:ascii="Times New Roman" w:hAnsi="Times New Roman" w:cs="Times New Roman" w:hint="eastAsia"/>
        </w:rPr>
        <w:lastRenderedPageBreak/>
        <w:t>在</w:t>
      </w:r>
      <w:r w:rsidR="004B2881" w:rsidRPr="00C3146C">
        <w:rPr>
          <w:rFonts w:ascii="Times New Roman" w:hAnsi="Times New Roman" w:cs="Times New Roman" w:hint="eastAsia"/>
        </w:rPr>
        <w:t>复原美国三部门报表的过程中，一些问题逐渐浮出水面，这些问题的答案或许就是美国探索经济增长的制度路径。这些问题可以归纳如下：</w:t>
      </w:r>
    </w:p>
    <w:p w14:paraId="1FD4193D" w14:textId="0AA9566A" w:rsidR="004B2881" w:rsidRPr="0079738A" w:rsidRDefault="004B2881" w:rsidP="00E80281">
      <w:pPr>
        <w:spacing w:line="360" w:lineRule="auto"/>
        <w:ind w:firstLineChars="200" w:firstLine="489"/>
        <w:rPr>
          <w:rFonts w:ascii="Times New Roman" w:hAnsi="Times New Roman" w:cs="Times New Roman"/>
          <w:b/>
          <w:bCs/>
        </w:rPr>
      </w:pPr>
      <w:r w:rsidRPr="0079738A">
        <w:rPr>
          <w:rFonts w:ascii="Times New Roman" w:hAnsi="Times New Roman" w:cs="Times New Roman"/>
          <w:b/>
          <w:bCs/>
        </w:rPr>
        <w:t>问题</w:t>
      </w:r>
      <w:r w:rsidRPr="0079738A">
        <w:rPr>
          <w:rFonts w:ascii="Times New Roman" w:hAnsi="Times New Roman" w:cs="Times New Roman"/>
          <w:b/>
          <w:bCs/>
        </w:rPr>
        <w:t>1</w:t>
      </w:r>
      <w:r w:rsidR="0017073E" w:rsidRPr="0079738A">
        <w:rPr>
          <w:rFonts w:ascii="Times New Roman" w:hAnsi="Times New Roman" w:cs="Times New Roman"/>
          <w:b/>
          <w:bCs/>
        </w:rPr>
        <w:t>：美国医疗体系贡献</w:t>
      </w:r>
      <w:r w:rsidR="0017073E" w:rsidRPr="0079738A">
        <w:rPr>
          <w:rFonts w:ascii="Times New Roman" w:hAnsi="Times New Roman" w:cs="Times New Roman"/>
          <w:b/>
          <w:bCs/>
        </w:rPr>
        <w:t>GDP</w:t>
      </w:r>
      <w:r w:rsidR="0017073E" w:rsidRPr="0079738A">
        <w:rPr>
          <w:rFonts w:ascii="Times New Roman" w:hAnsi="Times New Roman" w:cs="Times New Roman"/>
          <w:b/>
          <w:bCs/>
        </w:rPr>
        <w:t>的机制是什么？</w:t>
      </w:r>
    </w:p>
    <w:p w14:paraId="26D8F7E1" w14:textId="1D64D735" w:rsidR="0017073E" w:rsidRPr="0079738A" w:rsidRDefault="0017073E" w:rsidP="00E80281">
      <w:pPr>
        <w:spacing w:line="360" w:lineRule="auto"/>
        <w:ind w:firstLineChars="200" w:firstLine="489"/>
        <w:rPr>
          <w:rFonts w:ascii="Times New Roman" w:hAnsi="Times New Roman" w:cs="Times New Roman"/>
          <w:b/>
          <w:bCs/>
        </w:rPr>
      </w:pPr>
      <w:r w:rsidRPr="0079738A">
        <w:rPr>
          <w:rFonts w:ascii="Times New Roman" w:hAnsi="Times New Roman" w:cs="Times New Roman"/>
          <w:b/>
          <w:bCs/>
        </w:rPr>
        <w:t>问题</w:t>
      </w:r>
      <w:r w:rsidRPr="0079738A">
        <w:rPr>
          <w:rFonts w:ascii="Times New Roman" w:hAnsi="Times New Roman" w:cs="Times New Roman"/>
          <w:b/>
          <w:bCs/>
        </w:rPr>
        <w:t>2</w:t>
      </w:r>
      <w:r w:rsidRPr="0079738A">
        <w:rPr>
          <w:rFonts w:ascii="Times New Roman" w:hAnsi="Times New Roman" w:cs="Times New Roman"/>
          <w:b/>
          <w:bCs/>
        </w:rPr>
        <w:t>：美国家庭的资产性收入从何处来？</w:t>
      </w:r>
    </w:p>
    <w:p w14:paraId="6CAA277C" w14:textId="013FFABA" w:rsidR="0017073E" w:rsidRPr="0079738A" w:rsidRDefault="0017073E" w:rsidP="00E80281">
      <w:pPr>
        <w:spacing w:line="360" w:lineRule="auto"/>
        <w:ind w:firstLineChars="200" w:firstLine="489"/>
        <w:rPr>
          <w:rFonts w:ascii="Times New Roman" w:hAnsi="Times New Roman" w:cs="Times New Roman"/>
          <w:b/>
          <w:bCs/>
        </w:rPr>
      </w:pPr>
      <w:r w:rsidRPr="0079738A">
        <w:rPr>
          <w:rFonts w:ascii="Times New Roman" w:hAnsi="Times New Roman" w:cs="Times New Roman"/>
          <w:b/>
          <w:bCs/>
        </w:rPr>
        <w:t>问题</w:t>
      </w:r>
      <w:r w:rsidRPr="0079738A">
        <w:rPr>
          <w:rFonts w:ascii="Times New Roman" w:hAnsi="Times New Roman" w:cs="Times New Roman"/>
          <w:b/>
          <w:bCs/>
        </w:rPr>
        <w:t>3</w:t>
      </w:r>
      <w:r w:rsidRPr="0079738A">
        <w:rPr>
          <w:rFonts w:ascii="Times New Roman" w:hAnsi="Times New Roman" w:cs="Times New Roman"/>
          <w:b/>
          <w:bCs/>
        </w:rPr>
        <w:t>：美国公司</w:t>
      </w:r>
      <w:r w:rsidR="00EB67A3">
        <w:rPr>
          <w:rFonts w:ascii="Times New Roman" w:hAnsi="Times New Roman" w:cs="Times New Roman" w:hint="eastAsia"/>
          <w:b/>
          <w:bCs/>
        </w:rPr>
        <w:t>利润</w:t>
      </w:r>
      <w:r w:rsidRPr="0079738A">
        <w:rPr>
          <w:rFonts w:ascii="Times New Roman" w:hAnsi="Times New Roman" w:cs="Times New Roman"/>
          <w:b/>
          <w:bCs/>
        </w:rPr>
        <w:t>的持续改善是怎么发生的？</w:t>
      </w:r>
    </w:p>
    <w:p w14:paraId="56B9BB74" w14:textId="7557D307" w:rsidR="0017073E" w:rsidRPr="0079738A" w:rsidRDefault="0017073E" w:rsidP="00E80281">
      <w:pPr>
        <w:spacing w:line="360" w:lineRule="auto"/>
        <w:ind w:firstLineChars="200" w:firstLine="489"/>
        <w:rPr>
          <w:rFonts w:ascii="Times New Roman" w:hAnsi="Times New Roman" w:cs="Times New Roman"/>
          <w:b/>
          <w:bCs/>
        </w:rPr>
      </w:pPr>
      <w:r w:rsidRPr="0079738A">
        <w:rPr>
          <w:rFonts w:ascii="Times New Roman" w:hAnsi="Times New Roman" w:cs="Times New Roman"/>
          <w:b/>
          <w:bCs/>
        </w:rPr>
        <w:t>问题</w:t>
      </w:r>
      <w:r w:rsidRPr="0079738A">
        <w:rPr>
          <w:rFonts w:ascii="Times New Roman" w:hAnsi="Times New Roman" w:cs="Times New Roman"/>
          <w:b/>
          <w:bCs/>
        </w:rPr>
        <w:t>4</w:t>
      </w:r>
      <w:r w:rsidRPr="0079738A">
        <w:rPr>
          <w:rFonts w:ascii="Times New Roman" w:hAnsi="Times New Roman" w:cs="Times New Roman"/>
          <w:b/>
          <w:bCs/>
        </w:rPr>
        <w:t>：美国政府巨额债务募集的资金流向了哪里？</w:t>
      </w:r>
    </w:p>
    <w:p w14:paraId="2E593146" w14:textId="77777777" w:rsidR="004B2881" w:rsidRPr="00C3146C" w:rsidRDefault="004B2881" w:rsidP="00E80281">
      <w:pPr>
        <w:spacing w:line="360" w:lineRule="auto"/>
        <w:ind w:firstLineChars="200" w:firstLine="480"/>
        <w:rPr>
          <w:rFonts w:ascii="Times New Roman" w:hAnsi="Times New Roman" w:cs="Times New Roman"/>
        </w:rPr>
      </w:pPr>
    </w:p>
    <w:p w14:paraId="2EC425FE" w14:textId="02C2377F" w:rsidR="00F614B9" w:rsidRPr="00C3146C" w:rsidRDefault="00F614B9" w:rsidP="008E5F4C">
      <w:pPr>
        <w:spacing w:line="360" w:lineRule="auto"/>
        <w:rPr>
          <w:rFonts w:ascii="黑体" w:eastAsia="黑体" w:hAnsi="黑体" w:cs="Times New Roman"/>
        </w:rPr>
      </w:pPr>
      <w:r w:rsidRPr="00C3146C">
        <w:rPr>
          <w:rFonts w:ascii="黑体" w:eastAsia="黑体" w:hAnsi="黑体" w:cs="Times New Roman" w:hint="eastAsia"/>
        </w:rPr>
        <w:t>三、</w:t>
      </w:r>
      <w:r w:rsidR="00F858B9" w:rsidRPr="00C3146C">
        <w:rPr>
          <w:rFonts w:ascii="黑体" w:eastAsia="黑体" w:hAnsi="黑体" w:cs="Times New Roman" w:hint="eastAsia"/>
        </w:rPr>
        <w:t>从表内到表外：美国</w:t>
      </w:r>
      <w:r w:rsidR="003A7DB1" w:rsidRPr="00C3146C">
        <w:rPr>
          <w:rFonts w:ascii="黑体" w:eastAsia="黑体" w:hAnsi="黑体" w:cs="Times New Roman" w:hint="eastAsia"/>
        </w:rPr>
        <w:t>的</w:t>
      </w:r>
      <w:r w:rsidR="00F858B9" w:rsidRPr="00C3146C">
        <w:rPr>
          <w:rFonts w:ascii="黑体" w:eastAsia="黑体" w:hAnsi="黑体" w:cs="Times New Roman" w:hint="eastAsia"/>
        </w:rPr>
        <w:t>经济增长路径解析</w:t>
      </w:r>
    </w:p>
    <w:p w14:paraId="35F259C4" w14:textId="77777777" w:rsidR="006C7922" w:rsidRPr="00C3146C" w:rsidRDefault="006C7922" w:rsidP="007D27AC">
      <w:pPr>
        <w:spacing w:line="360" w:lineRule="auto"/>
        <w:ind w:firstLineChars="200" w:firstLine="480"/>
        <w:rPr>
          <w:rFonts w:ascii="Times New Roman" w:hAnsi="Times New Roman" w:cs="Times New Roman"/>
        </w:rPr>
      </w:pPr>
    </w:p>
    <w:p w14:paraId="2D6A7B89" w14:textId="64CF78CF" w:rsidR="0097773C" w:rsidRPr="00C3146C" w:rsidRDefault="00B25DDC" w:rsidP="007D27AC">
      <w:pPr>
        <w:spacing w:line="360" w:lineRule="auto"/>
        <w:ind w:firstLineChars="200" w:firstLine="480"/>
        <w:rPr>
          <w:rFonts w:ascii="Times New Roman" w:hAnsi="Times New Roman" w:cs="Times New Roman"/>
        </w:rPr>
      </w:pPr>
      <w:r w:rsidRPr="00BA2CA5">
        <w:rPr>
          <w:rFonts w:ascii="Times New Roman" w:hAnsi="Times New Roman" w:cs="Times New Roman" w:hint="eastAsia"/>
        </w:rPr>
        <w:t>在美国三部门收支的问题中，存在一个共性特征：</w:t>
      </w:r>
      <w:r w:rsidRPr="00BA2CA5">
        <w:rPr>
          <w:rFonts w:ascii="黑体" w:eastAsia="黑体" w:hAnsi="黑体" w:cs="Times New Roman" w:hint="eastAsia"/>
        </w:rPr>
        <w:t>表外化</w:t>
      </w:r>
      <w:r w:rsidR="00FD769F" w:rsidRPr="00BA2CA5">
        <w:rPr>
          <w:rFonts w:ascii="黑体" w:eastAsia="黑体" w:hAnsi="黑体" w:cs="Times New Roman" w:hint="eastAsia"/>
        </w:rPr>
        <w:t>增长</w:t>
      </w:r>
      <w:r w:rsidRPr="00BA2CA5">
        <w:rPr>
          <w:rFonts w:ascii="Times New Roman" w:hAnsi="Times New Roman" w:cs="Times New Roman" w:hint="eastAsia"/>
        </w:rPr>
        <w:t>。家庭医疗支出的支付来自独立的医疗支付体系，它独立于美国的国民经济账户</w:t>
      </w:r>
      <w:r w:rsidR="00BA2CA5">
        <w:rPr>
          <w:rFonts w:ascii="Times New Roman" w:hAnsi="Times New Roman" w:cs="Times New Roman" w:hint="eastAsia"/>
        </w:rPr>
        <w:t>体系</w:t>
      </w:r>
      <w:r w:rsidRPr="00BA2CA5">
        <w:rPr>
          <w:rFonts w:ascii="Times New Roman" w:hAnsi="Times New Roman" w:cs="Times New Roman" w:hint="eastAsia"/>
        </w:rPr>
        <w:t>，是美国财政部监管的独立账户；美国家庭资产性收入来自利息与公司净利润分红，产生这些收益的基础是美国家庭的存量资产配置，国民经济账户</w:t>
      </w:r>
      <w:r w:rsidR="006A0148">
        <w:rPr>
          <w:rFonts w:ascii="Times New Roman" w:hAnsi="Times New Roman" w:cs="Times New Roman" w:hint="eastAsia"/>
        </w:rPr>
        <w:t>体系</w:t>
      </w:r>
      <w:r w:rsidRPr="00BA2CA5">
        <w:rPr>
          <w:rFonts w:ascii="Times New Roman" w:hAnsi="Times New Roman" w:cs="Times New Roman" w:hint="eastAsia"/>
        </w:rPr>
        <w:t>是以统计增量为主的报表体系，存量资产不在核算之列；公司</w:t>
      </w:r>
      <w:r w:rsidR="00BA2CA5" w:rsidRPr="00BA2CA5">
        <w:rPr>
          <w:rFonts w:ascii="Times New Roman" w:hAnsi="Times New Roman" w:cs="Times New Roman" w:hint="eastAsia"/>
        </w:rPr>
        <w:t>利润</w:t>
      </w:r>
      <w:r w:rsidRPr="00BA2CA5">
        <w:rPr>
          <w:rFonts w:ascii="Times New Roman" w:hAnsi="Times New Roman" w:cs="Times New Roman" w:hint="eastAsia"/>
        </w:rPr>
        <w:t>的改善并不是来自追加固定资产投资</w:t>
      </w:r>
      <w:r w:rsidR="001F2B93" w:rsidRPr="00BA2CA5">
        <w:rPr>
          <w:rFonts w:ascii="Times New Roman" w:hAnsi="Times New Roman" w:cs="Times New Roman" w:hint="eastAsia"/>
        </w:rPr>
        <w:t>，</w:t>
      </w:r>
      <w:r w:rsidRPr="00BA2CA5">
        <w:rPr>
          <w:rFonts w:ascii="Times New Roman" w:hAnsi="Times New Roman" w:cs="Times New Roman" w:hint="eastAsia"/>
        </w:rPr>
        <w:t>也不是劳动力供应的增加，追踪业绩改善的发生</w:t>
      </w:r>
      <w:r w:rsidRPr="00C3146C">
        <w:rPr>
          <w:rFonts w:ascii="Times New Roman" w:hAnsi="Times New Roman" w:cs="Times New Roman" w:hint="eastAsia"/>
        </w:rPr>
        <w:t>只能从公司的报表体系着手，它同样是独立于国民经济账户体系的表外项目；国民经济账户</w:t>
      </w:r>
      <w:r w:rsidR="006A0148">
        <w:rPr>
          <w:rFonts w:ascii="Times New Roman" w:hAnsi="Times New Roman" w:cs="Times New Roman" w:hint="eastAsia"/>
        </w:rPr>
        <w:t>体系</w:t>
      </w:r>
      <w:r w:rsidRPr="00C3146C">
        <w:rPr>
          <w:rFonts w:ascii="Times New Roman" w:hAnsi="Times New Roman" w:cs="Times New Roman" w:hint="eastAsia"/>
        </w:rPr>
        <w:t>的政府收支仅限于政府支出、投资和生产税收入，它们并不反映债务融资募集资金的流向，追踪资金流向要从历次特别债务发行的国会文件着手，它涉及美国政治、经济、社会等多个领域，依然是表外项目。</w:t>
      </w:r>
    </w:p>
    <w:p w14:paraId="69120D9C" w14:textId="77777777" w:rsidR="00897F20" w:rsidRDefault="00897F20" w:rsidP="007D27AC">
      <w:pPr>
        <w:spacing w:line="360" w:lineRule="auto"/>
        <w:ind w:firstLineChars="200" w:firstLine="480"/>
        <w:rPr>
          <w:rFonts w:ascii="Times New Roman" w:hAnsi="Times New Roman" w:cs="Times New Roman"/>
        </w:rPr>
      </w:pPr>
    </w:p>
    <w:p w14:paraId="74A10784" w14:textId="34F0306D" w:rsidR="00A4137F" w:rsidRPr="00C3146C" w:rsidRDefault="00DB7C10" w:rsidP="007762FF">
      <w:pPr>
        <w:spacing w:line="360" w:lineRule="auto"/>
        <w:rPr>
          <w:rFonts w:ascii="Times New Roman" w:hAnsi="Times New Roman" w:cs="Times New Roman"/>
          <w:b/>
          <w:bCs/>
        </w:rPr>
      </w:pPr>
      <w:r w:rsidRPr="00C3146C">
        <w:rPr>
          <w:rFonts w:ascii="Times New Roman" w:hAnsi="Times New Roman" w:cs="Times New Roman" w:hint="eastAsia"/>
          <w:b/>
          <w:bCs/>
        </w:rPr>
        <w:t>（一）</w:t>
      </w:r>
      <w:r w:rsidR="00A4137F" w:rsidRPr="00C3146C">
        <w:rPr>
          <w:rFonts w:ascii="Times New Roman" w:hAnsi="Times New Roman" w:cs="Times New Roman" w:hint="eastAsia"/>
          <w:b/>
          <w:bCs/>
        </w:rPr>
        <w:t>增长路径一：</w:t>
      </w:r>
      <w:r w:rsidR="00027FC7" w:rsidRPr="00C3146C">
        <w:rPr>
          <w:rFonts w:ascii="Times New Roman" w:hAnsi="Times New Roman" w:cs="Times New Roman" w:hint="eastAsia"/>
          <w:b/>
          <w:bCs/>
        </w:rPr>
        <w:t>表外</w:t>
      </w:r>
      <w:r w:rsidR="006124B6" w:rsidRPr="00C3146C">
        <w:rPr>
          <w:rFonts w:ascii="Times New Roman" w:hAnsi="Times New Roman" w:cs="Times New Roman" w:hint="eastAsia"/>
          <w:b/>
          <w:bCs/>
        </w:rPr>
        <w:t>兜底</w:t>
      </w:r>
      <w:r w:rsidR="00027FC7" w:rsidRPr="00C3146C">
        <w:rPr>
          <w:rFonts w:ascii="Times New Roman" w:hAnsi="Times New Roman" w:cs="Times New Roman" w:hint="eastAsia"/>
          <w:b/>
          <w:bCs/>
        </w:rPr>
        <w:t>与</w:t>
      </w:r>
      <w:r w:rsidR="00CF7C31" w:rsidRPr="00C3146C">
        <w:rPr>
          <w:rFonts w:ascii="Times New Roman" w:hAnsi="Times New Roman" w:cs="Times New Roman" w:hint="eastAsia"/>
          <w:b/>
          <w:bCs/>
        </w:rPr>
        <w:t>医疗体系扩张</w:t>
      </w:r>
    </w:p>
    <w:p w14:paraId="7D28E69C" w14:textId="4F0B9C40" w:rsidR="00F65F5A" w:rsidRDefault="00F65F5A" w:rsidP="006A7930">
      <w:pPr>
        <w:spacing w:line="360" w:lineRule="auto"/>
        <w:ind w:firstLineChars="200" w:firstLine="480"/>
        <w:rPr>
          <w:rFonts w:ascii="Times New Roman" w:hAnsi="Times New Roman" w:cs="Times New Roman"/>
        </w:rPr>
      </w:pPr>
      <w:r w:rsidRPr="00BA2CA5">
        <w:rPr>
          <w:rFonts w:ascii="Times New Roman" w:hAnsi="Times New Roman" w:cs="Times New Roman" w:hint="eastAsia"/>
        </w:rPr>
        <w:t>在美国经济账户中，存在两个独立的核算口径，医疗</w:t>
      </w:r>
      <w:r w:rsidR="001F2B93" w:rsidRPr="00BA2CA5">
        <w:rPr>
          <w:rFonts w:ascii="Times New Roman" w:hAnsi="Times New Roman" w:cs="Times New Roman" w:hint="eastAsia"/>
        </w:rPr>
        <w:t>服务</w:t>
      </w:r>
      <w:r w:rsidRPr="00BA2CA5">
        <w:rPr>
          <w:rFonts w:ascii="Times New Roman" w:hAnsi="Times New Roman" w:cs="Times New Roman" w:hint="eastAsia"/>
        </w:rPr>
        <w:t>（</w:t>
      </w:r>
      <w:r w:rsidR="001F2B93" w:rsidRPr="00BA2CA5">
        <w:rPr>
          <w:rFonts w:ascii="Times New Roman" w:hAnsi="Times New Roman" w:cs="Times New Roman"/>
        </w:rPr>
        <w:t>h</w:t>
      </w:r>
      <w:r w:rsidRPr="00BA2CA5">
        <w:rPr>
          <w:rFonts w:ascii="Times New Roman" w:hAnsi="Times New Roman" w:cs="Times New Roman" w:hint="eastAsia"/>
        </w:rPr>
        <w:t xml:space="preserve">ealthcare </w:t>
      </w:r>
      <w:r w:rsidR="001F2B93" w:rsidRPr="00BA2CA5">
        <w:rPr>
          <w:rFonts w:ascii="Times New Roman" w:hAnsi="Times New Roman" w:cs="Times New Roman"/>
        </w:rPr>
        <w:t>s</w:t>
      </w:r>
      <w:r w:rsidRPr="00BA2CA5">
        <w:rPr>
          <w:rFonts w:ascii="Times New Roman" w:hAnsi="Times New Roman" w:cs="Times New Roman" w:hint="eastAsia"/>
        </w:rPr>
        <w:t>ervice</w:t>
      </w:r>
      <w:r w:rsidRPr="00BA2CA5">
        <w:rPr>
          <w:rFonts w:ascii="Times New Roman" w:hAnsi="Times New Roman" w:cs="Times New Roman" w:hint="eastAsia"/>
        </w:rPr>
        <w:t>）和药品（</w:t>
      </w:r>
      <w:r w:rsidR="001F2B93" w:rsidRPr="00BA2CA5">
        <w:rPr>
          <w:rFonts w:ascii="Times New Roman" w:hAnsi="Times New Roman" w:cs="Times New Roman"/>
        </w:rPr>
        <w:t>p</w:t>
      </w:r>
      <w:r w:rsidRPr="00BA2CA5">
        <w:rPr>
          <w:rFonts w:ascii="Times New Roman" w:hAnsi="Times New Roman" w:cs="Times New Roman"/>
        </w:rPr>
        <w:t>harmaceutical</w:t>
      </w:r>
      <w:r w:rsidRPr="00BA2CA5">
        <w:rPr>
          <w:rFonts w:ascii="Times New Roman" w:hAnsi="Times New Roman" w:cs="Times New Roman" w:hint="eastAsia"/>
        </w:rPr>
        <w:t>）：前者计入家庭服务支出，它包括出诊服务、医院和护理服务两大类</w:t>
      </w:r>
      <w:r w:rsidR="00426633" w:rsidRPr="00BA2CA5">
        <w:rPr>
          <w:rFonts w:ascii="Times New Roman" w:hAnsi="Times New Roman" w:cs="Times New Roman" w:hint="eastAsia"/>
        </w:rPr>
        <w:t>，由政府、团体医疗</w:t>
      </w:r>
      <w:r w:rsidR="001F2B93" w:rsidRPr="00BA2CA5">
        <w:rPr>
          <w:rFonts w:ascii="Times New Roman" w:hAnsi="Times New Roman" w:cs="Times New Roman" w:hint="eastAsia"/>
        </w:rPr>
        <w:t>险</w:t>
      </w:r>
      <w:r w:rsidR="00426633" w:rsidRPr="00BA2CA5">
        <w:rPr>
          <w:rFonts w:ascii="Times New Roman" w:hAnsi="Times New Roman" w:cs="Times New Roman" w:hint="eastAsia"/>
        </w:rPr>
        <w:t>、私人医保和家庭</w:t>
      </w:r>
      <w:r w:rsidR="00426633" w:rsidRPr="00C3146C">
        <w:rPr>
          <w:rFonts w:ascii="Times New Roman" w:hAnsi="Times New Roman" w:cs="Times New Roman" w:hint="eastAsia"/>
        </w:rPr>
        <w:t>支付现金构成</w:t>
      </w:r>
      <w:r w:rsidRPr="00C3146C">
        <w:rPr>
          <w:rFonts w:ascii="Times New Roman" w:hAnsi="Times New Roman" w:cs="Times New Roman" w:hint="eastAsia"/>
        </w:rPr>
        <w:t>；后者计入</w:t>
      </w:r>
      <w:r w:rsidR="00035C26" w:rsidRPr="00C3146C">
        <w:rPr>
          <w:rFonts w:ascii="Times New Roman" w:hAnsi="Times New Roman" w:cs="Times New Roman" w:hint="eastAsia"/>
        </w:rPr>
        <w:t>非耐用消费品其他门类</w:t>
      </w:r>
      <w:r w:rsidR="00426633" w:rsidRPr="00C3146C">
        <w:rPr>
          <w:rFonts w:ascii="Times New Roman" w:hAnsi="Times New Roman" w:cs="Times New Roman" w:hint="eastAsia"/>
        </w:rPr>
        <w:t>，由家庭直接支付现金</w:t>
      </w:r>
      <w:r w:rsidR="00035C26" w:rsidRPr="00C3146C">
        <w:rPr>
          <w:rFonts w:ascii="Times New Roman" w:hAnsi="Times New Roman" w:cs="Times New Roman" w:hint="eastAsia"/>
        </w:rPr>
        <w:t>。</w:t>
      </w:r>
      <w:r w:rsidR="001F2B93" w:rsidRPr="00C3146C">
        <w:rPr>
          <w:rStyle w:val="a5"/>
          <w:rFonts w:ascii="Times New Roman" w:hAnsi="Times New Roman" w:cs="Times New Roman"/>
        </w:rPr>
        <w:footnoteReference w:id="16"/>
      </w:r>
      <w:r w:rsidR="00035C26" w:rsidRPr="00C3146C">
        <w:rPr>
          <w:rFonts w:ascii="Times New Roman" w:hAnsi="Times New Roman" w:cs="Times New Roman" w:hint="eastAsia"/>
        </w:rPr>
        <w:t>此外，政府消费支出中还存在一个</w:t>
      </w:r>
      <w:r w:rsidR="00BA2CA5">
        <w:rPr>
          <w:rFonts w:ascii="Times New Roman" w:hAnsi="Times New Roman" w:cs="Times New Roman" w:hint="eastAsia"/>
        </w:rPr>
        <w:t>特殊群体的</w:t>
      </w:r>
      <w:r w:rsidR="00035C26" w:rsidRPr="00C3146C">
        <w:rPr>
          <w:rFonts w:ascii="Times New Roman" w:hAnsi="Times New Roman" w:cs="Times New Roman" w:hint="eastAsia"/>
        </w:rPr>
        <w:t>医疗支出明细账户。</w:t>
      </w:r>
      <w:r w:rsidR="00035C26" w:rsidRPr="00270396">
        <w:rPr>
          <w:rFonts w:ascii="Times New Roman" w:hAnsi="Times New Roman" w:cs="Times New Roman" w:hint="eastAsia"/>
        </w:rPr>
        <w:t>202</w:t>
      </w:r>
      <w:r w:rsidR="00270396" w:rsidRPr="00270396">
        <w:rPr>
          <w:rFonts w:ascii="Times New Roman" w:hAnsi="Times New Roman" w:cs="Times New Roman" w:hint="eastAsia"/>
        </w:rPr>
        <w:t>2</w:t>
      </w:r>
      <w:r w:rsidR="00035C26" w:rsidRPr="00270396">
        <w:rPr>
          <w:rFonts w:ascii="Times New Roman" w:hAnsi="Times New Roman" w:cs="Times New Roman" w:hint="eastAsia"/>
        </w:rPr>
        <w:t>年，</w:t>
      </w:r>
      <w:r w:rsidR="00BA2CA5" w:rsidRPr="00270396">
        <w:rPr>
          <w:rFonts w:ascii="Times New Roman" w:hAnsi="Times New Roman" w:cs="Times New Roman" w:hint="eastAsia"/>
        </w:rPr>
        <w:t>医疗服务、药品支出和特殊群体医疗支出等</w:t>
      </w:r>
      <w:r w:rsidR="00035C26" w:rsidRPr="00270396">
        <w:rPr>
          <w:rFonts w:ascii="Times New Roman" w:hAnsi="Times New Roman" w:cs="Times New Roman" w:hint="eastAsia"/>
        </w:rPr>
        <w:t>三类账户的入账金额分别为</w:t>
      </w:r>
      <w:r w:rsidR="00270396" w:rsidRPr="00270396">
        <w:rPr>
          <w:rFonts w:ascii="Times New Roman" w:hAnsi="Times New Roman" w:cs="Times New Roman" w:hint="eastAsia"/>
        </w:rPr>
        <w:t>2.77</w:t>
      </w:r>
      <w:r w:rsidR="00035C26" w:rsidRPr="00270396">
        <w:rPr>
          <w:rFonts w:ascii="Times New Roman" w:hAnsi="Times New Roman" w:cs="Times New Roman" w:hint="eastAsia"/>
        </w:rPr>
        <w:t>万亿</w:t>
      </w:r>
      <w:r w:rsidR="001F2B93" w:rsidRPr="00270396">
        <w:rPr>
          <w:rFonts w:ascii="Times New Roman" w:hAnsi="Times New Roman" w:cs="Times New Roman" w:hint="eastAsia"/>
        </w:rPr>
        <w:t>美元</w:t>
      </w:r>
      <w:r w:rsidR="00035C26" w:rsidRPr="00270396">
        <w:rPr>
          <w:rFonts w:ascii="Times New Roman" w:hAnsi="Times New Roman" w:cs="Times New Roman" w:hint="eastAsia"/>
        </w:rPr>
        <w:t>、</w:t>
      </w:r>
      <w:r w:rsidR="00270396" w:rsidRPr="00270396">
        <w:rPr>
          <w:rFonts w:ascii="Times New Roman" w:hAnsi="Times New Roman" w:cs="Times New Roman" w:hint="eastAsia"/>
        </w:rPr>
        <w:t>5752</w:t>
      </w:r>
      <w:r w:rsidR="00035C26" w:rsidRPr="00270396">
        <w:rPr>
          <w:rFonts w:ascii="Times New Roman" w:hAnsi="Times New Roman" w:cs="Times New Roman" w:hint="eastAsia"/>
        </w:rPr>
        <w:t>亿</w:t>
      </w:r>
      <w:r w:rsidR="001F2B93" w:rsidRPr="00270396">
        <w:rPr>
          <w:rFonts w:ascii="Times New Roman" w:hAnsi="Times New Roman" w:cs="Times New Roman" w:hint="eastAsia"/>
        </w:rPr>
        <w:t>美元</w:t>
      </w:r>
      <w:r w:rsidR="00035C26" w:rsidRPr="00270396">
        <w:rPr>
          <w:rFonts w:ascii="Times New Roman" w:hAnsi="Times New Roman" w:cs="Times New Roman" w:hint="eastAsia"/>
        </w:rPr>
        <w:t>、</w:t>
      </w:r>
      <w:r w:rsidR="00035C26" w:rsidRPr="00270396">
        <w:rPr>
          <w:rFonts w:ascii="Times New Roman" w:hAnsi="Times New Roman" w:cs="Times New Roman" w:hint="eastAsia"/>
        </w:rPr>
        <w:t>4634</w:t>
      </w:r>
      <w:r w:rsidR="00035C26" w:rsidRPr="00270396">
        <w:rPr>
          <w:rFonts w:ascii="Times New Roman" w:hAnsi="Times New Roman" w:cs="Times New Roman" w:hint="eastAsia"/>
        </w:rPr>
        <w:t>亿</w:t>
      </w:r>
      <w:r w:rsidR="001F2B93" w:rsidRPr="00270396">
        <w:rPr>
          <w:rFonts w:ascii="Times New Roman" w:hAnsi="Times New Roman" w:cs="Times New Roman" w:hint="eastAsia"/>
        </w:rPr>
        <w:t>美元，</w:t>
      </w:r>
      <w:r w:rsidR="00061A13" w:rsidRPr="00270396">
        <w:rPr>
          <w:rFonts w:ascii="Times New Roman" w:hAnsi="Times New Roman" w:cs="Times New Roman" w:hint="eastAsia"/>
        </w:rPr>
        <w:t>三者合计</w:t>
      </w:r>
      <w:r w:rsidR="006E3C85" w:rsidRPr="00270396">
        <w:rPr>
          <w:rFonts w:ascii="Times New Roman" w:hAnsi="Times New Roman" w:cs="Times New Roman" w:hint="eastAsia"/>
        </w:rPr>
        <w:t>贡献了</w:t>
      </w:r>
      <w:r w:rsidR="00061A13" w:rsidRPr="00270396">
        <w:rPr>
          <w:rFonts w:ascii="Times New Roman" w:hAnsi="Times New Roman" w:cs="Times New Roman" w:hint="eastAsia"/>
        </w:rPr>
        <w:t>14.</w:t>
      </w:r>
      <w:r w:rsidR="00270396" w:rsidRPr="00270396">
        <w:rPr>
          <w:rFonts w:ascii="Times New Roman" w:hAnsi="Times New Roman" w:cs="Times New Roman" w:hint="eastAsia"/>
        </w:rPr>
        <w:t>8</w:t>
      </w:r>
      <w:r w:rsidR="00061A13" w:rsidRPr="00270396">
        <w:rPr>
          <w:rFonts w:ascii="Times New Roman" w:hAnsi="Times New Roman" w:cs="Times New Roman" w:hint="eastAsia"/>
        </w:rPr>
        <w:t>%</w:t>
      </w:r>
      <w:r w:rsidR="006E3C85" w:rsidRPr="00270396">
        <w:rPr>
          <w:rFonts w:ascii="Times New Roman" w:hAnsi="Times New Roman" w:cs="Times New Roman" w:hint="eastAsia"/>
        </w:rPr>
        <w:t>的</w:t>
      </w:r>
      <w:r w:rsidR="006E3C85" w:rsidRPr="00270396">
        <w:rPr>
          <w:rFonts w:ascii="Times New Roman" w:hAnsi="Times New Roman" w:cs="Times New Roman" w:hint="eastAsia"/>
        </w:rPr>
        <w:t>GDP</w:t>
      </w:r>
      <w:r w:rsidR="006E3C85" w:rsidRPr="00270396">
        <w:rPr>
          <w:rFonts w:ascii="Times New Roman" w:hAnsi="Times New Roman" w:cs="Times New Roman" w:hint="eastAsia"/>
        </w:rPr>
        <w:t>份额。</w:t>
      </w:r>
      <w:r w:rsidR="004B0509" w:rsidRPr="00270396">
        <w:rPr>
          <w:rFonts w:ascii="Times New Roman" w:hAnsi="Times New Roman" w:cs="Times New Roman" w:hint="eastAsia"/>
        </w:rPr>
        <w:t>如</w:t>
      </w:r>
      <w:r w:rsidR="004B0509" w:rsidRPr="00C3146C">
        <w:rPr>
          <w:rFonts w:ascii="Times New Roman" w:hAnsi="Times New Roman" w:cs="Times New Roman" w:hint="eastAsia"/>
        </w:rPr>
        <w:t>果把核算口径细化</w:t>
      </w:r>
      <w:r w:rsidR="004B0509" w:rsidRPr="00C3146C">
        <w:rPr>
          <w:rFonts w:ascii="Times New Roman" w:hAnsi="Times New Roman" w:cs="Times New Roman" w:hint="eastAsia"/>
        </w:rPr>
        <w:lastRenderedPageBreak/>
        <w:t>到家庭支出，则</w:t>
      </w:r>
      <w:r w:rsidR="004B0509" w:rsidRPr="00C3146C">
        <w:rPr>
          <w:rFonts w:ascii="Times New Roman" w:hAnsi="Times New Roman" w:cs="Times New Roman" w:hint="eastAsia"/>
        </w:rPr>
        <w:t>2023</w:t>
      </w:r>
      <w:r w:rsidR="004B0509" w:rsidRPr="00C3146C">
        <w:rPr>
          <w:rFonts w:ascii="Times New Roman" w:hAnsi="Times New Roman" w:cs="Times New Roman" w:hint="eastAsia"/>
        </w:rPr>
        <w:t>年美国家庭部门用于医</w:t>
      </w:r>
      <w:r w:rsidR="004B0509" w:rsidRPr="00BA2CA5">
        <w:rPr>
          <w:rFonts w:ascii="Times New Roman" w:hAnsi="Times New Roman" w:cs="Times New Roman" w:hint="eastAsia"/>
        </w:rPr>
        <w:t>疗服务和购买药品的支出占家庭实际支出的比例为</w:t>
      </w:r>
      <w:r w:rsidR="004B0509" w:rsidRPr="00BA2CA5">
        <w:rPr>
          <w:rFonts w:ascii="Times New Roman" w:hAnsi="Times New Roman" w:cs="Times New Roman" w:hint="eastAsia"/>
        </w:rPr>
        <w:t>23.5%</w:t>
      </w:r>
      <w:r w:rsidR="004B0509" w:rsidRPr="00BA2CA5">
        <w:rPr>
          <w:rFonts w:ascii="Times New Roman" w:hAnsi="Times New Roman" w:cs="Times New Roman" w:hint="eastAsia"/>
        </w:rPr>
        <w:t>，</w:t>
      </w:r>
      <w:r w:rsidR="00274F9B" w:rsidRPr="00BA2CA5">
        <w:rPr>
          <w:rFonts w:ascii="Times New Roman" w:hAnsi="Times New Roman" w:cs="Times New Roman" w:hint="eastAsia"/>
        </w:rPr>
        <w:t>医疗服务主要</w:t>
      </w:r>
      <w:r w:rsidR="004B0509" w:rsidRPr="00BA2CA5">
        <w:rPr>
          <w:rFonts w:ascii="Times New Roman" w:hAnsi="Times New Roman" w:cs="Times New Roman" w:hint="eastAsia"/>
        </w:rPr>
        <w:t>通过政府医保（</w:t>
      </w:r>
      <w:r w:rsidR="004B0509" w:rsidRPr="00BA2CA5">
        <w:rPr>
          <w:rFonts w:ascii="Times New Roman" w:hAnsi="Times New Roman" w:cs="Times New Roman" w:hint="eastAsia"/>
        </w:rPr>
        <w:t>Medicare</w:t>
      </w:r>
      <w:r w:rsidR="004B0509" w:rsidRPr="00BA2CA5">
        <w:rPr>
          <w:rFonts w:ascii="Times New Roman" w:hAnsi="Times New Roman" w:cs="Times New Roman" w:hint="eastAsia"/>
        </w:rPr>
        <w:t>和</w:t>
      </w:r>
      <w:r w:rsidR="004B0509" w:rsidRPr="00BA2CA5">
        <w:rPr>
          <w:rFonts w:ascii="Times New Roman" w:hAnsi="Times New Roman" w:cs="Times New Roman" w:hint="eastAsia"/>
        </w:rPr>
        <w:t>Medicaid</w:t>
      </w:r>
      <w:r w:rsidR="004B0509" w:rsidRPr="00BA2CA5">
        <w:rPr>
          <w:rFonts w:ascii="Times New Roman" w:hAnsi="Times New Roman" w:cs="Times New Roman" w:hint="eastAsia"/>
        </w:rPr>
        <w:t>）、雇主团体医疗</w:t>
      </w:r>
      <w:r w:rsidR="001F2B93" w:rsidRPr="00BA2CA5">
        <w:rPr>
          <w:rFonts w:ascii="Times New Roman" w:hAnsi="Times New Roman" w:cs="Times New Roman" w:hint="eastAsia"/>
        </w:rPr>
        <w:t>险</w:t>
      </w:r>
      <w:r w:rsidR="004B0509" w:rsidRPr="00BA2CA5">
        <w:rPr>
          <w:rFonts w:ascii="Times New Roman" w:hAnsi="Times New Roman" w:cs="Times New Roman" w:hint="eastAsia"/>
        </w:rPr>
        <w:t>和家庭医疗保险支付</w:t>
      </w:r>
      <w:r w:rsidR="00274F9B" w:rsidRPr="00BA2CA5">
        <w:rPr>
          <w:rFonts w:ascii="Times New Roman" w:hAnsi="Times New Roman" w:cs="Times New Roman" w:hint="eastAsia"/>
        </w:rPr>
        <w:t>，家</w:t>
      </w:r>
      <w:r w:rsidR="00274F9B" w:rsidRPr="00C3146C">
        <w:rPr>
          <w:rFonts w:ascii="Times New Roman" w:hAnsi="Times New Roman" w:cs="Times New Roman" w:hint="eastAsia"/>
        </w:rPr>
        <w:t>庭实际支付的货币金额约</w:t>
      </w:r>
      <w:r w:rsidR="001F2B93">
        <w:rPr>
          <w:rFonts w:ascii="Times New Roman" w:hAnsi="Times New Roman" w:cs="Times New Roman" w:hint="eastAsia"/>
        </w:rPr>
        <w:t>为</w:t>
      </w:r>
      <w:r w:rsidR="00274F9B" w:rsidRPr="00C3146C">
        <w:rPr>
          <w:rFonts w:ascii="Times New Roman" w:hAnsi="Times New Roman" w:cs="Times New Roman" w:hint="eastAsia"/>
        </w:rPr>
        <w:t>508</w:t>
      </w:r>
      <w:r w:rsidR="00731CC1" w:rsidRPr="00C3146C">
        <w:rPr>
          <w:rFonts w:ascii="Times New Roman" w:hAnsi="Times New Roman" w:cs="Times New Roman" w:hint="eastAsia"/>
        </w:rPr>
        <w:t>6</w:t>
      </w:r>
      <w:r w:rsidR="00274F9B" w:rsidRPr="00C3146C">
        <w:rPr>
          <w:rFonts w:ascii="Times New Roman" w:hAnsi="Times New Roman" w:cs="Times New Roman" w:hint="eastAsia"/>
        </w:rPr>
        <w:t>亿</w:t>
      </w:r>
      <w:r w:rsidR="001F2B93">
        <w:rPr>
          <w:rFonts w:ascii="Times New Roman" w:hAnsi="Times New Roman" w:cs="Times New Roman" w:hint="eastAsia"/>
        </w:rPr>
        <w:t>美元</w:t>
      </w:r>
      <w:r w:rsidR="00274F9B" w:rsidRPr="00C3146C">
        <w:rPr>
          <w:rFonts w:ascii="Times New Roman" w:hAnsi="Times New Roman" w:cs="Times New Roman" w:hint="eastAsia"/>
        </w:rPr>
        <w:t>，药品支出的大部分由家庭支付货币购买，</w:t>
      </w:r>
      <w:r w:rsidR="002159FB" w:rsidRPr="00C3146C">
        <w:rPr>
          <w:rFonts w:ascii="Times New Roman" w:hAnsi="Times New Roman" w:cs="Times New Roman" w:hint="eastAsia"/>
        </w:rPr>
        <w:t>两项货币</w:t>
      </w:r>
      <w:r w:rsidR="00C73D25" w:rsidRPr="00C3146C">
        <w:rPr>
          <w:rFonts w:ascii="Times New Roman" w:hAnsi="Times New Roman" w:cs="Times New Roman" w:hint="eastAsia"/>
        </w:rPr>
        <w:t>支出</w:t>
      </w:r>
      <w:r w:rsidR="002159FB" w:rsidRPr="00C3146C">
        <w:rPr>
          <w:rFonts w:ascii="Times New Roman" w:hAnsi="Times New Roman" w:cs="Times New Roman" w:hint="eastAsia"/>
        </w:rPr>
        <w:t>合计</w:t>
      </w:r>
      <w:r w:rsidR="00274F9B" w:rsidRPr="00C3146C">
        <w:rPr>
          <w:rFonts w:ascii="Times New Roman" w:hAnsi="Times New Roman" w:cs="Times New Roman" w:hint="eastAsia"/>
        </w:rPr>
        <w:t>1</w:t>
      </w:r>
      <w:r w:rsidR="002159FB" w:rsidRPr="00C3146C">
        <w:rPr>
          <w:rFonts w:ascii="Times New Roman" w:hAnsi="Times New Roman" w:cs="Times New Roman" w:hint="eastAsia"/>
        </w:rPr>
        <w:t>.1</w:t>
      </w:r>
      <w:r w:rsidR="00274F9B" w:rsidRPr="00C3146C">
        <w:rPr>
          <w:rFonts w:ascii="Times New Roman" w:hAnsi="Times New Roman" w:cs="Times New Roman" w:hint="eastAsia"/>
        </w:rPr>
        <w:t>万亿</w:t>
      </w:r>
      <w:r w:rsidR="001F2B93">
        <w:rPr>
          <w:rFonts w:ascii="Times New Roman" w:hAnsi="Times New Roman" w:cs="Times New Roman" w:hint="eastAsia"/>
        </w:rPr>
        <w:t>美元</w:t>
      </w:r>
      <w:r w:rsidR="004B0509" w:rsidRPr="00C3146C">
        <w:rPr>
          <w:rFonts w:ascii="Times New Roman" w:hAnsi="Times New Roman" w:cs="Times New Roman" w:hint="eastAsia"/>
        </w:rPr>
        <w:t>。</w:t>
      </w:r>
      <w:r w:rsidR="001F2B93">
        <w:rPr>
          <w:rFonts w:ascii="Times New Roman" w:hAnsi="Times New Roman" w:cs="Times New Roman" w:hint="eastAsia"/>
        </w:rPr>
        <w:t>从</w:t>
      </w:r>
      <w:r w:rsidR="00EE41AA" w:rsidRPr="00C3146C">
        <w:rPr>
          <w:rFonts w:ascii="Times New Roman" w:hAnsi="Times New Roman" w:cs="Times New Roman" w:hint="eastAsia"/>
        </w:rPr>
        <w:t>数据上看，医疗服务和药品已经成为美国经济的支柱产业</w:t>
      </w:r>
      <w:r w:rsidR="005F1E54" w:rsidRPr="00C3146C">
        <w:rPr>
          <w:rFonts w:ascii="Times New Roman" w:hAnsi="Times New Roman" w:cs="Times New Roman" w:hint="eastAsia"/>
        </w:rPr>
        <w:t>，它是战后美国经济增长的</w:t>
      </w:r>
      <w:r w:rsidR="000B1281" w:rsidRPr="00C3146C">
        <w:rPr>
          <w:rFonts w:ascii="Times New Roman" w:hAnsi="Times New Roman" w:cs="Times New Roman" w:hint="eastAsia"/>
        </w:rPr>
        <w:t>主要</w:t>
      </w:r>
      <w:r w:rsidR="005F1E54" w:rsidRPr="00C3146C">
        <w:rPr>
          <w:rFonts w:ascii="Times New Roman" w:hAnsi="Times New Roman" w:cs="Times New Roman" w:hint="eastAsia"/>
        </w:rPr>
        <w:t>增量</w:t>
      </w:r>
      <w:r w:rsidR="0071030C" w:rsidRPr="00C3146C">
        <w:rPr>
          <w:rFonts w:ascii="Times New Roman" w:hAnsi="Times New Roman" w:cs="Times New Roman" w:hint="eastAsia"/>
        </w:rPr>
        <w:t>（</w:t>
      </w:r>
      <w:r w:rsidR="001F2B93">
        <w:rPr>
          <w:rFonts w:ascii="Times New Roman" w:hAnsi="Times New Roman" w:cs="Times New Roman" w:hint="eastAsia"/>
        </w:rPr>
        <w:t>见</w:t>
      </w:r>
      <w:r w:rsidR="0071030C" w:rsidRPr="00C3146C">
        <w:rPr>
          <w:rFonts w:ascii="Times New Roman" w:hAnsi="Times New Roman" w:cs="Times New Roman" w:hint="eastAsia"/>
        </w:rPr>
        <w:t>表</w:t>
      </w:r>
      <w:r w:rsidR="0071030C" w:rsidRPr="00C3146C">
        <w:rPr>
          <w:rFonts w:ascii="Times New Roman" w:hAnsi="Times New Roman" w:cs="Times New Roman" w:hint="eastAsia"/>
        </w:rPr>
        <w:t>2</w:t>
      </w:r>
      <w:r w:rsidR="0071030C" w:rsidRPr="00C3146C">
        <w:rPr>
          <w:rFonts w:ascii="Times New Roman" w:hAnsi="Times New Roman" w:cs="Times New Roman" w:hint="eastAsia"/>
        </w:rPr>
        <w:t>）</w:t>
      </w:r>
      <w:r w:rsidR="005F1E54" w:rsidRPr="00C3146C">
        <w:rPr>
          <w:rFonts w:ascii="Times New Roman" w:hAnsi="Times New Roman" w:cs="Times New Roman" w:hint="eastAsia"/>
        </w:rPr>
        <w:t>。</w:t>
      </w:r>
    </w:p>
    <w:p w14:paraId="6519A8AF" w14:textId="77777777" w:rsidR="001F2B93" w:rsidRDefault="00630D14" w:rsidP="00630D14">
      <w:pPr>
        <w:spacing w:line="360" w:lineRule="auto"/>
        <w:jc w:val="center"/>
        <w:rPr>
          <w:rFonts w:ascii="Times New Roman" w:hAnsi="Times New Roman" w:cs="Times New Roman"/>
        </w:rPr>
      </w:pPr>
      <w:r w:rsidRPr="00C3146C">
        <w:rPr>
          <w:rFonts w:ascii="Times New Roman" w:hAnsi="Times New Roman" w:cs="Times New Roman" w:hint="eastAsia"/>
        </w:rPr>
        <w:t>表</w:t>
      </w:r>
      <w:r w:rsidRPr="00C3146C">
        <w:rPr>
          <w:rFonts w:ascii="Times New Roman" w:hAnsi="Times New Roman" w:cs="Times New Roman" w:hint="eastAsia"/>
        </w:rPr>
        <w:t xml:space="preserve">2 </w:t>
      </w:r>
      <w:r w:rsidR="001F2B93">
        <w:rPr>
          <w:rFonts w:ascii="Times New Roman" w:hAnsi="Times New Roman" w:cs="Times New Roman" w:hint="eastAsia"/>
        </w:rPr>
        <w:t>二</w:t>
      </w:r>
      <w:r w:rsidRPr="00C3146C">
        <w:rPr>
          <w:rFonts w:ascii="Times New Roman" w:hAnsi="Times New Roman" w:cs="Times New Roman" w:hint="eastAsia"/>
        </w:rPr>
        <w:t>战后</w:t>
      </w:r>
      <w:r w:rsidR="0063683E" w:rsidRPr="00C3146C">
        <w:rPr>
          <w:rFonts w:ascii="Times New Roman" w:hAnsi="Times New Roman" w:cs="Times New Roman" w:hint="eastAsia"/>
        </w:rPr>
        <w:t>家庭消费</w:t>
      </w:r>
      <w:r w:rsidRPr="00C3146C">
        <w:rPr>
          <w:rFonts w:ascii="Times New Roman" w:hAnsi="Times New Roman" w:cs="Times New Roman" w:hint="eastAsia"/>
        </w:rPr>
        <w:t>增量的结构分布</w:t>
      </w:r>
    </w:p>
    <w:p w14:paraId="552FB181" w14:textId="595F901E" w:rsidR="00630D14" w:rsidRPr="00E31A8F" w:rsidRDefault="00A74C59" w:rsidP="00BE517C">
      <w:pPr>
        <w:spacing w:line="360" w:lineRule="auto"/>
        <w:ind w:right="720"/>
        <w:jc w:val="right"/>
        <w:rPr>
          <w:rFonts w:ascii="Times New Roman" w:hAnsi="Times New Roman" w:cs="Times New Roman"/>
          <w:sz w:val="22"/>
          <w:szCs w:val="22"/>
        </w:rPr>
      </w:pPr>
      <w:r w:rsidRPr="00E31A8F">
        <w:rPr>
          <w:rFonts w:ascii="Times New Roman" w:hAnsi="Times New Roman" w:cs="Times New Roman" w:hint="eastAsia"/>
          <w:sz w:val="22"/>
          <w:szCs w:val="22"/>
        </w:rPr>
        <w:t>（</w:t>
      </w:r>
      <w:r w:rsidR="001F2B93" w:rsidRPr="00E31A8F">
        <w:rPr>
          <w:rFonts w:ascii="Times New Roman" w:hAnsi="Times New Roman" w:cs="Times New Roman" w:hint="eastAsia"/>
          <w:sz w:val="22"/>
          <w:szCs w:val="22"/>
        </w:rPr>
        <w:t>单位：</w:t>
      </w:r>
      <w:r w:rsidRPr="00E31A8F">
        <w:rPr>
          <w:rFonts w:ascii="Times New Roman" w:hAnsi="Times New Roman" w:cs="Times New Roman" w:hint="eastAsia"/>
          <w:sz w:val="22"/>
          <w:szCs w:val="22"/>
        </w:rPr>
        <w:t>%</w:t>
      </w:r>
      <w:r w:rsidRPr="00E31A8F">
        <w:rPr>
          <w:rFonts w:ascii="Times New Roman" w:hAnsi="Times New Roman" w:cs="Times New Roman" w:hint="eastAsia"/>
          <w:sz w:val="22"/>
          <w:szCs w:val="22"/>
        </w:rPr>
        <w:t>）</w:t>
      </w:r>
    </w:p>
    <w:tbl>
      <w:tblPr>
        <w:tblW w:w="6950" w:type="dxa"/>
        <w:jc w:val="center"/>
        <w:tblLook w:val="04A0" w:firstRow="1" w:lastRow="0" w:firstColumn="1" w:lastColumn="0" w:noHBand="0" w:noVBand="1"/>
      </w:tblPr>
      <w:tblGrid>
        <w:gridCol w:w="2230"/>
        <w:gridCol w:w="1180"/>
        <w:gridCol w:w="1180"/>
        <w:gridCol w:w="1180"/>
        <w:gridCol w:w="1180"/>
      </w:tblGrid>
      <w:tr w:rsidR="00630D14" w:rsidRPr="00BB0773" w14:paraId="3FA0EA78" w14:textId="77777777" w:rsidTr="00E0779A">
        <w:trPr>
          <w:trHeight w:val="320"/>
          <w:jc w:val="center"/>
        </w:trPr>
        <w:tc>
          <w:tcPr>
            <w:tcW w:w="2230" w:type="dxa"/>
            <w:tcBorders>
              <w:top w:val="single" w:sz="4" w:space="0" w:color="auto"/>
              <w:left w:val="nil"/>
              <w:bottom w:val="double" w:sz="4" w:space="0" w:color="auto"/>
              <w:right w:val="nil"/>
            </w:tcBorders>
            <w:shd w:val="clear" w:color="auto" w:fill="auto"/>
            <w:noWrap/>
            <w:vAlign w:val="center"/>
            <w:hideMark/>
          </w:tcPr>
          <w:p w14:paraId="21B980A6" w14:textId="77777777" w:rsidR="00630D14" w:rsidRPr="00BB0773" w:rsidRDefault="00630D14" w:rsidP="00630D14">
            <w:pPr>
              <w:rPr>
                <w:rFonts w:ascii="Times New Roman" w:hAnsi="Times New Roman" w:cs="Times New Roman"/>
                <w:sz w:val="22"/>
                <w:szCs w:val="22"/>
              </w:rPr>
            </w:pPr>
          </w:p>
        </w:tc>
        <w:tc>
          <w:tcPr>
            <w:tcW w:w="1180" w:type="dxa"/>
            <w:tcBorders>
              <w:top w:val="single" w:sz="4" w:space="0" w:color="auto"/>
              <w:left w:val="single" w:sz="4" w:space="0" w:color="FFFFFF"/>
              <w:bottom w:val="double" w:sz="4" w:space="0" w:color="auto"/>
              <w:right w:val="nil"/>
            </w:tcBorders>
            <w:shd w:val="clear" w:color="000000" w:fill="auto"/>
            <w:noWrap/>
            <w:vAlign w:val="center"/>
            <w:hideMark/>
          </w:tcPr>
          <w:p w14:paraId="64893186" w14:textId="77777777" w:rsidR="00630D14" w:rsidRPr="00BB0773" w:rsidRDefault="00630D14" w:rsidP="00BB0773">
            <w:pPr>
              <w:jc w:val="right"/>
              <w:rPr>
                <w:rFonts w:ascii="Times New Roman" w:hAnsi="Times New Roman" w:cs="Times New Roman"/>
                <w:color w:val="000000" w:themeColor="text1"/>
                <w:sz w:val="22"/>
                <w:szCs w:val="22"/>
              </w:rPr>
            </w:pPr>
            <w:r w:rsidRPr="00BB0773">
              <w:rPr>
                <w:rFonts w:ascii="Times New Roman" w:hAnsi="Times New Roman" w:cs="Times New Roman"/>
                <w:color w:val="000000" w:themeColor="text1"/>
                <w:sz w:val="22"/>
                <w:szCs w:val="22"/>
              </w:rPr>
              <w:t>1980-1950</w:t>
            </w:r>
          </w:p>
        </w:tc>
        <w:tc>
          <w:tcPr>
            <w:tcW w:w="1180" w:type="dxa"/>
            <w:tcBorders>
              <w:top w:val="single" w:sz="4" w:space="0" w:color="auto"/>
              <w:left w:val="single" w:sz="4" w:space="0" w:color="FFFFFF"/>
              <w:bottom w:val="double" w:sz="4" w:space="0" w:color="auto"/>
              <w:right w:val="nil"/>
            </w:tcBorders>
            <w:shd w:val="clear" w:color="000000" w:fill="auto"/>
            <w:noWrap/>
            <w:vAlign w:val="center"/>
            <w:hideMark/>
          </w:tcPr>
          <w:p w14:paraId="7E3DDDFB" w14:textId="77777777" w:rsidR="00630D14" w:rsidRPr="00BB0773" w:rsidRDefault="00630D14" w:rsidP="00BB0773">
            <w:pPr>
              <w:jc w:val="right"/>
              <w:rPr>
                <w:rFonts w:ascii="Times New Roman" w:hAnsi="Times New Roman" w:cs="Times New Roman"/>
                <w:color w:val="000000" w:themeColor="text1"/>
                <w:sz w:val="22"/>
                <w:szCs w:val="22"/>
              </w:rPr>
            </w:pPr>
            <w:r w:rsidRPr="00BB0773">
              <w:rPr>
                <w:rFonts w:ascii="Times New Roman" w:hAnsi="Times New Roman" w:cs="Times New Roman"/>
                <w:color w:val="000000" w:themeColor="text1"/>
                <w:sz w:val="22"/>
                <w:szCs w:val="22"/>
              </w:rPr>
              <w:t>2000-1980</w:t>
            </w:r>
          </w:p>
        </w:tc>
        <w:tc>
          <w:tcPr>
            <w:tcW w:w="1180" w:type="dxa"/>
            <w:tcBorders>
              <w:top w:val="single" w:sz="4" w:space="0" w:color="auto"/>
              <w:left w:val="single" w:sz="4" w:space="0" w:color="FFFFFF"/>
              <w:bottom w:val="double" w:sz="4" w:space="0" w:color="auto"/>
              <w:right w:val="nil"/>
            </w:tcBorders>
            <w:shd w:val="clear" w:color="000000" w:fill="auto"/>
            <w:noWrap/>
            <w:vAlign w:val="center"/>
            <w:hideMark/>
          </w:tcPr>
          <w:p w14:paraId="2679F380" w14:textId="77777777" w:rsidR="00630D14" w:rsidRPr="00BB0773" w:rsidRDefault="00630D14" w:rsidP="00BB0773">
            <w:pPr>
              <w:jc w:val="right"/>
              <w:rPr>
                <w:rFonts w:ascii="Times New Roman" w:hAnsi="Times New Roman" w:cs="Times New Roman"/>
                <w:color w:val="000000" w:themeColor="text1"/>
                <w:sz w:val="22"/>
                <w:szCs w:val="22"/>
              </w:rPr>
            </w:pPr>
            <w:r w:rsidRPr="00BB0773">
              <w:rPr>
                <w:rFonts w:ascii="Times New Roman" w:hAnsi="Times New Roman" w:cs="Times New Roman"/>
                <w:color w:val="000000" w:themeColor="text1"/>
                <w:sz w:val="22"/>
                <w:szCs w:val="22"/>
              </w:rPr>
              <w:t>2019-2000</w:t>
            </w:r>
          </w:p>
        </w:tc>
        <w:tc>
          <w:tcPr>
            <w:tcW w:w="1180" w:type="dxa"/>
            <w:tcBorders>
              <w:top w:val="single" w:sz="4" w:space="0" w:color="auto"/>
              <w:left w:val="single" w:sz="4" w:space="0" w:color="FFFFFF"/>
              <w:bottom w:val="double" w:sz="4" w:space="0" w:color="auto"/>
              <w:right w:val="nil"/>
            </w:tcBorders>
            <w:shd w:val="clear" w:color="000000" w:fill="auto"/>
            <w:noWrap/>
            <w:vAlign w:val="center"/>
            <w:hideMark/>
          </w:tcPr>
          <w:p w14:paraId="2F7F3F02" w14:textId="77777777" w:rsidR="00630D14" w:rsidRPr="00BB0773" w:rsidRDefault="00630D14" w:rsidP="00BB0773">
            <w:pPr>
              <w:jc w:val="right"/>
              <w:rPr>
                <w:rFonts w:ascii="Times New Roman" w:hAnsi="Times New Roman" w:cs="Times New Roman"/>
                <w:color w:val="000000" w:themeColor="text1"/>
                <w:sz w:val="22"/>
                <w:szCs w:val="22"/>
              </w:rPr>
            </w:pPr>
            <w:r w:rsidRPr="00BB0773">
              <w:rPr>
                <w:rFonts w:ascii="Times New Roman" w:hAnsi="Times New Roman" w:cs="Times New Roman"/>
                <w:color w:val="000000" w:themeColor="text1"/>
                <w:sz w:val="22"/>
                <w:szCs w:val="22"/>
              </w:rPr>
              <w:t>2023-2019</w:t>
            </w:r>
          </w:p>
        </w:tc>
      </w:tr>
      <w:tr w:rsidR="00630D14" w:rsidRPr="00BB0773" w14:paraId="3804474F" w14:textId="77777777" w:rsidTr="00E0779A">
        <w:trPr>
          <w:trHeight w:val="360"/>
          <w:jc w:val="center"/>
        </w:trPr>
        <w:tc>
          <w:tcPr>
            <w:tcW w:w="2230" w:type="dxa"/>
            <w:tcBorders>
              <w:top w:val="double" w:sz="4" w:space="0" w:color="auto"/>
              <w:left w:val="nil"/>
              <w:bottom w:val="nil"/>
              <w:right w:val="nil"/>
            </w:tcBorders>
            <w:shd w:val="clear" w:color="auto" w:fill="auto"/>
            <w:noWrap/>
            <w:vAlign w:val="bottom"/>
            <w:hideMark/>
          </w:tcPr>
          <w:p w14:paraId="1B4FE705"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家庭支出</w:t>
            </w:r>
          </w:p>
        </w:tc>
        <w:tc>
          <w:tcPr>
            <w:tcW w:w="1180" w:type="dxa"/>
            <w:tcBorders>
              <w:top w:val="double" w:sz="4" w:space="0" w:color="auto"/>
              <w:left w:val="nil"/>
              <w:bottom w:val="nil"/>
              <w:right w:val="nil"/>
            </w:tcBorders>
            <w:shd w:val="clear" w:color="auto" w:fill="auto"/>
            <w:noWrap/>
            <w:vAlign w:val="center"/>
            <w:hideMark/>
          </w:tcPr>
          <w:p w14:paraId="635E7418"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60.95</w:t>
            </w:r>
          </w:p>
        </w:tc>
        <w:tc>
          <w:tcPr>
            <w:tcW w:w="1180" w:type="dxa"/>
            <w:tcBorders>
              <w:top w:val="double" w:sz="4" w:space="0" w:color="auto"/>
              <w:left w:val="nil"/>
              <w:bottom w:val="nil"/>
              <w:right w:val="nil"/>
            </w:tcBorders>
            <w:shd w:val="clear" w:color="auto" w:fill="auto"/>
            <w:noWrap/>
            <w:vAlign w:val="center"/>
            <w:hideMark/>
          </w:tcPr>
          <w:p w14:paraId="3998AF49"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67.85</w:t>
            </w:r>
          </w:p>
        </w:tc>
        <w:tc>
          <w:tcPr>
            <w:tcW w:w="1180" w:type="dxa"/>
            <w:tcBorders>
              <w:top w:val="double" w:sz="4" w:space="0" w:color="auto"/>
              <w:left w:val="nil"/>
              <w:bottom w:val="nil"/>
              <w:right w:val="nil"/>
            </w:tcBorders>
            <w:shd w:val="clear" w:color="auto" w:fill="auto"/>
            <w:noWrap/>
            <w:vAlign w:val="center"/>
            <w:hideMark/>
          </w:tcPr>
          <w:p w14:paraId="318952F2"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67.88</w:t>
            </w:r>
          </w:p>
        </w:tc>
        <w:tc>
          <w:tcPr>
            <w:tcW w:w="1180" w:type="dxa"/>
            <w:tcBorders>
              <w:top w:val="double" w:sz="4" w:space="0" w:color="auto"/>
              <w:left w:val="nil"/>
              <w:bottom w:val="nil"/>
              <w:right w:val="nil"/>
            </w:tcBorders>
            <w:shd w:val="clear" w:color="auto" w:fill="auto"/>
            <w:noWrap/>
            <w:vAlign w:val="center"/>
            <w:hideMark/>
          </w:tcPr>
          <w:p w14:paraId="7C3FD611"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71.12</w:t>
            </w:r>
          </w:p>
        </w:tc>
      </w:tr>
      <w:tr w:rsidR="00630D14" w:rsidRPr="00BB0773" w14:paraId="5ABF5562" w14:textId="77777777" w:rsidTr="00E0779A">
        <w:trPr>
          <w:trHeight w:val="360"/>
          <w:jc w:val="center"/>
        </w:trPr>
        <w:tc>
          <w:tcPr>
            <w:tcW w:w="2230" w:type="dxa"/>
            <w:tcBorders>
              <w:top w:val="nil"/>
              <w:left w:val="nil"/>
              <w:bottom w:val="nil"/>
              <w:right w:val="nil"/>
            </w:tcBorders>
            <w:shd w:val="clear" w:color="auto" w:fill="auto"/>
            <w:noWrap/>
            <w:vAlign w:val="bottom"/>
            <w:hideMark/>
          </w:tcPr>
          <w:p w14:paraId="17306237"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耐用消费品</w:t>
            </w:r>
          </w:p>
        </w:tc>
        <w:tc>
          <w:tcPr>
            <w:tcW w:w="1180" w:type="dxa"/>
            <w:tcBorders>
              <w:top w:val="nil"/>
              <w:left w:val="nil"/>
              <w:bottom w:val="nil"/>
              <w:right w:val="nil"/>
            </w:tcBorders>
            <w:shd w:val="clear" w:color="auto" w:fill="auto"/>
            <w:noWrap/>
            <w:vAlign w:val="center"/>
            <w:hideMark/>
          </w:tcPr>
          <w:p w14:paraId="36349A85"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7.59</w:t>
            </w:r>
          </w:p>
        </w:tc>
        <w:tc>
          <w:tcPr>
            <w:tcW w:w="1180" w:type="dxa"/>
            <w:tcBorders>
              <w:top w:val="nil"/>
              <w:left w:val="nil"/>
              <w:bottom w:val="nil"/>
              <w:right w:val="nil"/>
            </w:tcBorders>
            <w:shd w:val="clear" w:color="auto" w:fill="auto"/>
            <w:noWrap/>
            <w:vAlign w:val="center"/>
            <w:hideMark/>
          </w:tcPr>
          <w:p w14:paraId="1B189F2F"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9.28</w:t>
            </w:r>
          </w:p>
        </w:tc>
        <w:tc>
          <w:tcPr>
            <w:tcW w:w="1180" w:type="dxa"/>
            <w:tcBorders>
              <w:top w:val="nil"/>
              <w:left w:val="nil"/>
              <w:bottom w:val="nil"/>
              <w:right w:val="nil"/>
            </w:tcBorders>
            <w:shd w:val="clear" w:color="auto" w:fill="auto"/>
            <w:noWrap/>
            <w:vAlign w:val="center"/>
            <w:hideMark/>
          </w:tcPr>
          <w:p w14:paraId="1A9F90C3"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5.41</w:t>
            </w:r>
          </w:p>
        </w:tc>
        <w:tc>
          <w:tcPr>
            <w:tcW w:w="1180" w:type="dxa"/>
            <w:tcBorders>
              <w:top w:val="nil"/>
              <w:left w:val="nil"/>
              <w:bottom w:val="nil"/>
              <w:right w:val="nil"/>
            </w:tcBorders>
            <w:shd w:val="clear" w:color="auto" w:fill="auto"/>
            <w:noWrap/>
            <w:vAlign w:val="center"/>
            <w:hideMark/>
          </w:tcPr>
          <w:p w14:paraId="768155A3"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11.58</w:t>
            </w:r>
          </w:p>
        </w:tc>
      </w:tr>
      <w:tr w:rsidR="00630D14" w:rsidRPr="00BB0773" w14:paraId="1E9FD8F4" w14:textId="77777777" w:rsidTr="00F57597">
        <w:trPr>
          <w:trHeight w:val="360"/>
          <w:jc w:val="center"/>
        </w:trPr>
        <w:tc>
          <w:tcPr>
            <w:tcW w:w="2230" w:type="dxa"/>
            <w:tcBorders>
              <w:top w:val="nil"/>
              <w:left w:val="nil"/>
              <w:bottom w:val="nil"/>
              <w:right w:val="nil"/>
            </w:tcBorders>
            <w:shd w:val="clear" w:color="auto" w:fill="auto"/>
            <w:noWrap/>
            <w:vAlign w:val="bottom"/>
            <w:hideMark/>
          </w:tcPr>
          <w:p w14:paraId="793B8483"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非耐用消费品</w:t>
            </w:r>
          </w:p>
        </w:tc>
        <w:tc>
          <w:tcPr>
            <w:tcW w:w="1180" w:type="dxa"/>
            <w:tcBorders>
              <w:top w:val="nil"/>
              <w:left w:val="nil"/>
              <w:bottom w:val="single" w:sz="4" w:space="0" w:color="000000" w:themeColor="text1"/>
              <w:right w:val="nil"/>
            </w:tcBorders>
            <w:shd w:val="clear" w:color="auto" w:fill="auto"/>
            <w:noWrap/>
            <w:vAlign w:val="center"/>
            <w:hideMark/>
          </w:tcPr>
          <w:p w14:paraId="7B5795B7"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19.12</w:t>
            </w:r>
          </w:p>
        </w:tc>
        <w:tc>
          <w:tcPr>
            <w:tcW w:w="1180" w:type="dxa"/>
            <w:tcBorders>
              <w:top w:val="nil"/>
              <w:left w:val="nil"/>
              <w:bottom w:val="single" w:sz="4" w:space="0" w:color="000000" w:themeColor="text1"/>
              <w:right w:val="nil"/>
            </w:tcBorders>
            <w:shd w:val="clear" w:color="auto" w:fill="auto"/>
            <w:noWrap/>
            <w:vAlign w:val="center"/>
            <w:hideMark/>
          </w:tcPr>
          <w:p w14:paraId="6A177E8C"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13.08</w:t>
            </w:r>
          </w:p>
        </w:tc>
        <w:tc>
          <w:tcPr>
            <w:tcW w:w="1180" w:type="dxa"/>
            <w:tcBorders>
              <w:top w:val="nil"/>
              <w:left w:val="nil"/>
              <w:bottom w:val="single" w:sz="4" w:space="0" w:color="000000" w:themeColor="text1"/>
              <w:right w:val="nil"/>
            </w:tcBorders>
            <w:shd w:val="clear" w:color="auto" w:fill="auto"/>
            <w:noWrap/>
            <w:vAlign w:val="center"/>
            <w:hideMark/>
          </w:tcPr>
          <w:p w14:paraId="225E9E72"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13.01</w:t>
            </w:r>
          </w:p>
        </w:tc>
        <w:tc>
          <w:tcPr>
            <w:tcW w:w="1180" w:type="dxa"/>
            <w:tcBorders>
              <w:top w:val="nil"/>
              <w:left w:val="nil"/>
              <w:bottom w:val="nil"/>
              <w:right w:val="nil"/>
            </w:tcBorders>
            <w:shd w:val="clear" w:color="auto" w:fill="auto"/>
            <w:noWrap/>
            <w:vAlign w:val="center"/>
            <w:hideMark/>
          </w:tcPr>
          <w:p w14:paraId="22F1503C"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16.89</w:t>
            </w:r>
          </w:p>
        </w:tc>
      </w:tr>
      <w:tr w:rsidR="00630D14" w:rsidRPr="00BB0773" w14:paraId="1C2FC164" w14:textId="77777777" w:rsidTr="00F57597">
        <w:trPr>
          <w:trHeight w:val="360"/>
          <w:jc w:val="center"/>
        </w:trPr>
        <w:tc>
          <w:tcPr>
            <w:tcW w:w="2230" w:type="dxa"/>
            <w:tcBorders>
              <w:top w:val="nil"/>
              <w:left w:val="nil"/>
              <w:bottom w:val="nil"/>
              <w:right w:val="single" w:sz="4" w:space="0" w:color="000000" w:themeColor="text1"/>
            </w:tcBorders>
            <w:shd w:val="clear" w:color="auto" w:fill="auto"/>
            <w:noWrap/>
            <w:vAlign w:val="center"/>
            <w:hideMark/>
          </w:tcPr>
          <w:p w14:paraId="7552C33B" w14:textId="77777777" w:rsidR="00630D14" w:rsidRPr="00BB0773" w:rsidRDefault="00630D14" w:rsidP="00630D14">
            <w:pPr>
              <w:rPr>
                <w:rFonts w:ascii="Times New Roman" w:hAnsi="Times New Roman" w:cs="Times New Roman"/>
                <w:color w:val="000000"/>
                <w:sz w:val="22"/>
                <w:szCs w:val="22"/>
              </w:rPr>
            </w:pPr>
            <w:r w:rsidRPr="00BB0773">
              <w:rPr>
                <w:rFonts w:ascii="Times New Roman" w:hAnsi="Times New Roman" w:cs="Times New Roman"/>
                <w:color w:val="000000"/>
                <w:sz w:val="22"/>
                <w:szCs w:val="22"/>
              </w:rPr>
              <w:t xml:space="preserve">     </w:t>
            </w:r>
            <w:r w:rsidRPr="00BB0773">
              <w:rPr>
                <w:rFonts w:ascii="Times New Roman" w:hAnsi="Times New Roman" w:cs="Times New Roman"/>
                <w:color w:val="000000"/>
                <w:sz w:val="22"/>
                <w:szCs w:val="22"/>
              </w:rPr>
              <w:t>药品</w:t>
            </w:r>
          </w:p>
        </w:tc>
        <w:tc>
          <w:tcPr>
            <w:tcW w:w="1180" w:type="dxa"/>
            <w:tcBorders>
              <w:top w:val="single" w:sz="4" w:space="0" w:color="000000" w:themeColor="text1"/>
              <w:left w:val="single" w:sz="4" w:space="0" w:color="000000" w:themeColor="text1"/>
              <w:bottom w:val="single" w:sz="4" w:space="0" w:color="000000" w:themeColor="text1"/>
              <w:right w:val="nil"/>
            </w:tcBorders>
            <w:shd w:val="clear" w:color="auto" w:fill="auto"/>
            <w:noWrap/>
            <w:vAlign w:val="center"/>
            <w:hideMark/>
          </w:tcPr>
          <w:p w14:paraId="0318B04A"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0.67</w:t>
            </w:r>
          </w:p>
        </w:tc>
        <w:tc>
          <w:tcPr>
            <w:tcW w:w="1180" w:type="dxa"/>
            <w:tcBorders>
              <w:top w:val="single" w:sz="4" w:space="0" w:color="000000" w:themeColor="text1"/>
              <w:left w:val="nil"/>
              <w:bottom w:val="single" w:sz="4" w:space="0" w:color="000000" w:themeColor="text1"/>
              <w:right w:val="nil"/>
            </w:tcBorders>
            <w:shd w:val="clear" w:color="auto" w:fill="auto"/>
            <w:noWrap/>
            <w:vAlign w:val="center"/>
            <w:hideMark/>
          </w:tcPr>
          <w:p w14:paraId="652FB21D"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1.90</w:t>
            </w:r>
          </w:p>
        </w:tc>
        <w:tc>
          <w:tcPr>
            <w:tcW w:w="1180" w:type="dxa"/>
            <w:tcBorders>
              <w:top w:val="single" w:sz="4" w:space="0" w:color="000000" w:themeColor="text1"/>
              <w:left w:val="nil"/>
              <w:bottom w:val="single" w:sz="4" w:space="0" w:color="000000" w:themeColor="text1"/>
              <w:right w:val="single" w:sz="4" w:space="0" w:color="000000" w:themeColor="text1"/>
            </w:tcBorders>
            <w:shd w:val="clear" w:color="auto" w:fill="auto"/>
            <w:noWrap/>
            <w:vAlign w:val="center"/>
            <w:hideMark/>
          </w:tcPr>
          <w:p w14:paraId="71D0FB52"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2.92</w:t>
            </w:r>
          </w:p>
        </w:tc>
        <w:tc>
          <w:tcPr>
            <w:tcW w:w="1180" w:type="dxa"/>
            <w:tcBorders>
              <w:top w:val="nil"/>
              <w:left w:val="single" w:sz="4" w:space="0" w:color="000000" w:themeColor="text1"/>
              <w:bottom w:val="nil"/>
              <w:right w:val="nil"/>
            </w:tcBorders>
            <w:shd w:val="clear" w:color="auto" w:fill="auto"/>
            <w:noWrap/>
            <w:vAlign w:val="center"/>
            <w:hideMark/>
          </w:tcPr>
          <w:p w14:paraId="79466223"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2.47</w:t>
            </w:r>
          </w:p>
        </w:tc>
      </w:tr>
      <w:tr w:rsidR="00630D14" w:rsidRPr="00BB0773" w14:paraId="0211035E" w14:textId="77777777" w:rsidTr="00F57597">
        <w:trPr>
          <w:trHeight w:val="360"/>
          <w:jc w:val="center"/>
        </w:trPr>
        <w:tc>
          <w:tcPr>
            <w:tcW w:w="2230" w:type="dxa"/>
            <w:tcBorders>
              <w:top w:val="nil"/>
              <w:left w:val="nil"/>
              <w:bottom w:val="nil"/>
              <w:right w:val="nil"/>
            </w:tcBorders>
            <w:shd w:val="clear" w:color="auto" w:fill="auto"/>
            <w:noWrap/>
            <w:vAlign w:val="bottom"/>
            <w:hideMark/>
          </w:tcPr>
          <w:p w14:paraId="6F1AE9B9"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住宅与公共服务</w:t>
            </w:r>
          </w:p>
        </w:tc>
        <w:tc>
          <w:tcPr>
            <w:tcW w:w="1180" w:type="dxa"/>
            <w:tcBorders>
              <w:top w:val="single" w:sz="4" w:space="0" w:color="000000" w:themeColor="text1"/>
              <w:left w:val="nil"/>
              <w:bottom w:val="single" w:sz="4" w:space="0" w:color="000000" w:themeColor="text1"/>
              <w:right w:val="nil"/>
            </w:tcBorders>
            <w:shd w:val="clear" w:color="auto" w:fill="auto"/>
            <w:noWrap/>
            <w:vAlign w:val="center"/>
            <w:hideMark/>
          </w:tcPr>
          <w:p w14:paraId="76855A96"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11.24</w:t>
            </w:r>
          </w:p>
        </w:tc>
        <w:tc>
          <w:tcPr>
            <w:tcW w:w="1180" w:type="dxa"/>
            <w:tcBorders>
              <w:top w:val="single" w:sz="4" w:space="0" w:color="000000" w:themeColor="text1"/>
              <w:left w:val="nil"/>
              <w:bottom w:val="single" w:sz="4" w:space="0" w:color="000000" w:themeColor="text1"/>
              <w:right w:val="nil"/>
            </w:tcBorders>
            <w:shd w:val="clear" w:color="auto" w:fill="auto"/>
            <w:noWrap/>
            <w:vAlign w:val="center"/>
            <w:hideMark/>
          </w:tcPr>
          <w:p w14:paraId="74F11A69"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11.98</w:t>
            </w:r>
          </w:p>
        </w:tc>
        <w:tc>
          <w:tcPr>
            <w:tcW w:w="1180" w:type="dxa"/>
            <w:tcBorders>
              <w:top w:val="single" w:sz="4" w:space="0" w:color="000000" w:themeColor="text1"/>
              <w:left w:val="nil"/>
              <w:bottom w:val="single" w:sz="4" w:space="0" w:color="000000" w:themeColor="text1"/>
              <w:right w:val="nil"/>
            </w:tcBorders>
            <w:shd w:val="clear" w:color="auto" w:fill="auto"/>
            <w:noWrap/>
            <w:vAlign w:val="center"/>
            <w:hideMark/>
          </w:tcPr>
          <w:p w14:paraId="608F19F7"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12.03</w:t>
            </w:r>
          </w:p>
        </w:tc>
        <w:tc>
          <w:tcPr>
            <w:tcW w:w="1180" w:type="dxa"/>
            <w:tcBorders>
              <w:top w:val="nil"/>
              <w:left w:val="nil"/>
              <w:bottom w:val="nil"/>
              <w:right w:val="nil"/>
            </w:tcBorders>
            <w:shd w:val="clear" w:color="auto" w:fill="auto"/>
            <w:noWrap/>
            <w:vAlign w:val="center"/>
            <w:hideMark/>
          </w:tcPr>
          <w:p w14:paraId="6CE40141"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12.39</w:t>
            </w:r>
          </w:p>
        </w:tc>
      </w:tr>
      <w:tr w:rsidR="00630D14" w:rsidRPr="00BB0773" w14:paraId="3802B490" w14:textId="77777777" w:rsidTr="00F57597">
        <w:trPr>
          <w:trHeight w:val="360"/>
          <w:jc w:val="center"/>
        </w:trPr>
        <w:tc>
          <w:tcPr>
            <w:tcW w:w="2230" w:type="dxa"/>
            <w:tcBorders>
              <w:top w:val="nil"/>
              <w:left w:val="nil"/>
              <w:bottom w:val="nil"/>
              <w:right w:val="single" w:sz="4" w:space="0" w:color="000000" w:themeColor="text1"/>
            </w:tcBorders>
            <w:shd w:val="clear" w:color="auto" w:fill="auto"/>
            <w:noWrap/>
            <w:vAlign w:val="bottom"/>
            <w:hideMark/>
          </w:tcPr>
          <w:p w14:paraId="61BADE13"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医疗服务</w:t>
            </w:r>
          </w:p>
        </w:tc>
        <w:tc>
          <w:tcPr>
            <w:tcW w:w="1180" w:type="dxa"/>
            <w:tcBorders>
              <w:top w:val="single" w:sz="4" w:space="0" w:color="000000" w:themeColor="text1"/>
              <w:left w:val="single" w:sz="4" w:space="0" w:color="000000" w:themeColor="text1"/>
              <w:bottom w:val="single" w:sz="4" w:space="0" w:color="000000" w:themeColor="text1"/>
              <w:right w:val="nil"/>
            </w:tcBorders>
            <w:shd w:val="clear" w:color="auto" w:fill="auto"/>
            <w:noWrap/>
            <w:vAlign w:val="center"/>
            <w:hideMark/>
          </w:tcPr>
          <w:p w14:paraId="58E67032"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6.46</w:t>
            </w:r>
          </w:p>
        </w:tc>
        <w:tc>
          <w:tcPr>
            <w:tcW w:w="1180" w:type="dxa"/>
            <w:tcBorders>
              <w:top w:val="single" w:sz="4" w:space="0" w:color="000000" w:themeColor="text1"/>
              <w:left w:val="nil"/>
              <w:bottom w:val="single" w:sz="4" w:space="0" w:color="000000" w:themeColor="text1"/>
              <w:right w:val="nil"/>
            </w:tcBorders>
            <w:shd w:val="clear" w:color="auto" w:fill="auto"/>
            <w:noWrap/>
            <w:vAlign w:val="center"/>
            <w:hideMark/>
          </w:tcPr>
          <w:p w14:paraId="1B6B1139"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10.10</w:t>
            </w:r>
          </w:p>
        </w:tc>
        <w:tc>
          <w:tcPr>
            <w:tcW w:w="1180" w:type="dxa"/>
            <w:tcBorders>
              <w:top w:val="single" w:sz="4" w:space="0" w:color="000000" w:themeColor="text1"/>
              <w:left w:val="nil"/>
              <w:bottom w:val="single" w:sz="4" w:space="0" w:color="000000" w:themeColor="text1"/>
              <w:right w:val="single" w:sz="4" w:space="0" w:color="000000" w:themeColor="text1"/>
            </w:tcBorders>
            <w:shd w:val="clear" w:color="auto" w:fill="auto"/>
            <w:noWrap/>
            <w:vAlign w:val="center"/>
            <w:hideMark/>
          </w:tcPr>
          <w:p w14:paraId="75807020"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13.76</w:t>
            </w:r>
          </w:p>
        </w:tc>
        <w:tc>
          <w:tcPr>
            <w:tcW w:w="1180" w:type="dxa"/>
            <w:tcBorders>
              <w:top w:val="nil"/>
              <w:left w:val="single" w:sz="4" w:space="0" w:color="000000" w:themeColor="text1"/>
              <w:bottom w:val="nil"/>
              <w:right w:val="nil"/>
            </w:tcBorders>
            <w:shd w:val="clear" w:color="auto" w:fill="auto"/>
            <w:noWrap/>
            <w:vAlign w:val="center"/>
            <w:hideMark/>
          </w:tcPr>
          <w:p w14:paraId="5B5A7336"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9.08</w:t>
            </w:r>
          </w:p>
        </w:tc>
      </w:tr>
      <w:tr w:rsidR="00630D14" w:rsidRPr="00BB0773" w14:paraId="6A8813A3" w14:textId="77777777" w:rsidTr="00F57597">
        <w:trPr>
          <w:trHeight w:val="360"/>
          <w:jc w:val="center"/>
        </w:trPr>
        <w:tc>
          <w:tcPr>
            <w:tcW w:w="2230" w:type="dxa"/>
            <w:tcBorders>
              <w:top w:val="nil"/>
              <w:left w:val="nil"/>
              <w:bottom w:val="nil"/>
              <w:right w:val="nil"/>
            </w:tcBorders>
            <w:shd w:val="clear" w:color="auto" w:fill="auto"/>
            <w:noWrap/>
            <w:vAlign w:val="bottom"/>
            <w:hideMark/>
          </w:tcPr>
          <w:p w14:paraId="5AD5B8E6"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交通服务</w:t>
            </w:r>
          </w:p>
        </w:tc>
        <w:tc>
          <w:tcPr>
            <w:tcW w:w="1180" w:type="dxa"/>
            <w:tcBorders>
              <w:top w:val="single" w:sz="4" w:space="0" w:color="000000" w:themeColor="text1"/>
              <w:left w:val="nil"/>
              <w:bottom w:val="nil"/>
              <w:right w:val="nil"/>
            </w:tcBorders>
            <w:shd w:val="clear" w:color="auto" w:fill="auto"/>
            <w:noWrap/>
            <w:vAlign w:val="center"/>
            <w:hideMark/>
          </w:tcPr>
          <w:p w14:paraId="54233F6C"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1.96</w:t>
            </w:r>
          </w:p>
        </w:tc>
        <w:tc>
          <w:tcPr>
            <w:tcW w:w="1180" w:type="dxa"/>
            <w:tcBorders>
              <w:top w:val="single" w:sz="4" w:space="0" w:color="000000" w:themeColor="text1"/>
              <w:left w:val="nil"/>
              <w:bottom w:val="nil"/>
              <w:right w:val="nil"/>
            </w:tcBorders>
            <w:shd w:val="clear" w:color="auto" w:fill="auto"/>
            <w:noWrap/>
            <w:vAlign w:val="center"/>
            <w:hideMark/>
          </w:tcPr>
          <w:p w14:paraId="6744F357"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2.78</w:t>
            </w:r>
          </w:p>
        </w:tc>
        <w:tc>
          <w:tcPr>
            <w:tcW w:w="1180" w:type="dxa"/>
            <w:tcBorders>
              <w:top w:val="single" w:sz="4" w:space="0" w:color="000000" w:themeColor="text1"/>
              <w:left w:val="nil"/>
              <w:bottom w:val="nil"/>
              <w:right w:val="nil"/>
            </w:tcBorders>
            <w:shd w:val="clear" w:color="auto" w:fill="auto"/>
            <w:noWrap/>
            <w:vAlign w:val="center"/>
            <w:hideMark/>
          </w:tcPr>
          <w:p w14:paraId="5B383A07"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1.95</w:t>
            </w:r>
          </w:p>
        </w:tc>
        <w:tc>
          <w:tcPr>
            <w:tcW w:w="1180" w:type="dxa"/>
            <w:tcBorders>
              <w:top w:val="nil"/>
              <w:left w:val="nil"/>
              <w:bottom w:val="nil"/>
              <w:right w:val="nil"/>
            </w:tcBorders>
            <w:shd w:val="clear" w:color="auto" w:fill="auto"/>
            <w:noWrap/>
            <w:vAlign w:val="center"/>
            <w:hideMark/>
          </w:tcPr>
          <w:p w14:paraId="17170E30"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2.11</w:t>
            </w:r>
          </w:p>
        </w:tc>
      </w:tr>
      <w:tr w:rsidR="00630D14" w:rsidRPr="00BB0773" w14:paraId="735FA556" w14:textId="77777777" w:rsidTr="00E0779A">
        <w:trPr>
          <w:trHeight w:val="360"/>
          <w:jc w:val="center"/>
        </w:trPr>
        <w:tc>
          <w:tcPr>
            <w:tcW w:w="2230" w:type="dxa"/>
            <w:tcBorders>
              <w:top w:val="nil"/>
              <w:left w:val="nil"/>
              <w:bottom w:val="nil"/>
              <w:right w:val="nil"/>
            </w:tcBorders>
            <w:shd w:val="clear" w:color="auto" w:fill="auto"/>
            <w:noWrap/>
            <w:vAlign w:val="bottom"/>
            <w:hideMark/>
          </w:tcPr>
          <w:p w14:paraId="01664A02"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娱乐服务</w:t>
            </w:r>
          </w:p>
        </w:tc>
        <w:tc>
          <w:tcPr>
            <w:tcW w:w="1180" w:type="dxa"/>
            <w:tcBorders>
              <w:top w:val="nil"/>
              <w:left w:val="nil"/>
              <w:bottom w:val="nil"/>
              <w:right w:val="nil"/>
            </w:tcBorders>
            <w:shd w:val="clear" w:color="auto" w:fill="auto"/>
            <w:noWrap/>
            <w:vAlign w:val="center"/>
            <w:hideMark/>
          </w:tcPr>
          <w:p w14:paraId="4C31D085"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1.45</w:t>
            </w:r>
          </w:p>
        </w:tc>
        <w:tc>
          <w:tcPr>
            <w:tcW w:w="1180" w:type="dxa"/>
            <w:tcBorders>
              <w:top w:val="nil"/>
              <w:left w:val="nil"/>
              <w:bottom w:val="nil"/>
              <w:right w:val="nil"/>
            </w:tcBorders>
            <w:shd w:val="clear" w:color="auto" w:fill="auto"/>
            <w:noWrap/>
            <w:vAlign w:val="center"/>
            <w:hideMark/>
          </w:tcPr>
          <w:p w14:paraId="2E195516"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2.89</w:t>
            </w:r>
          </w:p>
        </w:tc>
        <w:tc>
          <w:tcPr>
            <w:tcW w:w="1180" w:type="dxa"/>
            <w:tcBorders>
              <w:top w:val="nil"/>
              <w:left w:val="nil"/>
              <w:bottom w:val="nil"/>
              <w:right w:val="nil"/>
            </w:tcBorders>
            <w:shd w:val="clear" w:color="auto" w:fill="auto"/>
            <w:noWrap/>
            <w:vAlign w:val="center"/>
            <w:hideMark/>
          </w:tcPr>
          <w:p w14:paraId="1CE1F8F9"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3.04</w:t>
            </w:r>
          </w:p>
        </w:tc>
        <w:tc>
          <w:tcPr>
            <w:tcW w:w="1180" w:type="dxa"/>
            <w:tcBorders>
              <w:top w:val="nil"/>
              <w:left w:val="nil"/>
              <w:bottom w:val="nil"/>
              <w:right w:val="nil"/>
            </w:tcBorders>
            <w:shd w:val="clear" w:color="auto" w:fill="auto"/>
            <w:noWrap/>
            <w:vAlign w:val="center"/>
            <w:hideMark/>
          </w:tcPr>
          <w:p w14:paraId="241922FA"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2.04</w:t>
            </w:r>
          </w:p>
        </w:tc>
      </w:tr>
      <w:tr w:rsidR="00630D14" w:rsidRPr="00BB0773" w14:paraId="64836F05" w14:textId="77777777" w:rsidTr="00E0779A">
        <w:trPr>
          <w:trHeight w:val="360"/>
          <w:jc w:val="center"/>
        </w:trPr>
        <w:tc>
          <w:tcPr>
            <w:tcW w:w="2230" w:type="dxa"/>
            <w:tcBorders>
              <w:top w:val="nil"/>
              <w:left w:val="nil"/>
              <w:bottom w:val="nil"/>
              <w:right w:val="nil"/>
            </w:tcBorders>
            <w:shd w:val="clear" w:color="auto" w:fill="auto"/>
            <w:noWrap/>
            <w:vAlign w:val="bottom"/>
            <w:hideMark/>
          </w:tcPr>
          <w:p w14:paraId="3756D040"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餐饮住宿</w:t>
            </w:r>
          </w:p>
        </w:tc>
        <w:tc>
          <w:tcPr>
            <w:tcW w:w="1180" w:type="dxa"/>
            <w:tcBorders>
              <w:top w:val="nil"/>
              <w:left w:val="nil"/>
              <w:bottom w:val="nil"/>
              <w:right w:val="nil"/>
            </w:tcBorders>
            <w:shd w:val="clear" w:color="auto" w:fill="auto"/>
            <w:noWrap/>
            <w:vAlign w:val="center"/>
            <w:hideMark/>
          </w:tcPr>
          <w:p w14:paraId="187FF268"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4.26</w:t>
            </w:r>
          </w:p>
        </w:tc>
        <w:tc>
          <w:tcPr>
            <w:tcW w:w="1180" w:type="dxa"/>
            <w:tcBorders>
              <w:top w:val="nil"/>
              <w:left w:val="nil"/>
              <w:bottom w:val="nil"/>
              <w:right w:val="nil"/>
            </w:tcBorders>
            <w:shd w:val="clear" w:color="auto" w:fill="auto"/>
            <w:noWrap/>
            <w:vAlign w:val="center"/>
            <w:hideMark/>
          </w:tcPr>
          <w:p w14:paraId="7F833A5F"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3.88</w:t>
            </w:r>
          </w:p>
        </w:tc>
        <w:tc>
          <w:tcPr>
            <w:tcW w:w="1180" w:type="dxa"/>
            <w:tcBorders>
              <w:top w:val="nil"/>
              <w:left w:val="nil"/>
              <w:bottom w:val="nil"/>
              <w:right w:val="nil"/>
            </w:tcBorders>
            <w:shd w:val="clear" w:color="auto" w:fill="auto"/>
            <w:noWrap/>
            <w:vAlign w:val="center"/>
            <w:hideMark/>
          </w:tcPr>
          <w:p w14:paraId="6863505C"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5.31</w:t>
            </w:r>
          </w:p>
        </w:tc>
        <w:tc>
          <w:tcPr>
            <w:tcW w:w="1180" w:type="dxa"/>
            <w:tcBorders>
              <w:top w:val="nil"/>
              <w:left w:val="nil"/>
              <w:bottom w:val="nil"/>
              <w:right w:val="nil"/>
            </w:tcBorders>
            <w:shd w:val="clear" w:color="auto" w:fill="auto"/>
            <w:noWrap/>
            <w:vAlign w:val="center"/>
            <w:hideMark/>
          </w:tcPr>
          <w:p w14:paraId="450ED162"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6.18</w:t>
            </w:r>
          </w:p>
        </w:tc>
      </w:tr>
      <w:tr w:rsidR="00630D14" w:rsidRPr="00BB0773" w14:paraId="489419FD" w14:textId="77777777" w:rsidTr="00E0779A">
        <w:trPr>
          <w:trHeight w:val="360"/>
          <w:jc w:val="center"/>
        </w:trPr>
        <w:tc>
          <w:tcPr>
            <w:tcW w:w="2230" w:type="dxa"/>
            <w:tcBorders>
              <w:top w:val="nil"/>
              <w:left w:val="nil"/>
              <w:bottom w:val="nil"/>
              <w:right w:val="nil"/>
            </w:tcBorders>
            <w:shd w:val="clear" w:color="auto" w:fill="auto"/>
            <w:noWrap/>
            <w:vAlign w:val="bottom"/>
            <w:hideMark/>
          </w:tcPr>
          <w:p w14:paraId="21470B87"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金融服务</w:t>
            </w:r>
          </w:p>
        </w:tc>
        <w:tc>
          <w:tcPr>
            <w:tcW w:w="1180" w:type="dxa"/>
            <w:tcBorders>
              <w:top w:val="nil"/>
              <w:left w:val="nil"/>
              <w:bottom w:val="nil"/>
              <w:right w:val="nil"/>
            </w:tcBorders>
            <w:shd w:val="clear" w:color="auto" w:fill="auto"/>
            <w:noWrap/>
            <w:vAlign w:val="center"/>
            <w:hideMark/>
          </w:tcPr>
          <w:p w14:paraId="3D92056C"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3.37</w:t>
            </w:r>
          </w:p>
        </w:tc>
        <w:tc>
          <w:tcPr>
            <w:tcW w:w="1180" w:type="dxa"/>
            <w:tcBorders>
              <w:top w:val="nil"/>
              <w:left w:val="nil"/>
              <w:bottom w:val="nil"/>
              <w:right w:val="nil"/>
            </w:tcBorders>
            <w:shd w:val="clear" w:color="auto" w:fill="auto"/>
            <w:noWrap/>
            <w:vAlign w:val="center"/>
            <w:hideMark/>
          </w:tcPr>
          <w:p w14:paraId="25E6CFBC"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6.09</w:t>
            </w:r>
          </w:p>
        </w:tc>
        <w:tc>
          <w:tcPr>
            <w:tcW w:w="1180" w:type="dxa"/>
            <w:tcBorders>
              <w:top w:val="nil"/>
              <w:left w:val="nil"/>
              <w:bottom w:val="nil"/>
              <w:right w:val="nil"/>
            </w:tcBorders>
            <w:shd w:val="clear" w:color="auto" w:fill="auto"/>
            <w:noWrap/>
            <w:vAlign w:val="center"/>
            <w:hideMark/>
          </w:tcPr>
          <w:p w14:paraId="22BC2E6C"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5.24</w:t>
            </w:r>
          </w:p>
        </w:tc>
        <w:tc>
          <w:tcPr>
            <w:tcW w:w="1180" w:type="dxa"/>
            <w:tcBorders>
              <w:top w:val="nil"/>
              <w:left w:val="nil"/>
              <w:bottom w:val="nil"/>
              <w:right w:val="nil"/>
            </w:tcBorders>
            <w:shd w:val="clear" w:color="auto" w:fill="auto"/>
            <w:noWrap/>
            <w:vAlign w:val="center"/>
            <w:hideMark/>
          </w:tcPr>
          <w:p w14:paraId="284DB7E2"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3.24</w:t>
            </w:r>
          </w:p>
        </w:tc>
      </w:tr>
      <w:tr w:rsidR="00630D14" w:rsidRPr="00BB0773" w14:paraId="16A01A89" w14:textId="77777777" w:rsidTr="00E0779A">
        <w:trPr>
          <w:trHeight w:val="340"/>
          <w:jc w:val="center"/>
        </w:trPr>
        <w:tc>
          <w:tcPr>
            <w:tcW w:w="2230" w:type="dxa"/>
            <w:tcBorders>
              <w:top w:val="nil"/>
              <w:left w:val="nil"/>
              <w:right w:val="nil"/>
            </w:tcBorders>
            <w:shd w:val="clear" w:color="auto" w:fill="auto"/>
            <w:noWrap/>
            <w:vAlign w:val="bottom"/>
            <w:hideMark/>
          </w:tcPr>
          <w:p w14:paraId="74B5E449"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Pr="00BB0773">
              <w:rPr>
                <w:rFonts w:ascii="Times New Roman" w:hAnsi="Times New Roman" w:cs="Times New Roman"/>
                <w:sz w:val="22"/>
                <w:szCs w:val="22"/>
              </w:rPr>
              <w:t>其他服务</w:t>
            </w:r>
          </w:p>
        </w:tc>
        <w:tc>
          <w:tcPr>
            <w:tcW w:w="1180" w:type="dxa"/>
            <w:tcBorders>
              <w:top w:val="nil"/>
              <w:left w:val="nil"/>
              <w:right w:val="nil"/>
            </w:tcBorders>
            <w:shd w:val="clear" w:color="auto" w:fill="auto"/>
            <w:noWrap/>
            <w:vAlign w:val="center"/>
            <w:hideMark/>
          </w:tcPr>
          <w:p w14:paraId="0103BB83"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4.42</w:t>
            </w:r>
          </w:p>
        </w:tc>
        <w:tc>
          <w:tcPr>
            <w:tcW w:w="1180" w:type="dxa"/>
            <w:tcBorders>
              <w:top w:val="nil"/>
              <w:left w:val="nil"/>
              <w:right w:val="nil"/>
            </w:tcBorders>
            <w:shd w:val="clear" w:color="auto" w:fill="auto"/>
            <w:noWrap/>
            <w:vAlign w:val="center"/>
            <w:hideMark/>
          </w:tcPr>
          <w:p w14:paraId="073D2ECA"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6.03</w:t>
            </w:r>
          </w:p>
        </w:tc>
        <w:tc>
          <w:tcPr>
            <w:tcW w:w="1180" w:type="dxa"/>
            <w:tcBorders>
              <w:top w:val="nil"/>
              <w:left w:val="nil"/>
              <w:right w:val="nil"/>
            </w:tcBorders>
            <w:shd w:val="clear" w:color="auto" w:fill="auto"/>
            <w:noWrap/>
            <w:vAlign w:val="center"/>
            <w:hideMark/>
          </w:tcPr>
          <w:p w14:paraId="5138B694"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5.82</w:t>
            </w:r>
          </w:p>
        </w:tc>
        <w:tc>
          <w:tcPr>
            <w:tcW w:w="1180" w:type="dxa"/>
            <w:tcBorders>
              <w:top w:val="nil"/>
              <w:left w:val="nil"/>
              <w:right w:val="nil"/>
            </w:tcBorders>
            <w:shd w:val="clear" w:color="auto" w:fill="auto"/>
            <w:noWrap/>
            <w:vAlign w:val="center"/>
            <w:hideMark/>
          </w:tcPr>
          <w:p w14:paraId="07C11DC7"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5.34</w:t>
            </w:r>
          </w:p>
        </w:tc>
      </w:tr>
      <w:tr w:rsidR="00630D14" w:rsidRPr="00BB0773" w14:paraId="118761BD" w14:textId="77777777" w:rsidTr="00E0779A">
        <w:trPr>
          <w:trHeight w:val="340"/>
          <w:jc w:val="center"/>
        </w:trPr>
        <w:tc>
          <w:tcPr>
            <w:tcW w:w="2230" w:type="dxa"/>
            <w:tcBorders>
              <w:top w:val="nil"/>
              <w:left w:val="nil"/>
              <w:bottom w:val="single" w:sz="4" w:space="0" w:color="auto"/>
              <w:right w:val="nil"/>
            </w:tcBorders>
            <w:shd w:val="clear" w:color="auto" w:fill="auto"/>
            <w:noWrap/>
            <w:vAlign w:val="bottom"/>
            <w:hideMark/>
          </w:tcPr>
          <w:p w14:paraId="1726B8F0" w14:textId="77777777" w:rsidR="00630D14" w:rsidRPr="00BB0773" w:rsidRDefault="00630D14" w:rsidP="00630D14">
            <w:pPr>
              <w:rPr>
                <w:rFonts w:ascii="Times New Roman" w:hAnsi="Times New Roman" w:cs="Times New Roman"/>
                <w:sz w:val="22"/>
                <w:szCs w:val="22"/>
              </w:rPr>
            </w:pPr>
            <w:r w:rsidRPr="00BB0773">
              <w:rPr>
                <w:rFonts w:ascii="Times New Roman" w:hAnsi="Times New Roman" w:cs="Times New Roman"/>
                <w:sz w:val="22"/>
                <w:szCs w:val="22"/>
              </w:rPr>
              <w:t xml:space="preserve"> </w:t>
            </w:r>
            <w:r w:rsidR="001D1E19" w:rsidRPr="00BB0773">
              <w:rPr>
                <w:rFonts w:ascii="Times New Roman" w:hAnsi="Times New Roman" w:cs="Times New Roman" w:hint="eastAsia"/>
                <w:sz w:val="22"/>
                <w:szCs w:val="22"/>
              </w:rPr>
              <w:t xml:space="preserve"> </w:t>
            </w:r>
            <w:r w:rsidRPr="00BB0773">
              <w:rPr>
                <w:rFonts w:ascii="Times New Roman" w:hAnsi="Times New Roman" w:cs="Times New Roman"/>
                <w:sz w:val="22"/>
                <w:szCs w:val="22"/>
              </w:rPr>
              <w:t>NGO</w:t>
            </w:r>
            <w:r w:rsidRPr="00BB0773">
              <w:rPr>
                <w:rFonts w:ascii="Times New Roman" w:hAnsi="Times New Roman" w:cs="Times New Roman"/>
                <w:sz w:val="22"/>
                <w:szCs w:val="22"/>
              </w:rPr>
              <w:t>转移支付</w:t>
            </w:r>
          </w:p>
        </w:tc>
        <w:tc>
          <w:tcPr>
            <w:tcW w:w="1180" w:type="dxa"/>
            <w:tcBorders>
              <w:top w:val="nil"/>
              <w:left w:val="nil"/>
              <w:bottom w:val="single" w:sz="4" w:space="0" w:color="auto"/>
              <w:right w:val="nil"/>
            </w:tcBorders>
            <w:shd w:val="clear" w:color="auto" w:fill="auto"/>
            <w:noWrap/>
            <w:vAlign w:val="center"/>
            <w:hideMark/>
          </w:tcPr>
          <w:p w14:paraId="43918762"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1.08</w:t>
            </w:r>
          </w:p>
        </w:tc>
        <w:tc>
          <w:tcPr>
            <w:tcW w:w="1180" w:type="dxa"/>
            <w:tcBorders>
              <w:top w:val="nil"/>
              <w:left w:val="nil"/>
              <w:bottom w:val="single" w:sz="4" w:space="0" w:color="auto"/>
              <w:right w:val="nil"/>
            </w:tcBorders>
            <w:shd w:val="clear" w:color="auto" w:fill="auto"/>
            <w:noWrap/>
            <w:vAlign w:val="center"/>
            <w:hideMark/>
          </w:tcPr>
          <w:p w14:paraId="41039D48"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1.73</w:t>
            </w:r>
          </w:p>
        </w:tc>
        <w:tc>
          <w:tcPr>
            <w:tcW w:w="1180" w:type="dxa"/>
            <w:tcBorders>
              <w:top w:val="nil"/>
              <w:left w:val="nil"/>
              <w:bottom w:val="single" w:sz="4" w:space="0" w:color="auto"/>
              <w:right w:val="nil"/>
            </w:tcBorders>
            <w:shd w:val="clear" w:color="auto" w:fill="auto"/>
            <w:noWrap/>
            <w:vAlign w:val="center"/>
            <w:hideMark/>
          </w:tcPr>
          <w:p w14:paraId="42B5B576"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2.31</w:t>
            </w:r>
          </w:p>
        </w:tc>
        <w:tc>
          <w:tcPr>
            <w:tcW w:w="1180" w:type="dxa"/>
            <w:tcBorders>
              <w:top w:val="nil"/>
              <w:left w:val="nil"/>
              <w:bottom w:val="single" w:sz="4" w:space="0" w:color="auto"/>
              <w:right w:val="nil"/>
            </w:tcBorders>
            <w:shd w:val="clear" w:color="auto" w:fill="auto"/>
            <w:noWrap/>
            <w:vAlign w:val="center"/>
            <w:hideMark/>
          </w:tcPr>
          <w:p w14:paraId="4FFF55B2" w14:textId="77777777" w:rsidR="00630D14" w:rsidRPr="00BB0773" w:rsidRDefault="00630D14" w:rsidP="00630D14">
            <w:pPr>
              <w:jc w:val="right"/>
              <w:rPr>
                <w:rFonts w:ascii="Times New Roman" w:hAnsi="Times New Roman" w:cs="Times New Roman"/>
                <w:color w:val="000000"/>
                <w:sz w:val="22"/>
                <w:szCs w:val="22"/>
              </w:rPr>
            </w:pPr>
            <w:r w:rsidRPr="00BB0773">
              <w:rPr>
                <w:rFonts w:ascii="Times New Roman" w:hAnsi="Times New Roman" w:cs="Times New Roman"/>
                <w:color w:val="000000"/>
                <w:sz w:val="22"/>
                <w:szCs w:val="22"/>
              </w:rPr>
              <w:t>2.27</w:t>
            </w:r>
          </w:p>
        </w:tc>
      </w:tr>
    </w:tbl>
    <w:p w14:paraId="11BD3B7F" w14:textId="0B8E74C4" w:rsidR="00630D14" w:rsidRDefault="00E0779A" w:rsidP="00651ECF">
      <w:pPr>
        <w:rPr>
          <w:rFonts w:ascii="Times New Roman" w:hAnsi="Times New Roman" w:cs="Times New Roman"/>
          <w:sz w:val="21"/>
          <w:szCs w:val="21"/>
        </w:rPr>
      </w:pPr>
      <w:r w:rsidRPr="00651ECF">
        <w:rPr>
          <w:rFonts w:ascii="Times New Roman" w:hAnsi="Times New Roman" w:cs="Times New Roman" w:hint="eastAsia"/>
          <w:sz w:val="21"/>
          <w:szCs w:val="21"/>
        </w:rPr>
        <w:t>数据</w:t>
      </w:r>
      <w:r w:rsidR="00F92858">
        <w:rPr>
          <w:rFonts w:ascii="Times New Roman" w:hAnsi="Times New Roman" w:cs="Times New Roman" w:hint="eastAsia"/>
          <w:sz w:val="21"/>
          <w:szCs w:val="21"/>
        </w:rPr>
        <w:t>来源</w:t>
      </w:r>
      <w:r w:rsidRPr="00651ECF">
        <w:rPr>
          <w:rFonts w:ascii="Times New Roman" w:hAnsi="Times New Roman" w:cs="Times New Roman" w:hint="eastAsia"/>
          <w:sz w:val="21"/>
          <w:szCs w:val="21"/>
        </w:rPr>
        <w:t>：</w:t>
      </w:r>
      <w:r w:rsidR="0065748A">
        <w:rPr>
          <w:rFonts w:ascii="Times New Roman" w:hAnsi="Times New Roman" w:cs="Times New Roman"/>
          <w:sz w:val="21"/>
          <w:szCs w:val="21"/>
        </w:rPr>
        <w:t>U.S. Bureau of Economic Analysis</w:t>
      </w:r>
      <w:r w:rsidR="007C79CC" w:rsidRPr="00651ECF">
        <w:rPr>
          <w:rFonts w:ascii="Times New Roman" w:hAnsi="Times New Roman" w:cs="Times New Roman"/>
          <w:sz w:val="21"/>
          <w:szCs w:val="21"/>
        </w:rPr>
        <w:t>,</w:t>
      </w:r>
      <w:r w:rsidR="007C79CC" w:rsidRPr="001F2B93">
        <w:rPr>
          <w:rFonts w:ascii="Times New Roman" w:hAnsi="Times New Roman" w:cs="Times New Roman"/>
          <w:sz w:val="21"/>
          <w:szCs w:val="21"/>
        </w:rPr>
        <w:t xml:space="preserve"> </w:t>
      </w:r>
      <w:r w:rsidR="007C79CC" w:rsidRPr="00BE517C">
        <w:rPr>
          <w:rFonts w:ascii="Times New Roman" w:hAnsi="Times New Roman" w:cs="Times New Roman"/>
          <w:iCs/>
          <w:sz w:val="21"/>
          <w:szCs w:val="21"/>
        </w:rPr>
        <w:t>"Table 2.4.5. Personal Consumption Expenditures by Type of Product"</w:t>
      </w:r>
      <w:r w:rsidR="0053106A" w:rsidRPr="001F2B93">
        <w:rPr>
          <w:rFonts w:ascii="Times New Roman" w:hAnsi="Times New Roman" w:cs="Times New Roman" w:hint="eastAsia"/>
          <w:sz w:val="21"/>
          <w:szCs w:val="21"/>
        </w:rPr>
        <w:t>，</w:t>
      </w:r>
      <w:r w:rsidR="0053106A" w:rsidRPr="00651ECF">
        <w:rPr>
          <w:rFonts w:ascii="Times New Roman" w:hAnsi="Times New Roman" w:cs="Times New Roman" w:hint="eastAsia"/>
          <w:sz w:val="21"/>
          <w:szCs w:val="21"/>
        </w:rPr>
        <w:t>比例为笔者计算</w:t>
      </w:r>
      <w:r w:rsidR="001F2B93">
        <w:rPr>
          <w:rFonts w:ascii="Times New Roman" w:hAnsi="Times New Roman" w:cs="Times New Roman" w:hint="eastAsia"/>
          <w:sz w:val="21"/>
          <w:szCs w:val="21"/>
        </w:rPr>
        <w:t>所得</w:t>
      </w:r>
      <w:r w:rsidR="0053106A" w:rsidRPr="00651ECF">
        <w:rPr>
          <w:rFonts w:ascii="Times New Roman" w:hAnsi="Times New Roman" w:cs="Times New Roman" w:hint="eastAsia"/>
          <w:sz w:val="21"/>
          <w:szCs w:val="21"/>
        </w:rPr>
        <w:t>。</w:t>
      </w:r>
    </w:p>
    <w:p w14:paraId="40F454E6" w14:textId="77777777" w:rsidR="00C46339" w:rsidRDefault="00C46339" w:rsidP="009C2582">
      <w:pPr>
        <w:spacing w:line="360" w:lineRule="auto"/>
        <w:ind w:firstLineChars="200" w:firstLine="420"/>
        <w:rPr>
          <w:rFonts w:ascii="Times New Roman" w:hAnsi="Times New Roman" w:cs="Times New Roman"/>
          <w:sz w:val="21"/>
          <w:szCs w:val="21"/>
        </w:rPr>
      </w:pPr>
    </w:p>
    <w:p w14:paraId="540DE981" w14:textId="42AB4EA1" w:rsidR="006A7930" w:rsidRPr="00C3146C" w:rsidRDefault="00763EBA" w:rsidP="009C2582">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常规情况下，</w:t>
      </w:r>
      <w:r w:rsidR="006A7930" w:rsidRPr="00C3146C">
        <w:rPr>
          <w:rFonts w:ascii="Times New Roman" w:hAnsi="Times New Roman" w:cs="Times New Roman"/>
        </w:rPr>
        <w:t>依据开支类型，家庭医疗支出可分为医护费用（人头费）、</w:t>
      </w:r>
      <w:r w:rsidR="007B1DFA" w:rsidRPr="00C3146C">
        <w:rPr>
          <w:rFonts w:ascii="Times New Roman" w:hAnsi="Times New Roman" w:cs="Times New Roman" w:hint="eastAsia"/>
        </w:rPr>
        <w:t>检测</w:t>
      </w:r>
      <w:r w:rsidR="006A7930" w:rsidRPr="00C3146C">
        <w:rPr>
          <w:rFonts w:ascii="Times New Roman" w:hAnsi="Times New Roman" w:cs="Times New Roman"/>
        </w:rPr>
        <w:t>与床位费用（设施使用费）、</w:t>
      </w:r>
      <w:r w:rsidR="007B1DFA" w:rsidRPr="00C3146C">
        <w:rPr>
          <w:rFonts w:ascii="Times New Roman" w:hAnsi="Times New Roman" w:cs="Times New Roman" w:hint="eastAsia"/>
        </w:rPr>
        <w:t>化验</w:t>
      </w:r>
      <w:r w:rsidRPr="00C3146C">
        <w:rPr>
          <w:rFonts w:ascii="Times New Roman" w:hAnsi="Times New Roman" w:cs="Times New Roman" w:hint="eastAsia"/>
        </w:rPr>
        <w:t>费用、</w:t>
      </w:r>
      <w:r w:rsidR="006A7930" w:rsidRPr="00C3146C">
        <w:rPr>
          <w:rFonts w:ascii="Times New Roman" w:hAnsi="Times New Roman" w:cs="Times New Roman"/>
        </w:rPr>
        <w:t>药品支出。从医疗体系运维角度，家庭</w:t>
      </w:r>
      <w:r w:rsidRPr="00C3146C">
        <w:rPr>
          <w:rFonts w:ascii="Times New Roman" w:hAnsi="Times New Roman" w:cs="Times New Roman" w:hint="eastAsia"/>
        </w:rPr>
        <w:t>四</w:t>
      </w:r>
      <w:r w:rsidR="006A7930" w:rsidRPr="00C3146C">
        <w:rPr>
          <w:rFonts w:ascii="Times New Roman" w:hAnsi="Times New Roman" w:cs="Times New Roman"/>
        </w:rPr>
        <w:t>类支出分别对应人员开支、设备设施折旧和土地摊销、</w:t>
      </w:r>
      <w:r w:rsidRPr="00C3146C">
        <w:rPr>
          <w:rFonts w:ascii="Times New Roman" w:hAnsi="Times New Roman" w:cs="Times New Roman" w:hint="eastAsia"/>
        </w:rPr>
        <w:t>运营费用（耗材）、</w:t>
      </w:r>
      <w:r w:rsidR="009C2582" w:rsidRPr="00C3146C">
        <w:rPr>
          <w:rFonts w:ascii="Times New Roman" w:hAnsi="Times New Roman" w:cs="Times New Roman" w:hint="eastAsia"/>
        </w:rPr>
        <w:t>药品流通</w:t>
      </w:r>
      <w:r w:rsidR="006A7930" w:rsidRPr="00C3146C">
        <w:rPr>
          <w:rFonts w:ascii="Times New Roman" w:hAnsi="Times New Roman" w:cs="Times New Roman"/>
        </w:rPr>
        <w:t>，</w:t>
      </w:r>
      <w:r w:rsidRPr="00C3146C">
        <w:rPr>
          <w:rFonts w:ascii="Times New Roman" w:hAnsi="Times New Roman" w:cs="Times New Roman" w:hint="eastAsia"/>
        </w:rPr>
        <w:t>四</w:t>
      </w:r>
      <w:r w:rsidR="006A7930" w:rsidRPr="00C3146C">
        <w:rPr>
          <w:rFonts w:ascii="Times New Roman" w:hAnsi="Times New Roman" w:cs="Times New Roman"/>
        </w:rPr>
        <w:t>类支出之外，还有资本化利息支出</w:t>
      </w:r>
      <w:r w:rsidRPr="00C3146C">
        <w:rPr>
          <w:rFonts w:ascii="Times New Roman" w:hAnsi="Times New Roman" w:cs="Times New Roman" w:hint="eastAsia"/>
        </w:rPr>
        <w:t>和其他运营费用</w:t>
      </w:r>
      <w:r w:rsidR="006A7930" w:rsidRPr="00C3146C">
        <w:rPr>
          <w:rFonts w:ascii="Times New Roman" w:hAnsi="Times New Roman" w:cs="Times New Roman"/>
        </w:rPr>
        <w:t>等。依据医疗体系的营利性属性界定，医疗体系还需保持必要的盈余，这部分盈余在非营利性体系</w:t>
      </w:r>
      <w:r w:rsidR="00F92858">
        <w:rPr>
          <w:rFonts w:ascii="Times New Roman" w:hAnsi="Times New Roman" w:cs="Times New Roman" w:hint="eastAsia"/>
        </w:rPr>
        <w:t>中被</w:t>
      </w:r>
      <w:r w:rsidR="006A7930" w:rsidRPr="00C3146C">
        <w:rPr>
          <w:rFonts w:ascii="Times New Roman" w:hAnsi="Times New Roman" w:cs="Times New Roman"/>
        </w:rPr>
        <w:t>称为节余</w:t>
      </w:r>
      <w:r w:rsidR="00F92858">
        <w:rPr>
          <w:rFonts w:ascii="Times New Roman" w:hAnsi="Times New Roman" w:cs="Times New Roman" w:hint="eastAsia"/>
        </w:rPr>
        <w:t>，</w:t>
      </w:r>
      <w:r w:rsidR="006A7930" w:rsidRPr="00C3146C">
        <w:rPr>
          <w:rFonts w:ascii="Times New Roman" w:hAnsi="Times New Roman" w:cs="Times New Roman"/>
        </w:rPr>
        <w:t>用于必要的应急开支和体系的健康发展，</w:t>
      </w:r>
      <w:r w:rsidR="00F92858">
        <w:rPr>
          <w:rFonts w:ascii="Times New Roman" w:hAnsi="Times New Roman" w:cs="Times New Roman" w:hint="eastAsia"/>
        </w:rPr>
        <w:t>在</w:t>
      </w:r>
      <w:r w:rsidR="006A7930" w:rsidRPr="00C3146C">
        <w:rPr>
          <w:rFonts w:ascii="Times New Roman" w:hAnsi="Times New Roman" w:cs="Times New Roman"/>
        </w:rPr>
        <w:t>营利体系</w:t>
      </w:r>
      <w:r w:rsidR="00F92858">
        <w:rPr>
          <w:rFonts w:ascii="Times New Roman" w:hAnsi="Times New Roman" w:cs="Times New Roman" w:hint="eastAsia"/>
        </w:rPr>
        <w:t>中</w:t>
      </w:r>
      <w:r w:rsidR="006A7930" w:rsidRPr="00C3146C">
        <w:rPr>
          <w:rFonts w:ascii="Times New Roman" w:hAnsi="Times New Roman" w:cs="Times New Roman"/>
        </w:rPr>
        <w:t>则构成公司或非法人组织的利润。</w:t>
      </w:r>
      <w:r w:rsidR="00132F08" w:rsidRPr="00C3146C">
        <w:rPr>
          <w:rFonts w:ascii="Times New Roman" w:hAnsi="Times New Roman" w:cs="Times New Roman" w:hint="eastAsia"/>
        </w:rPr>
        <w:t>收支平衡并保持适当比例的盈余，是医疗体系健康发展的必要条件。</w:t>
      </w:r>
      <w:r w:rsidRPr="00C3146C">
        <w:rPr>
          <w:rFonts w:ascii="Times New Roman" w:hAnsi="Times New Roman" w:cs="Times New Roman" w:hint="eastAsia"/>
        </w:rPr>
        <w:t>在美国，人头费又可细分为三类：医生诊断费用、护士费用和护理费用，其中前者由医生单独收取，护士费用、护理</w:t>
      </w:r>
      <w:r w:rsidRPr="00C3146C">
        <w:rPr>
          <w:rFonts w:ascii="Times New Roman" w:hAnsi="Times New Roman" w:cs="Times New Roman" w:hint="eastAsia"/>
        </w:rPr>
        <w:lastRenderedPageBreak/>
        <w:t>费用视情况分别由医院或社区护理机构</w:t>
      </w:r>
      <w:r w:rsidR="0002245C" w:rsidRPr="00C3146C">
        <w:rPr>
          <w:rStyle w:val="a5"/>
          <w:rFonts w:ascii="Times New Roman" w:hAnsi="Times New Roman" w:cs="Times New Roman"/>
        </w:rPr>
        <w:footnoteReference w:id="17"/>
      </w:r>
      <w:r w:rsidRPr="00C3146C">
        <w:rPr>
          <w:rFonts w:ascii="Times New Roman" w:hAnsi="Times New Roman" w:cs="Times New Roman" w:hint="eastAsia"/>
        </w:rPr>
        <w:t>收取。</w:t>
      </w:r>
      <w:r w:rsidR="007D3862" w:rsidRPr="00C3146C">
        <w:rPr>
          <w:rFonts w:ascii="Times New Roman" w:hAnsi="Times New Roman" w:cs="Times New Roman" w:hint="eastAsia"/>
        </w:rPr>
        <w:t>除处方药外，其余药品由家庭单独购买。</w:t>
      </w:r>
    </w:p>
    <w:p w14:paraId="34C3EE9A" w14:textId="70542420" w:rsidR="00B11C90" w:rsidRPr="00DD5420" w:rsidRDefault="00B11C90" w:rsidP="009C2582">
      <w:pPr>
        <w:spacing w:line="360" w:lineRule="auto"/>
        <w:ind w:firstLineChars="200" w:firstLine="480"/>
        <w:rPr>
          <w:rFonts w:ascii="Times New Roman" w:hAnsi="Times New Roman" w:cs="Times New Roman"/>
        </w:rPr>
      </w:pPr>
      <w:r w:rsidRPr="00C3146C">
        <w:rPr>
          <w:rFonts w:ascii="Times New Roman" w:hAnsi="Times New Roman" w:cs="Times New Roman" w:hint="eastAsia"/>
        </w:rPr>
        <w:t>依据上述分类，结合三种核算口径，医疗行业的收支数据复原如下：</w:t>
      </w:r>
    </w:p>
    <w:p w14:paraId="5CC7F70B" w14:textId="77777777" w:rsidR="00720FAD" w:rsidRPr="00DD5420" w:rsidRDefault="00720FAD" w:rsidP="009C2582">
      <w:pPr>
        <w:spacing w:line="360" w:lineRule="auto"/>
        <w:ind w:firstLineChars="200" w:firstLine="480"/>
        <w:rPr>
          <w:rFonts w:ascii="Times New Roman" w:hAnsi="Times New Roman" w:cs="Times New Roman"/>
        </w:rPr>
      </w:pPr>
    </w:p>
    <w:p w14:paraId="7D4E2E4D" w14:textId="5369E032" w:rsidR="00382649" w:rsidRPr="00C3146C" w:rsidRDefault="00382649" w:rsidP="000F2BDB">
      <w:pPr>
        <w:spacing w:line="360" w:lineRule="auto"/>
        <w:jc w:val="center"/>
        <w:rPr>
          <w:rFonts w:ascii="Times New Roman" w:hAnsi="Times New Roman" w:cs="Times New Roman"/>
        </w:rPr>
      </w:pPr>
      <w:r w:rsidRPr="00C3146C">
        <w:rPr>
          <w:rFonts w:ascii="Times New Roman" w:hAnsi="Times New Roman" w:cs="Times New Roman" w:hint="eastAsia"/>
        </w:rPr>
        <w:t>表</w:t>
      </w:r>
      <w:r w:rsidRPr="00C3146C">
        <w:rPr>
          <w:rFonts w:ascii="Times New Roman" w:hAnsi="Times New Roman" w:cs="Times New Roman" w:hint="eastAsia"/>
        </w:rPr>
        <w:t xml:space="preserve">3 </w:t>
      </w:r>
      <w:r w:rsidRPr="00C3146C">
        <w:rPr>
          <w:rFonts w:ascii="Times New Roman" w:hAnsi="Times New Roman" w:cs="Times New Roman" w:hint="eastAsia"/>
        </w:rPr>
        <w:t>美国医疗体系收支结构</w:t>
      </w:r>
    </w:p>
    <w:tbl>
      <w:tblPr>
        <w:tblW w:w="7135" w:type="dxa"/>
        <w:jc w:val="center"/>
        <w:tblLook w:val="04A0" w:firstRow="1" w:lastRow="0" w:firstColumn="1" w:lastColumn="0" w:noHBand="0" w:noVBand="1"/>
      </w:tblPr>
      <w:tblGrid>
        <w:gridCol w:w="1985"/>
        <w:gridCol w:w="756"/>
        <w:gridCol w:w="1134"/>
        <w:gridCol w:w="1134"/>
        <w:gridCol w:w="1134"/>
        <w:gridCol w:w="992"/>
      </w:tblGrid>
      <w:tr w:rsidR="00382649" w:rsidRPr="00602F84" w14:paraId="7519270A" w14:textId="77777777" w:rsidTr="00A877C5">
        <w:trPr>
          <w:trHeight w:val="320"/>
          <w:jc w:val="center"/>
        </w:trPr>
        <w:tc>
          <w:tcPr>
            <w:tcW w:w="1985" w:type="dxa"/>
            <w:tcBorders>
              <w:top w:val="single" w:sz="4" w:space="0" w:color="auto"/>
              <w:left w:val="nil"/>
              <w:bottom w:val="double" w:sz="4" w:space="0" w:color="auto"/>
              <w:right w:val="nil"/>
            </w:tcBorders>
            <w:shd w:val="clear" w:color="auto" w:fill="auto"/>
            <w:noWrap/>
            <w:vAlign w:val="center"/>
            <w:hideMark/>
          </w:tcPr>
          <w:p w14:paraId="7B298C74" w14:textId="77777777" w:rsidR="00382649" w:rsidRPr="00602F84" w:rsidRDefault="00382649" w:rsidP="00382649">
            <w:pPr>
              <w:rPr>
                <w:rFonts w:ascii="Times New Roman" w:hAnsi="Times New Roman" w:cs="Times New Roman"/>
                <w:sz w:val="22"/>
                <w:szCs w:val="22"/>
              </w:rPr>
            </w:pPr>
          </w:p>
        </w:tc>
        <w:tc>
          <w:tcPr>
            <w:tcW w:w="756" w:type="dxa"/>
            <w:tcBorders>
              <w:top w:val="single" w:sz="4" w:space="0" w:color="auto"/>
              <w:left w:val="nil"/>
              <w:bottom w:val="double" w:sz="4" w:space="0" w:color="auto"/>
              <w:right w:val="nil"/>
            </w:tcBorders>
            <w:shd w:val="clear" w:color="auto" w:fill="auto"/>
            <w:noWrap/>
            <w:vAlign w:val="center"/>
            <w:hideMark/>
          </w:tcPr>
          <w:p w14:paraId="03FE38A7"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2000</w:t>
            </w:r>
          </w:p>
        </w:tc>
        <w:tc>
          <w:tcPr>
            <w:tcW w:w="1134" w:type="dxa"/>
            <w:tcBorders>
              <w:top w:val="single" w:sz="4" w:space="0" w:color="auto"/>
              <w:left w:val="nil"/>
              <w:bottom w:val="double" w:sz="4" w:space="0" w:color="auto"/>
              <w:right w:val="nil"/>
            </w:tcBorders>
            <w:shd w:val="clear" w:color="auto" w:fill="auto"/>
            <w:noWrap/>
            <w:vAlign w:val="center"/>
            <w:hideMark/>
          </w:tcPr>
          <w:p w14:paraId="4AD01CEF"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2008</w:t>
            </w:r>
          </w:p>
        </w:tc>
        <w:tc>
          <w:tcPr>
            <w:tcW w:w="1134" w:type="dxa"/>
            <w:tcBorders>
              <w:top w:val="single" w:sz="4" w:space="0" w:color="auto"/>
              <w:left w:val="nil"/>
              <w:bottom w:val="double" w:sz="4" w:space="0" w:color="auto"/>
              <w:right w:val="nil"/>
            </w:tcBorders>
            <w:shd w:val="clear" w:color="auto" w:fill="auto"/>
            <w:noWrap/>
            <w:vAlign w:val="center"/>
            <w:hideMark/>
          </w:tcPr>
          <w:p w14:paraId="2CF2D47E"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2016</w:t>
            </w:r>
          </w:p>
        </w:tc>
        <w:tc>
          <w:tcPr>
            <w:tcW w:w="1134" w:type="dxa"/>
            <w:tcBorders>
              <w:top w:val="single" w:sz="4" w:space="0" w:color="auto"/>
              <w:left w:val="nil"/>
              <w:bottom w:val="double" w:sz="4" w:space="0" w:color="auto"/>
              <w:right w:val="nil"/>
            </w:tcBorders>
            <w:shd w:val="clear" w:color="auto" w:fill="auto"/>
            <w:noWrap/>
            <w:vAlign w:val="center"/>
            <w:hideMark/>
          </w:tcPr>
          <w:p w14:paraId="7ACEAD2D"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2020</w:t>
            </w:r>
          </w:p>
        </w:tc>
        <w:tc>
          <w:tcPr>
            <w:tcW w:w="992" w:type="dxa"/>
            <w:tcBorders>
              <w:top w:val="single" w:sz="4" w:space="0" w:color="auto"/>
              <w:left w:val="nil"/>
              <w:bottom w:val="double" w:sz="4" w:space="0" w:color="auto"/>
              <w:right w:val="nil"/>
            </w:tcBorders>
            <w:shd w:val="clear" w:color="auto" w:fill="auto"/>
            <w:noWrap/>
            <w:vAlign w:val="center"/>
            <w:hideMark/>
          </w:tcPr>
          <w:p w14:paraId="65D69B85"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2023</w:t>
            </w:r>
          </w:p>
        </w:tc>
      </w:tr>
      <w:tr w:rsidR="00382649" w:rsidRPr="00602F84" w14:paraId="46660947" w14:textId="77777777" w:rsidTr="00A877C5">
        <w:trPr>
          <w:trHeight w:val="320"/>
          <w:jc w:val="center"/>
        </w:trPr>
        <w:tc>
          <w:tcPr>
            <w:tcW w:w="1985" w:type="dxa"/>
            <w:tcBorders>
              <w:top w:val="double" w:sz="4" w:space="0" w:color="auto"/>
              <w:left w:val="nil"/>
              <w:bottom w:val="dashSmallGap" w:sz="4" w:space="0" w:color="auto"/>
              <w:right w:val="nil"/>
            </w:tcBorders>
            <w:shd w:val="clear" w:color="auto" w:fill="auto"/>
            <w:noWrap/>
            <w:vAlign w:val="center"/>
            <w:hideMark/>
          </w:tcPr>
          <w:p w14:paraId="0C29B131" w14:textId="77777777" w:rsidR="000F2BDB" w:rsidRDefault="00382649" w:rsidP="00382649">
            <w:pPr>
              <w:rPr>
                <w:rFonts w:ascii="Times New Roman" w:hAnsi="Times New Roman" w:cs="Times New Roman"/>
                <w:color w:val="000000"/>
                <w:sz w:val="22"/>
                <w:szCs w:val="22"/>
              </w:rPr>
            </w:pPr>
            <w:r w:rsidRPr="00602F84">
              <w:rPr>
                <w:rFonts w:ascii="Times New Roman" w:hAnsi="Times New Roman" w:cs="Times New Roman"/>
                <w:color w:val="000000"/>
                <w:sz w:val="22"/>
                <w:szCs w:val="22"/>
              </w:rPr>
              <w:t>表内收入</w:t>
            </w:r>
          </w:p>
          <w:p w14:paraId="60FB8FC9" w14:textId="33061A3F" w:rsidR="00382649" w:rsidRPr="00602F84" w:rsidRDefault="000F2BDB" w:rsidP="00382649">
            <w:pPr>
              <w:rPr>
                <w:rFonts w:ascii="Times New Roman" w:hAnsi="Times New Roman" w:cs="Times New Roman"/>
                <w:color w:val="000000"/>
                <w:sz w:val="22"/>
                <w:szCs w:val="22"/>
              </w:rPr>
            </w:pPr>
            <w:r>
              <w:rPr>
                <w:rFonts w:ascii="Times New Roman" w:hAnsi="Times New Roman" w:cs="Times New Roman" w:hint="eastAsia"/>
                <w:color w:val="000000"/>
                <w:sz w:val="22"/>
                <w:szCs w:val="22"/>
              </w:rPr>
              <w:t>（</w:t>
            </w:r>
            <w:r>
              <w:rPr>
                <w:rFonts w:ascii="Times New Roman" w:hAnsi="Times New Roman" w:cs="Times New Roman" w:hint="eastAsia"/>
                <w:color w:val="000000"/>
                <w:sz w:val="22"/>
                <w:szCs w:val="22"/>
              </w:rPr>
              <w:t>10</w:t>
            </w:r>
            <w:r>
              <w:rPr>
                <w:rFonts w:ascii="Times New Roman" w:hAnsi="Times New Roman" w:cs="Times New Roman" w:hint="eastAsia"/>
                <w:color w:val="000000"/>
                <w:sz w:val="22"/>
                <w:szCs w:val="22"/>
              </w:rPr>
              <w:t>亿美元）</w:t>
            </w:r>
          </w:p>
        </w:tc>
        <w:tc>
          <w:tcPr>
            <w:tcW w:w="756" w:type="dxa"/>
            <w:tcBorders>
              <w:top w:val="double" w:sz="4" w:space="0" w:color="auto"/>
              <w:left w:val="nil"/>
              <w:bottom w:val="dashSmallGap" w:sz="4" w:space="0" w:color="auto"/>
              <w:right w:val="nil"/>
            </w:tcBorders>
            <w:shd w:val="clear" w:color="auto" w:fill="auto"/>
            <w:noWrap/>
            <w:vAlign w:val="center"/>
            <w:hideMark/>
          </w:tcPr>
          <w:p w14:paraId="2DC7F41A"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918.4</w:t>
            </w:r>
          </w:p>
        </w:tc>
        <w:tc>
          <w:tcPr>
            <w:tcW w:w="1134" w:type="dxa"/>
            <w:tcBorders>
              <w:top w:val="double" w:sz="4" w:space="0" w:color="auto"/>
              <w:left w:val="nil"/>
              <w:bottom w:val="dashSmallGap" w:sz="4" w:space="0" w:color="auto"/>
              <w:right w:val="nil"/>
            </w:tcBorders>
            <w:shd w:val="clear" w:color="auto" w:fill="auto"/>
            <w:noWrap/>
            <w:vAlign w:val="center"/>
            <w:hideMark/>
          </w:tcPr>
          <w:p w14:paraId="6AEC5A5E"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1555.3</w:t>
            </w:r>
          </w:p>
        </w:tc>
        <w:tc>
          <w:tcPr>
            <w:tcW w:w="1134" w:type="dxa"/>
            <w:tcBorders>
              <w:top w:val="double" w:sz="4" w:space="0" w:color="auto"/>
              <w:left w:val="nil"/>
              <w:bottom w:val="dashSmallGap" w:sz="4" w:space="0" w:color="auto"/>
              <w:right w:val="nil"/>
            </w:tcBorders>
            <w:shd w:val="clear" w:color="auto" w:fill="auto"/>
            <w:noWrap/>
            <w:vAlign w:val="center"/>
            <w:hideMark/>
          </w:tcPr>
          <w:p w14:paraId="0853A896"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2164.6</w:t>
            </w:r>
          </w:p>
        </w:tc>
        <w:tc>
          <w:tcPr>
            <w:tcW w:w="1134" w:type="dxa"/>
            <w:tcBorders>
              <w:top w:val="double" w:sz="4" w:space="0" w:color="auto"/>
              <w:left w:val="nil"/>
              <w:bottom w:val="dashSmallGap" w:sz="4" w:space="0" w:color="auto"/>
              <w:right w:val="nil"/>
            </w:tcBorders>
            <w:shd w:val="clear" w:color="auto" w:fill="auto"/>
            <w:noWrap/>
            <w:vAlign w:val="center"/>
            <w:hideMark/>
          </w:tcPr>
          <w:p w14:paraId="0C772D48"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2354.8</w:t>
            </w:r>
          </w:p>
        </w:tc>
        <w:tc>
          <w:tcPr>
            <w:tcW w:w="992" w:type="dxa"/>
            <w:tcBorders>
              <w:top w:val="double" w:sz="4" w:space="0" w:color="auto"/>
              <w:left w:val="nil"/>
              <w:bottom w:val="dashSmallGap" w:sz="4" w:space="0" w:color="auto"/>
              <w:right w:val="nil"/>
            </w:tcBorders>
            <w:shd w:val="clear" w:color="auto" w:fill="auto"/>
            <w:noWrap/>
            <w:vAlign w:val="center"/>
            <w:hideMark/>
          </w:tcPr>
          <w:p w14:paraId="5310CBC4"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2999.6</w:t>
            </w:r>
          </w:p>
        </w:tc>
      </w:tr>
      <w:tr w:rsidR="00382649" w:rsidRPr="00602F84" w14:paraId="506E479F" w14:textId="77777777" w:rsidTr="00A877C5">
        <w:trPr>
          <w:trHeight w:val="320"/>
          <w:jc w:val="center"/>
        </w:trPr>
        <w:tc>
          <w:tcPr>
            <w:tcW w:w="1985" w:type="dxa"/>
            <w:tcBorders>
              <w:top w:val="dashSmallGap" w:sz="4" w:space="0" w:color="auto"/>
              <w:left w:val="nil"/>
              <w:bottom w:val="nil"/>
              <w:right w:val="nil"/>
            </w:tcBorders>
            <w:shd w:val="clear" w:color="auto" w:fill="auto"/>
            <w:noWrap/>
            <w:vAlign w:val="center"/>
            <w:hideMark/>
          </w:tcPr>
          <w:p w14:paraId="4D5959C0" w14:textId="77777777" w:rsidR="000F2BDB" w:rsidRDefault="00382649" w:rsidP="00382649">
            <w:pPr>
              <w:rPr>
                <w:rFonts w:ascii="Times New Roman" w:hAnsi="Times New Roman" w:cs="Times New Roman"/>
                <w:color w:val="000000"/>
                <w:sz w:val="22"/>
                <w:szCs w:val="22"/>
              </w:rPr>
            </w:pPr>
            <w:r w:rsidRPr="00602F84">
              <w:rPr>
                <w:rFonts w:ascii="Times New Roman" w:hAnsi="Times New Roman" w:cs="Times New Roman"/>
                <w:color w:val="000000"/>
                <w:sz w:val="22"/>
                <w:szCs w:val="22"/>
              </w:rPr>
              <w:t>表内支出</w:t>
            </w:r>
          </w:p>
          <w:p w14:paraId="537EB1EC" w14:textId="367F5129" w:rsidR="00382649" w:rsidRPr="00602F84" w:rsidRDefault="000F2BDB" w:rsidP="00382649">
            <w:pPr>
              <w:rPr>
                <w:rFonts w:ascii="Times New Roman" w:hAnsi="Times New Roman" w:cs="Times New Roman"/>
                <w:color w:val="000000"/>
                <w:sz w:val="22"/>
                <w:szCs w:val="22"/>
              </w:rPr>
            </w:pPr>
            <w:r>
              <w:rPr>
                <w:rFonts w:ascii="Times New Roman" w:hAnsi="Times New Roman" w:cs="Times New Roman" w:hint="eastAsia"/>
                <w:color w:val="000000"/>
                <w:sz w:val="22"/>
                <w:szCs w:val="22"/>
              </w:rPr>
              <w:t>（</w:t>
            </w:r>
            <w:r>
              <w:rPr>
                <w:rFonts w:ascii="Times New Roman" w:hAnsi="Times New Roman" w:cs="Times New Roman" w:hint="eastAsia"/>
                <w:color w:val="000000"/>
                <w:sz w:val="22"/>
                <w:szCs w:val="22"/>
              </w:rPr>
              <w:t>10</w:t>
            </w:r>
            <w:r>
              <w:rPr>
                <w:rFonts w:ascii="Times New Roman" w:hAnsi="Times New Roman" w:cs="Times New Roman" w:hint="eastAsia"/>
                <w:color w:val="000000"/>
                <w:sz w:val="22"/>
                <w:szCs w:val="22"/>
              </w:rPr>
              <w:t>亿美元）</w:t>
            </w:r>
          </w:p>
        </w:tc>
        <w:tc>
          <w:tcPr>
            <w:tcW w:w="756" w:type="dxa"/>
            <w:tcBorders>
              <w:top w:val="dashSmallGap" w:sz="4" w:space="0" w:color="auto"/>
              <w:left w:val="nil"/>
              <w:bottom w:val="nil"/>
              <w:right w:val="nil"/>
            </w:tcBorders>
            <w:shd w:val="clear" w:color="auto" w:fill="auto"/>
            <w:noWrap/>
            <w:vAlign w:val="center"/>
            <w:hideMark/>
          </w:tcPr>
          <w:p w14:paraId="3E7C8F5D"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608.4</w:t>
            </w:r>
          </w:p>
        </w:tc>
        <w:tc>
          <w:tcPr>
            <w:tcW w:w="1134" w:type="dxa"/>
            <w:tcBorders>
              <w:top w:val="dashSmallGap" w:sz="4" w:space="0" w:color="auto"/>
              <w:left w:val="nil"/>
              <w:bottom w:val="nil"/>
              <w:right w:val="nil"/>
            </w:tcBorders>
            <w:shd w:val="clear" w:color="auto" w:fill="auto"/>
            <w:noWrap/>
            <w:vAlign w:val="center"/>
            <w:hideMark/>
          </w:tcPr>
          <w:p w14:paraId="4B94BA73"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1031.3</w:t>
            </w:r>
          </w:p>
        </w:tc>
        <w:tc>
          <w:tcPr>
            <w:tcW w:w="1134" w:type="dxa"/>
            <w:tcBorders>
              <w:top w:val="dashSmallGap" w:sz="4" w:space="0" w:color="auto"/>
              <w:left w:val="nil"/>
              <w:bottom w:val="nil"/>
              <w:right w:val="nil"/>
            </w:tcBorders>
            <w:shd w:val="clear" w:color="auto" w:fill="auto"/>
            <w:noWrap/>
            <w:vAlign w:val="center"/>
            <w:hideMark/>
          </w:tcPr>
          <w:p w14:paraId="23C1BB8D"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1428.3</w:t>
            </w:r>
          </w:p>
        </w:tc>
        <w:tc>
          <w:tcPr>
            <w:tcW w:w="1134" w:type="dxa"/>
            <w:tcBorders>
              <w:top w:val="dashSmallGap" w:sz="4" w:space="0" w:color="auto"/>
              <w:left w:val="nil"/>
              <w:bottom w:val="nil"/>
              <w:right w:val="nil"/>
            </w:tcBorders>
            <w:shd w:val="clear" w:color="auto" w:fill="auto"/>
            <w:noWrap/>
            <w:vAlign w:val="center"/>
            <w:hideMark/>
          </w:tcPr>
          <w:p w14:paraId="5A44C7AB"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1634.7</w:t>
            </w:r>
          </w:p>
        </w:tc>
        <w:tc>
          <w:tcPr>
            <w:tcW w:w="992" w:type="dxa"/>
            <w:tcBorders>
              <w:top w:val="dashSmallGap" w:sz="4" w:space="0" w:color="auto"/>
              <w:left w:val="nil"/>
              <w:bottom w:val="nil"/>
              <w:right w:val="nil"/>
            </w:tcBorders>
            <w:shd w:val="clear" w:color="auto" w:fill="auto"/>
            <w:noWrap/>
            <w:vAlign w:val="center"/>
            <w:hideMark/>
          </w:tcPr>
          <w:p w14:paraId="1BACD4D9"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2063.2</w:t>
            </w:r>
          </w:p>
        </w:tc>
      </w:tr>
      <w:tr w:rsidR="00382649" w:rsidRPr="00602F84" w14:paraId="0FA2D07B" w14:textId="77777777" w:rsidTr="00A877C5">
        <w:trPr>
          <w:trHeight w:val="320"/>
          <w:jc w:val="center"/>
        </w:trPr>
        <w:tc>
          <w:tcPr>
            <w:tcW w:w="1985" w:type="dxa"/>
            <w:tcBorders>
              <w:top w:val="nil"/>
              <w:left w:val="nil"/>
              <w:bottom w:val="nil"/>
              <w:right w:val="nil"/>
            </w:tcBorders>
            <w:shd w:val="clear" w:color="auto" w:fill="auto"/>
            <w:noWrap/>
            <w:vAlign w:val="center"/>
            <w:hideMark/>
          </w:tcPr>
          <w:p w14:paraId="31BE80D8" w14:textId="77777777" w:rsidR="00382649" w:rsidRPr="00602F84" w:rsidRDefault="00382649" w:rsidP="00382649">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人头费</w:t>
            </w:r>
          </w:p>
        </w:tc>
        <w:tc>
          <w:tcPr>
            <w:tcW w:w="756" w:type="dxa"/>
            <w:tcBorders>
              <w:top w:val="nil"/>
              <w:left w:val="nil"/>
              <w:bottom w:val="nil"/>
              <w:right w:val="nil"/>
            </w:tcBorders>
            <w:shd w:val="clear" w:color="auto" w:fill="auto"/>
            <w:noWrap/>
            <w:vAlign w:val="center"/>
            <w:hideMark/>
          </w:tcPr>
          <w:p w14:paraId="7461AF63"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488.8</w:t>
            </w:r>
          </w:p>
        </w:tc>
        <w:tc>
          <w:tcPr>
            <w:tcW w:w="1134" w:type="dxa"/>
            <w:tcBorders>
              <w:top w:val="nil"/>
              <w:left w:val="nil"/>
              <w:bottom w:val="nil"/>
              <w:right w:val="nil"/>
            </w:tcBorders>
            <w:shd w:val="clear" w:color="auto" w:fill="auto"/>
            <w:noWrap/>
            <w:vAlign w:val="center"/>
            <w:hideMark/>
          </w:tcPr>
          <w:p w14:paraId="62926FC2"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824.6</w:t>
            </w:r>
          </w:p>
        </w:tc>
        <w:tc>
          <w:tcPr>
            <w:tcW w:w="1134" w:type="dxa"/>
            <w:tcBorders>
              <w:top w:val="nil"/>
              <w:left w:val="nil"/>
              <w:bottom w:val="nil"/>
              <w:right w:val="nil"/>
            </w:tcBorders>
            <w:shd w:val="clear" w:color="auto" w:fill="auto"/>
            <w:noWrap/>
            <w:vAlign w:val="center"/>
            <w:hideMark/>
          </w:tcPr>
          <w:p w14:paraId="26D65CFD"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1136.5</w:t>
            </w:r>
          </w:p>
        </w:tc>
        <w:tc>
          <w:tcPr>
            <w:tcW w:w="1134" w:type="dxa"/>
            <w:tcBorders>
              <w:top w:val="nil"/>
              <w:left w:val="nil"/>
              <w:bottom w:val="nil"/>
              <w:right w:val="nil"/>
            </w:tcBorders>
            <w:shd w:val="clear" w:color="auto" w:fill="auto"/>
            <w:noWrap/>
            <w:vAlign w:val="center"/>
            <w:hideMark/>
          </w:tcPr>
          <w:p w14:paraId="08BA24E3"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1362.1</w:t>
            </w:r>
          </w:p>
        </w:tc>
        <w:tc>
          <w:tcPr>
            <w:tcW w:w="992" w:type="dxa"/>
            <w:tcBorders>
              <w:top w:val="nil"/>
              <w:left w:val="nil"/>
              <w:bottom w:val="nil"/>
              <w:right w:val="nil"/>
            </w:tcBorders>
            <w:shd w:val="clear" w:color="auto" w:fill="auto"/>
            <w:noWrap/>
            <w:vAlign w:val="center"/>
            <w:hideMark/>
          </w:tcPr>
          <w:p w14:paraId="6825DD2C"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1650.9</w:t>
            </w:r>
          </w:p>
        </w:tc>
      </w:tr>
      <w:tr w:rsidR="00A877C5" w:rsidRPr="00602F84" w14:paraId="3A9F6248" w14:textId="77777777" w:rsidTr="00A877C5">
        <w:trPr>
          <w:trHeight w:val="320"/>
          <w:jc w:val="center"/>
        </w:trPr>
        <w:tc>
          <w:tcPr>
            <w:tcW w:w="1985" w:type="dxa"/>
            <w:tcBorders>
              <w:top w:val="nil"/>
              <w:left w:val="nil"/>
              <w:bottom w:val="nil"/>
              <w:right w:val="nil"/>
            </w:tcBorders>
            <w:shd w:val="clear" w:color="auto" w:fill="auto"/>
            <w:noWrap/>
            <w:vAlign w:val="center"/>
          </w:tcPr>
          <w:p w14:paraId="353BDB67" w14:textId="2623478C" w:rsidR="00A877C5" w:rsidRPr="00602F84" w:rsidRDefault="00A877C5" w:rsidP="00A877C5">
            <w:pPr>
              <w:rPr>
                <w:rFonts w:ascii="Times New Roman" w:hAnsi="Times New Roman" w:cs="Times New Roman"/>
                <w:color w:val="000000"/>
                <w:sz w:val="22"/>
                <w:szCs w:val="22"/>
              </w:rPr>
            </w:pPr>
            <w:r w:rsidRPr="00602F84">
              <w:rPr>
                <w:rFonts w:ascii="Times New Roman" w:hAnsi="Times New Roman" w:cs="Times New Roman" w:hint="eastAsia"/>
                <w:color w:val="000000"/>
                <w:sz w:val="22"/>
                <w:szCs w:val="22"/>
              </w:rPr>
              <w:t xml:space="preserve">      </w:t>
            </w:r>
            <w:r w:rsidRPr="00602F84">
              <w:rPr>
                <w:rFonts w:ascii="Times New Roman" w:hAnsi="Times New Roman" w:cs="Times New Roman" w:hint="eastAsia"/>
                <w:color w:val="000000"/>
                <w:sz w:val="22"/>
                <w:szCs w:val="22"/>
              </w:rPr>
              <w:t>医生</w:t>
            </w:r>
          </w:p>
        </w:tc>
        <w:tc>
          <w:tcPr>
            <w:tcW w:w="756" w:type="dxa"/>
            <w:tcBorders>
              <w:top w:val="nil"/>
              <w:left w:val="nil"/>
              <w:bottom w:val="nil"/>
              <w:right w:val="nil"/>
            </w:tcBorders>
            <w:shd w:val="clear" w:color="auto" w:fill="auto"/>
            <w:noWrap/>
          </w:tcPr>
          <w:p w14:paraId="545CD350" w14:textId="7563909A"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218.9</w:t>
            </w:r>
          </w:p>
        </w:tc>
        <w:tc>
          <w:tcPr>
            <w:tcW w:w="1134" w:type="dxa"/>
            <w:tcBorders>
              <w:top w:val="nil"/>
              <w:left w:val="nil"/>
              <w:bottom w:val="nil"/>
              <w:right w:val="nil"/>
            </w:tcBorders>
            <w:shd w:val="clear" w:color="auto" w:fill="auto"/>
            <w:noWrap/>
          </w:tcPr>
          <w:p w14:paraId="08237630" w14:textId="07AF4F52"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366.9</w:t>
            </w:r>
          </w:p>
        </w:tc>
        <w:tc>
          <w:tcPr>
            <w:tcW w:w="1134" w:type="dxa"/>
            <w:tcBorders>
              <w:top w:val="nil"/>
              <w:left w:val="nil"/>
              <w:bottom w:val="nil"/>
              <w:right w:val="nil"/>
            </w:tcBorders>
            <w:shd w:val="clear" w:color="auto" w:fill="auto"/>
            <w:noWrap/>
          </w:tcPr>
          <w:p w14:paraId="5379C5E9" w14:textId="6B82BB80"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519.5</w:t>
            </w:r>
          </w:p>
        </w:tc>
        <w:tc>
          <w:tcPr>
            <w:tcW w:w="1134" w:type="dxa"/>
            <w:tcBorders>
              <w:top w:val="nil"/>
              <w:left w:val="nil"/>
              <w:bottom w:val="nil"/>
              <w:right w:val="nil"/>
            </w:tcBorders>
            <w:shd w:val="clear" w:color="auto" w:fill="auto"/>
            <w:noWrap/>
          </w:tcPr>
          <w:p w14:paraId="01AA5783" w14:textId="11601EFB"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620.5</w:t>
            </w:r>
          </w:p>
        </w:tc>
        <w:tc>
          <w:tcPr>
            <w:tcW w:w="992" w:type="dxa"/>
            <w:tcBorders>
              <w:top w:val="nil"/>
              <w:left w:val="nil"/>
              <w:bottom w:val="nil"/>
              <w:right w:val="nil"/>
            </w:tcBorders>
            <w:shd w:val="clear" w:color="auto" w:fill="auto"/>
            <w:noWrap/>
          </w:tcPr>
          <w:p w14:paraId="7EEBE439" w14:textId="2F9131DE"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765.6</w:t>
            </w:r>
          </w:p>
        </w:tc>
      </w:tr>
      <w:tr w:rsidR="00A877C5" w:rsidRPr="00602F84" w14:paraId="1184E4F2" w14:textId="77777777" w:rsidTr="00A877C5">
        <w:trPr>
          <w:trHeight w:val="320"/>
          <w:jc w:val="center"/>
        </w:trPr>
        <w:tc>
          <w:tcPr>
            <w:tcW w:w="1985" w:type="dxa"/>
            <w:tcBorders>
              <w:top w:val="nil"/>
              <w:left w:val="nil"/>
              <w:bottom w:val="nil"/>
              <w:right w:val="nil"/>
            </w:tcBorders>
            <w:shd w:val="clear" w:color="auto" w:fill="auto"/>
            <w:noWrap/>
            <w:vAlign w:val="center"/>
          </w:tcPr>
          <w:p w14:paraId="590CBAB7" w14:textId="3AC844F3" w:rsidR="00A877C5" w:rsidRPr="00602F84" w:rsidRDefault="00A877C5" w:rsidP="00A877C5">
            <w:pPr>
              <w:rPr>
                <w:rFonts w:ascii="Times New Roman" w:hAnsi="Times New Roman" w:cs="Times New Roman"/>
                <w:color w:val="000000"/>
                <w:sz w:val="22"/>
                <w:szCs w:val="22"/>
              </w:rPr>
            </w:pPr>
            <w:r w:rsidRPr="00602F84">
              <w:rPr>
                <w:rFonts w:ascii="Times New Roman" w:hAnsi="Times New Roman" w:cs="Times New Roman" w:hint="eastAsia"/>
                <w:color w:val="000000"/>
                <w:sz w:val="22"/>
                <w:szCs w:val="22"/>
              </w:rPr>
              <w:t xml:space="preserve">      </w:t>
            </w:r>
            <w:r w:rsidRPr="00602F84">
              <w:rPr>
                <w:rFonts w:ascii="Times New Roman" w:hAnsi="Times New Roman" w:cs="Times New Roman" w:hint="eastAsia"/>
                <w:color w:val="000000"/>
                <w:sz w:val="22"/>
                <w:szCs w:val="22"/>
              </w:rPr>
              <w:t>医院雇员</w:t>
            </w:r>
          </w:p>
        </w:tc>
        <w:tc>
          <w:tcPr>
            <w:tcW w:w="756" w:type="dxa"/>
            <w:tcBorders>
              <w:top w:val="nil"/>
              <w:left w:val="nil"/>
              <w:bottom w:val="nil"/>
              <w:right w:val="nil"/>
            </w:tcBorders>
            <w:shd w:val="clear" w:color="auto" w:fill="auto"/>
            <w:noWrap/>
          </w:tcPr>
          <w:p w14:paraId="5863E1E9" w14:textId="7032CB5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163.5</w:t>
            </w:r>
          </w:p>
        </w:tc>
        <w:tc>
          <w:tcPr>
            <w:tcW w:w="1134" w:type="dxa"/>
            <w:tcBorders>
              <w:top w:val="nil"/>
              <w:left w:val="nil"/>
              <w:bottom w:val="nil"/>
              <w:right w:val="nil"/>
            </w:tcBorders>
            <w:shd w:val="clear" w:color="auto" w:fill="auto"/>
            <w:noWrap/>
          </w:tcPr>
          <w:p w14:paraId="0ADE82E9" w14:textId="67AFC390"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286.3</w:t>
            </w:r>
          </w:p>
        </w:tc>
        <w:tc>
          <w:tcPr>
            <w:tcW w:w="1134" w:type="dxa"/>
            <w:tcBorders>
              <w:top w:val="nil"/>
              <w:left w:val="nil"/>
              <w:bottom w:val="nil"/>
              <w:right w:val="nil"/>
            </w:tcBorders>
            <w:shd w:val="clear" w:color="auto" w:fill="auto"/>
            <w:noWrap/>
          </w:tcPr>
          <w:p w14:paraId="1550E144" w14:textId="5CEE47FF"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380.9</w:t>
            </w:r>
          </w:p>
        </w:tc>
        <w:tc>
          <w:tcPr>
            <w:tcW w:w="1134" w:type="dxa"/>
            <w:tcBorders>
              <w:top w:val="nil"/>
              <w:left w:val="nil"/>
              <w:bottom w:val="nil"/>
              <w:right w:val="nil"/>
            </w:tcBorders>
            <w:shd w:val="clear" w:color="auto" w:fill="auto"/>
            <w:noWrap/>
          </w:tcPr>
          <w:p w14:paraId="5ADE9F28" w14:textId="3C4CF5ED"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445.4</w:t>
            </w:r>
          </w:p>
        </w:tc>
        <w:tc>
          <w:tcPr>
            <w:tcW w:w="992" w:type="dxa"/>
            <w:tcBorders>
              <w:top w:val="nil"/>
              <w:left w:val="nil"/>
              <w:bottom w:val="nil"/>
              <w:right w:val="nil"/>
            </w:tcBorders>
            <w:shd w:val="clear" w:color="auto" w:fill="auto"/>
            <w:noWrap/>
          </w:tcPr>
          <w:p w14:paraId="298C96E0" w14:textId="6F835B56"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525</w:t>
            </w:r>
          </w:p>
        </w:tc>
      </w:tr>
      <w:tr w:rsidR="00A877C5" w:rsidRPr="00602F84" w14:paraId="73E98B50" w14:textId="77777777" w:rsidTr="00E02A5D">
        <w:trPr>
          <w:trHeight w:val="320"/>
          <w:jc w:val="center"/>
        </w:trPr>
        <w:tc>
          <w:tcPr>
            <w:tcW w:w="1985" w:type="dxa"/>
            <w:tcBorders>
              <w:top w:val="nil"/>
              <w:left w:val="nil"/>
              <w:bottom w:val="nil"/>
              <w:right w:val="nil"/>
            </w:tcBorders>
            <w:shd w:val="clear" w:color="auto" w:fill="auto"/>
            <w:noWrap/>
            <w:vAlign w:val="center"/>
          </w:tcPr>
          <w:p w14:paraId="01D1C74E" w14:textId="58D1ABF1" w:rsidR="00A877C5" w:rsidRPr="00602F84" w:rsidRDefault="00A877C5" w:rsidP="00A877C5">
            <w:pPr>
              <w:rPr>
                <w:rFonts w:ascii="Times New Roman" w:hAnsi="Times New Roman" w:cs="Times New Roman"/>
                <w:color w:val="000000"/>
                <w:sz w:val="22"/>
                <w:szCs w:val="22"/>
              </w:rPr>
            </w:pPr>
            <w:r w:rsidRPr="00602F84">
              <w:rPr>
                <w:rFonts w:ascii="Times New Roman" w:hAnsi="Times New Roman" w:cs="Times New Roman" w:hint="eastAsia"/>
                <w:color w:val="000000"/>
                <w:sz w:val="22"/>
                <w:szCs w:val="22"/>
              </w:rPr>
              <w:t xml:space="preserve">      </w:t>
            </w:r>
            <w:r w:rsidRPr="00602F84">
              <w:rPr>
                <w:rFonts w:ascii="Times New Roman" w:hAnsi="Times New Roman" w:cs="Times New Roman" w:hint="eastAsia"/>
                <w:color w:val="000000"/>
                <w:sz w:val="22"/>
                <w:szCs w:val="22"/>
              </w:rPr>
              <w:t>其他</w:t>
            </w:r>
          </w:p>
        </w:tc>
        <w:tc>
          <w:tcPr>
            <w:tcW w:w="756" w:type="dxa"/>
            <w:tcBorders>
              <w:top w:val="nil"/>
              <w:left w:val="nil"/>
              <w:bottom w:val="nil"/>
              <w:right w:val="nil"/>
            </w:tcBorders>
            <w:shd w:val="clear" w:color="auto" w:fill="auto"/>
            <w:noWrap/>
          </w:tcPr>
          <w:p w14:paraId="67D7AD9C" w14:textId="59700F9C"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106.4</w:t>
            </w:r>
          </w:p>
        </w:tc>
        <w:tc>
          <w:tcPr>
            <w:tcW w:w="1134" w:type="dxa"/>
            <w:tcBorders>
              <w:top w:val="nil"/>
              <w:left w:val="nil"/>
              <w:bottom w:val="nil"/>
              <w:right w:val="nil"/>
            </w:tcBorders>
            <w:shd w:val="clear" w:color="auto" w:fill="auto"/>
            <w:noWrap/>
          </w:tcPr>
          <w:p w14:paraId="582C354E" w14:textId="3B13ADBC"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171.4</w:t>
            </w:r>
          </w:p>
        </w:tc>
        <w:tc>
          <w:tcPr>
            <w:tcW w:w="1134" w:type="dxa"/>
            <w:tcBorders>
              <w:top w:val="nil"/>
              <w:left w:val="nil"/>
              <w:bottom w:val="nil"/>
              <w:right w:val="nil"/>
            </w:tcBorders>
            <w:shd w:val="clear" w:color="auto" w:fill="auto"/>
            <w:noWrap/>
          </w:tcPr>
          <w:p w14:paraId="3305D6F1" w14:textId="7CFCEBDF"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236.1</w:t>
            </w:r>
          </w:p>
        </w:tc>
        <w:tc>
          <w:tcPr>
            <w:tcW w:w="1134" w:type="dxa"/>
            <w:tcBorders>
              <w:top w:val="nil"/>
              <w:left w:val="nil"/>
              <w:bottom w:val="nil"/>
              <w:right w:val="nil"/>
            </w:tcBorders>
            <w:shd w:val="clear" w:color="auto" w:fill="auto"/>
            <w:noWrap/>
          </w:tcPr>
          <w:p w14:paraId="02139AB8" w14:textId="0DF1BD68"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296.2</w:t>
            </w:r>
          </w:p>
        </w:tc>
        <w:tc>
          <w:tcPr>
            <w:tcW w:w="992" w:type="dxa"/>
            <w:tcBorders>
              <w:top w:val="nil"/>
              <w:left w:val="nil"/>
              <w:bottom w:val="nil"/>
              <w:right w:val="nil"/>
            </w:tcBorders>
            <w:shd w:val="clear" w:color="auto" w:fill="auto"/>
            <w:noWrap/>
          </w:tcPr>
          <w:p w14:paraId="45233D0A" w14:textId="0DFBE7C5"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360.3</w:t>
            </w:r>
          </w:p>
        </w:tc>
      </w:tr>
      <w:tr w:rsidR="00382649" w:rsidRPr="00602F84" w14:paraId="4B22D47E" w14:textId="77777777" w:rsidTr="00A877C5">
        <w:trPr>
          <w:trHeight w:val="320"/>
          <w:jc w:val="center"/>
        </w:trPr>
        <w:tc>
          <w:tcPr>
            <w:tcW w:w="1985" w:type="dxa"/>
            <w:tcBorders>
              <w:top w:val="nil"/>
              <w:left w:val="nil"/>
              <w:bottom w:val="nil"/>
              <w:right w:val="nil"/>
            </w:tcBorders>
            <w:shd w:val="clear" w:color="auto" w:fill="auto"/>
            <w:noWrap/>
            <w:vAlign w:val="center"/>
            <w:hideMark/>
          </w:tcPr>
          <w:p w14:paraId="7424BCF2" w14:textId="03E30F53" w:rsidR="00382649" w:rsidRPr="00602F84" w:rsidRDefault="00382649" w:rsidP="00382649">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设备费</w:t>
            </w:r>
          </w:p>
        </w:tc>
        <w:tc>
          <w:tcPr>
            <w:tcW w:w="756" w:type="dxa"/>
            <w:tcBorders>
              <w:top w:val="nil"/>
              <w:left w:val="nil"/>
              <w:bottom w:val="nil"/>
              <w:right w:val="nil"/>
            </w:tcBorders>
            <w:shd w:val="clear" w:color="auto" w:fill="auto"/>
            <w:noWrap/>
            <w:vAlign w:val="center"/>
            <w:hideMark/>
          </w:tcPr>
          <w:p w14:paraId="40718DF2"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8.2</w:t>
            </w:r>
          </w:p>
        </w:tc>
        <w:tc>
          <w:tcPr>
            <w:tcW w:w="1134" w:type="dxa"/>
            <w:tcBorders>
              <w:top w:val="nil"/>
              <w:left w:val="nil"/>
              <w:bottom w:val="nil"/>
              <w:right w:val="nil"/>
            </w:tcBorders>
            <w:shd w:val="clear" w:color="auto" w:fill="auto"/>
            <w:noWrap/>
            <w:vAlign w:val="center"/>
            <w:hideMark/>
          </w:tcPr>
          <w:p w14:paraId="5F5F4452"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14.1</w:t>
            </w:r>
          </w:p>
        </w:tc>
        <w:tc>
          <w:tcPr>
            <w:tcW w:w="1134" w:type="dxa"/>
            <w:tcBorders>
              <w:top w:val="nil"/>
              <w:left w:val="nil"/>
              <w:bottom w:val="nil"/>
              <w:right w:val="nil"/>
            </w:tcBorders>
            <w:shd w:val="clear" w:color="auto" w:fill="auto"/>
            <w:noWrap/>
            <w:vAlign w:val="center"/>
            <w:hideMark/>
          </w:tcPr>
          <w:p w14:paraId="64CCDB99"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14.6</w:t>
            </w:r>
          </w:p>
        </w:tc>
        <w:tc>
          <w:tcPr>
            <w:tcW w:w="1134" w:type="dxa"/>
            <w:tcBorders>
              <w:top w:val="nil"/>
              <w:left w:val="nil"/>
              <w:bottom w:val="nil"/>
              <w:right w:val="nil"/>
            </w:tcBorders>
            <w:shd w:val="clear" w:color="auto" w:fill="auto"/>
            <w:noWrap/>
            <w:vAlign w:val="center"/>
            <w:hideMark/>
          </w:tcPr>
          <w:p w14:paraId="2211664F"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20.1</w:t>
            </w:r>
          </w:p>
        </w:tc>
        <w:tc>
          <w:tcPr>
            <w:tcW w:w="992" w:type="dxa"/>
            <w:tcBorders>
              <w:top w:val="nil"/>
              <w:left w:val="nil"/>
              <w:bottom w:val="nil"/>
              <w:right w:val="nil"/>
            </w:tcBorders>
            <w:shd w:val="clear" w:color="auto" w:fill="auto"/>
            <w:noWrap/>
            <w:vAlign w:val="center"/>
            <w:hideMark/>
          </w:tcPr>
          <w:p w14:paraId="108EA37E"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24.3</w:t>
            </w:r>
          </w:p>
        </w:tc>
      </w:tr>
      <w:tr w:rsidR="00382649" w:rsidRPr="00602F84" w14:paraId="618EFC32" w14:textId="77777777" w:rsidTr="00A877C5">
        <w:trPr>
          <w:trHeight w:val="320"/>
          <w:jc w:val="center"/>
        </w:trPr>
        <w:tc>
          <w:tcPr>
            <w:tcW w:w="1985" w:type="dxa"/>
            <w:tcBorders>
              <w:top w:val="nil"/>
              <w:left w:val="nil"/>
              <w:bottom w:val="nil"/>
              <w:right w:val="nil"/>
            </w:tcBorders>
            <w:shd w:val="clear" w:color="auto" w:fill="auto"/>
            <w:noWrap/>
            <w:vAlign w:val="center"/>
            <w:hideMark/>
          </w:tcPr>
          <w:p w14:paraId="123EB6B3" w14:textId="77777777" w:rsidR="00382649" w:rsidRPr="00602F84" w:rsidRDefault="00382649" w:rsidP="00382649">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生产税</w:t>
            </w:r>
          </w:p>
        </w:tc>
        <w:tc>
          <w:tcPr>
            <w:tcW w:w="756" w:type="dxa"/>
            <w:tcBorders>
              <w:top w:val="nil"/>
              <w:left w:val="nil"/>
              <w:bottom w:val="nil"/>
              <w:right w:val="nil"/>
            </w:tcBorders>
            <w:shd w:val="clear" w:color="auto" w:fill="auto"/>
            <w:noWrap/>
            <w:vAlign w:val="center"/>
            <w:hideMark/>
          </w:tcPr>
          <w:p w14:paraId="0AF3AB1A"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12.0</w:t>
            </w:r>
          </w:p>
        </w:tc>
        <w:tc>
          <w:tcPr>
            <w:tcW w:w="1134" w:type="dxa"/>
            <w:tcBorders>
              <w:top w:val="nil"/>
              <w:left w:val="nil"/>
              <w:bottom w:val="nil"/>
              <w:right w:val="nil"/>
            </w:tcBorders>
            <w:shd w:val="clear" w:color="auto" w:fill="auto"/>
            <w:noWrap/>
            <w:vAlign w:val="center"/>
            <w:hideMark/>
          </w:tcPr>
          <w:p w14:paraId="40F7AF28"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23.3</w:t>
            </w:r>
          </w:p>
        </w:tc>
        <w:tc>
          <w:tcPr>
            <w:tcW w:w="1134" w:type="dxa"/>
            <w:tcBorders>
              <w:top w:val="nil"/>
              <w:left w:val="nil"/>
              <w:bottom w:val="nil"/>
              <w:right w:val="nil"/>
            </w:tcBorders>
            <w:shd w:val="clear" w:color="auto" w:fill="auto"/>
            <w:noWrap/>
            <w:vAlign w:val="center"/>
            <w:hideMark/>
          </w:tcPr>
          <w:p w14:paraId="79075989"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29.3</w:t>
            </w:r>
          </w:p>
        </w:tc>
        <w:tc>
          <w:tcPr>
            <w:tcW w:w="1134" w:type="dxa"/>
            <w:tcBorders>
              <w:top w:val="nil"/>
              <w:left w:val="nil"/>
              <w:bottom w:val="nil"/>
              <w:right w:val="nil"/>
            </w:tcBorders>
            <w:shd w:val="clear" w:color="auto" w:fill="auto"/>
            <w:noWrap/>
            <w:vAlign w:val="center"/>
            <w:hideMark/>
          </w:tcPr>
          <w:p w14:paraId="2A02CBF7"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-59.2</w:t>
            </w:r>
          </w:p>
        </w:tc>
        <w:tc>
          <w:tcPr>
            <w:tcW w:w="992" w:type="dxa"/>
            <w:tcBorders>
              <w:top w:val="nil"/>
              <w:left w:val="nil"/>
              <w:bottom w:val="nil"/>
              <w:right w:val="nil"/>
            </w:tcBorders>
            <w:shd w:val="clear" w:color="auto" w:fill="auto"/>
            <w:noWrap/>
            <w:vAlign w:val="center"/>
            <w:hideMark/>
          </w:tcPr>
          <w:p w14:paraId="48578B7C"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36.1</w:t>
            </w:r>
          </w:p>
        </w:tc>
      </w:tr>
      <w:tr w:rsidR="00382649" w:rsidRPr="00F92858" w14:paraId="4344C257" w14:textId="77777777" w:rsidTr="00A877C5">
        <w:trPr>
          <w:trHeight w:val="320"/>
          <w:jc w:val="center"/>
        </w:trPr>
        <w:tc>
          <w:tcPr>
            <w:tcW w:w="1985" w:type="dxa"/>
            <w:tcBorders>
              <w:top w:val="nil"/>
              <w:left w:val="nil"/>
              <w:right w:val="nil"/>
            </w:tcBorders>
            <w:shd w:val="clear" w:color="auto" w:fill="auto"/>
            <w:noWrap/>
            <w:vAlign w:val="center"/>
            <w:hideMark/>
          </w:tcPr>
          <w:p w14:paraId="456DF66F" w14:textId="77777777" w:rsidR="00382649" w:rsidRPr="000F2BDB" w:rsidRDefault="00382649" w:rsidP="00382649">
            <w:pPr>
              <w:rPr>
                <w:rFonts w:ascii="Times New Roman" w:hAnsi="Times New Roman" w:cs="Times New Roman"/>
                <w:color w:val="000000"/>
                <w:sz w:val="22"/>
                <w:szCs w:val="22"/>
              </w:rPr>
            </w:pPr>
            <w:r w:rsidRPr="000F2BDB">
              <w:rPr>
                <w:rFonts w:ascii="Times New Roman" w:hAnsi="Times New Roman" w:cs="Times New Roman"/>
                <w:color w:val="000000"/>
                <w:sz w:val="22"/>
                <w:szCs w:val="22"/>
              </w:rPr>
              <w:t xml:space="preserve">    </w:t>
            </w:r>
            <w:r w:rsidRPr="000F2BDB">
              <w:rPr>
                <w:rFonts w:ascii="Times New Roman" w:hAnsi="Times New Roman" w:cs="Times New Roman" w:hint="eastAsia"/>
                <w:color w:val="000000"/>
                <w:sz w:val="22"/>
                <w:szCs w:val="22"/>
              </w:rPr>
              <w:t>盈余</w:t>
            </w:r>
          </w:p>
        </w:tc>
        <w:tc>
          <w:tcPr>
            <w:tcW w:w="756" w:type="dxa"/>
            <w:tcBorders>
              <w:top w:val="nil"/>
              <w:left w:val="nil"/>
              <w:right w:val="nil"/>
            </w:tcBorders>
            <w:shd w:val="clear" w:color="auto" w:fill="auto"/>
            <w:noWrap/>
            <w:vAlign w:val="center"/>
            <w:hideMark/>
          </w:tcPr>
          <w:p w14:paraId="2693EC39" w14:textId="77777777" w:rsidR="00382649" w:rsidRPr="000F2BDB" w:rsidRDefault="00382649" w:rsidP="00382649">
            <w:pPr>
              <w:jc w:val="right"/>
              <w:rPr>
                <w:rFonts w:ascii="Times New Roman" w:hAnsi="Times New Roman" w:cs="Times New Roman"/>
                <w:color w:val="000000"/>
                <w:sz w:val="22"/>
                <w:szCs w:val="22"/>
              </w:rPr>
            </w:pPr>
            <w:r w:rsidRPr="000F2BDB">
              <w:rPr>
                <w:rFonts w:ascii="Times New Roman" w:hAnsi="Times New Roman" w:cs="Times New Roman"/>
                <w:color w:val="000000"/>
                <w:sz w:val="22"/>
                <w:szCs w:val="22"/>
              </w:rPr>
              <w:t>99.4</w:t>
            </w:r>
          </w:p>
        </w:tc>
        <w:tc>
          <w:tcPr>
            <w:tcW w:w="1134" w:type="dxa"/>
            <w:tcBorders>
              <w:top w:val="nil"/>
              <w:left w:val="nil"/>
              <w:right w:val="nil"/>
            </w:tcBorders>
            <w:shd w:val="clear" w:color="auto" w:fill="auto"/>
            <w:noWrap/>
            <w:vAlign w:val="center"/>
            <w:hideMark/>
          </w:tcPr>
          <w:p w14:paraId="13DA0FC4" w14:textId="77777777" w:rsidR="00382649" w:rsidRPr="000F2BDB" w:rsidRDefault="00382649" w:rsidP="00382649">
            <w:pPr>
              <w:jc w:val="right"/>
              <w:rPr>
                <w:rFonts w:ascii="Times New Roman" w:hAnsi="Times New Roman" w:cs="Times New Roman"/>
                <w:color w:val="000000"/>
                <w:sz w:val="22"/>
                <w:szCs w:val="22"/>
              </w:rPr>
            </w:pPr>
            <w:r w:rsidRPr="000F2BDB">
              <w:rPr>
                <w:rFonts w:ascii="Times New Roman" w:hAnsi="Times New Roman" w:cs="Times New Roman"/>
                <w:color w:val="000000"/>
                <w:sz w:val="22"/>
                <w:szCs w:val="22"/>
              </w:rPr>
              <w:t>169.3</w:t>
            </w:r>
          </w:p>
        </w:tc>
        <w:tc>
          <w:tcPr>
            <w:tcW w:w="1134" w:type="dxa"/>
            <w:tcBorders>
              <w:top w:val="nil"/>
              <w:left w:val="nil"/>
              <w:right w:val="nil"/>
            </w:tcBorders>
            <w:shd w:val="clear" w:color="auto" w:fill="auto"/>
            <w:noWrap/>
            <w:vAlign w:val="center"/>
            <w:hideMark/>
          </w:tcPr>
          <w:p w14:paraId="2F9B8980" w14:textId="77777777" w:rsidR="00382649" w:rsidRPr="000F2BDB" w:rsidRDefault="00382649" w:rsidP="00382649">
            <w:pPr>
              <w:jc w:val="right"/>
              <w:rPr>
                <w:rFonts w:ascii="Times New Roman" w:hAnsi="Times New Roman" w:cs="Times New Roman"/>
                <w:color w:val="000000"/>
                <w:sz w:val="22"/>
                <w:szCs w:val="22"/>
              </w:rPr>
            </w:pPr>
            <w:r w:rsidRPr="000F2BDB">
              <w:rPr>
                <w:rFonts w:ascii="Times New Roman" w:hAnsi="Times New Roman" w:cs="Times New Roman"/>
                <w:color w:val="000000"/>
                <w:sz w:val="22"/>
                <w:szCs w:val="22"/>
              </w:rPr>
              <w:t>247.9</w:t>
            </w:r>
          </w:p>
        </w:tc>
        <w:tc>
          <w:tcPr>
            <w:tcW w:w="1134" w:type="dxa"/>
            <w:tcBorders>
              <w:top w:val="nil"/>
              <w:left w:val="nil"/>
              <w:right w:val="nil"/>
            </w:tcBorders>
            <w:shd w:val="clear" w:color="auto" w:fill="auto"/>
            <w:noWrap/>
            <w:vAlign w:val="center"/>
            <w:hideMark/>
          </w:tcPr>
          <w:p w14:paraId="7CF6CF49" w14:textId="77777777" w:rsidR="00382649" w:rsidRPr="000F2BDB" w:rsidRDefault="00382649" w:rsidP="00382649">
            <w:pPr>
              <w:jc w:val="right"/>
              <w:rPr>
                <w:rFonts w:ascii="Times New Roman" w:hAnsi="Times New Roman" w:cs="Times New Roman"/>
                <w:color w:val="000000"/>
                <w:sz w:val="22"/>
                <w:szCs w:val="22"/>
              </w:rPr>
            </w:pPr>
            <w:r w:rsidRPr="000F2BDB">
              <w:rPr>
                <w:rFonts w:ascii="Times New Roman" w:hAnsi="Times New Roman" w:cs="Times New Roman"/>
                <w:color w:val="000000"/>
                <w:sz w:val="22"/>
                <w:szCs w:val="22"/>
              </w:rPr>
              <w:t>311.7</w:t>
            </w:r>
          </w:p>
        </w:tc>
        <w:tc>
          <w:tcPr>
            <w:tcW w:w="992" w:type="dxa"/>
            <w:tcBorders>
              <w:top w:val="nil"/>
              <w:left w:val="nil"/>
              <w:right w:val="nil"/>
            </w:tcBorders>
            <w:shd w:val="clear" w:color="auto" w:fill="auto"/>
            <w:noWrap/>
            <w:vAlign w:val="center"/>
            <w:hideMark/>
          </w:tcPr>
          <w:p w14:paraId="237B10EB" w14:textId="77777777" w:rsidR="00382649" w:rsidRPr="000F2BDB" w:rsidRDefault="00382649" w:rsidP="00382649">
            <w:pPr>
              <w:jc w:val="right"/>
              <w:rPr>
                <w:rFonts w:ascii="Times New Roman" w:hAnsi="Times New Roman" w:cs="Times New Roman"/>
                <w:color w:val="000000"/>
                <w:sz w:val="22"/>
                <w:szCs w:val="22"/>
              </w:rPr>
            </w:pPr>
            <w:r w:rsidRPr="000F2BDB">
              <w:rPr>
                <w:rFonts w:ascii="Times New Roman" w:hAnsi="Times New Roman" w:cs="Times New Roman"/>
                <w:color w:val="000000"/>
                <w:sz w:val="22"/>
                <w:szCs w:val="22"/>
              </w:rPr>
              <w:t>351.9</w:t>
            </w:r>
          </w:p>
        </w:tc>
      </w:tr>
      <w:tr w:rsidR="00382649" w:rsidRPr="00602F84" w14:paraId="13DC0498" w14:textId="77777777" w:rsidTr="00A877C5">
        <w:trPr>
          <w:trHeight w:val="320"/>
          <w:jc w:val="center"/>
        </w:trPr>
        <w:tc>
          <w:tcPr>
            <w:tcW w:w="1985" w:type="dxa"/>
            <w:tcBorders>
              <w:top w:val="nil"/>
              <w:left w:val="nil"/>
              <w:bottom w:val="dashSmallGap" w:sz="4" w:space="0" w:color="auto"/>
              <w:right w:val="nil"/>
            </w:tcBorders>
            <w:shd w:val="clear" w:color="auto" w:fill="auto"/>
            <w:noWrap/>
            <w:vAlign w:val="center"/>
            <w:hideMark/>
          </w:tcPr>
          <w:p w14:paraId="40D4A9B9" w14:textId="77777777" w:rsidR="000F2BDB" w:rsidRDefault="00382649" w:rsidP="00382649">
            <w:pPr>
              <w:rPr>
                <w:rFonts w:ascii="Times New Roman" w:hAnsi="Times New Roman" w:cs="Times New Roman"/>
                <w:color w:val="000000"/>
                <w:sz w:val="22"/>
                <w:szCs w:val="22"/>
              </w:rPr>
            </w:pPr>
            <w:r w:rsidRPr="00602F84">
              <w:rPr>
                <w:rFonts w:ascii="Times New Roman" w:hAnsi="Times New Roman" w:cs="Times New Roman"/>
                <w:color w:val="000000"/>
                <w:sz w:val="22"/>
                <w:szCs w:val="22"/>
              </w:rPr>
              <w:t>表外支出</w:t>
            </w:r>
          </w:p>
          <w:p w14:paraId="3FE05B92" w14:textId="77D4FC01" w:rsidR="00382649" w:rsidRPr="00602F84" w:rsidRDefault="000F2BDB" w:rsidP="00382649">
            <w:pPr>
              <w:rPr>
                <w:rFonts w:ascii="Times New Roman" w:hAnsi="Times New Roman" w:cs="Times New Roman"/>
                <w:color w:val="000000"/>
                <w:sz w:val="22"/>
                <w:szCs w:val="22"/>
              </w:rPr>
            </w:pPr>
            <w:r>
              <w:rPr>
                <w:rFonts w:ascii="Times New Roman" w:hAnsi="Times New Roman" w:cs="Times New Roman" w:hint="eastAsia"/>
                <w:color w:val="000000"/>
                <w:sz w:val="22"/>
                <w:szCs w:val="22"/>
              </w:rPr>
              <w:t>（</w:t>
            </w:r>
            <w:r>
              <w:rPr>
                <w:rFonts w:ascii="Times New Roman" w:hAnsi="Times New Roman" w:cs="Times New Roman" w:hint="eastAsia"/>
                <w:color w:val="000000"/>
                <w:sz w:val="22"/>
                <w:szCs w:val="22"/>
              </w:rPr>
              <w:t>10</w:t>
            </w:r>
            <w:r>
              <w:rPr>
                <w:rFonts w:ascii="Times New Roman" w:hAnsi="Times New Roman" w:cs="Times New Roman" w:hint="eastAsia"/>
                <w:color w:val="000000"/>
                <w:sz w:val="22"/>
                <w:szCs w:val="22"/>
              </w:rPr>
              <w:t>亿美元）</w:t>
            </w:r>
          </w:p>
        </w:tc>
        <w:tc>
          <w:tcPr>
            <w:tcW w:w="756" w:type="dxa"/>
            <w:tcBorders>
              <w:top w:val="nil"/>
              <w:left w:val="nil"/>
              <w:bottom w:val="dashSmallGap" w:sz="4" w:space="0" w:color="auto"/>
              <w:right w:val="nil"/>
            </w:tcBorders>
            <w:shd w:val="clear" w:color="auto" w:fill="auto"/>
            <w:noWrap/>
            <w:vAlign w:val="center"/>
            <w:hideMark/>
          </w:tcPr>
          <w:p w14:paraId="1D25D352"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318.3</w:t>
            </w:r>
          </w:p>
        </w:tc>
        <w:tc>
          <w:tcPr>
            <w:tcW w:w="1134" w:type="dxa"/>
            <w:tcBorders>
              <w:top w:val="nil"/>
              <w:left w:val="nil"/>
              <w:bottom w:val="dashSmallGap" w:sz="4" w:space="0" w:color="auto"/>
              <w:right w:val="nil"/>
            </w:tcBorders>
            <w:shd w:val="clear" w:color="auto" w:fill="auto"/>
            <w:noWrap/>
            <w:vAlign w:val="center"/>
            <w:hideMark/>
          </w:tcPr>
          <w:p w14:paraId="4F28BE1D"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538.1</w:t>
            </w:r>
          </w:p>
        </w:tc>
        <w:tc>
          <w:tcPr>
            <w:tcW w:w="1134" w:type="dxa"/>
            <w:tcBorders>
              <w:top w:val="nil"/>
              <w:left w:val="nil"/>
              <w:bottom w:val="dashSmallGap" w:sz="4" w:space="0" w:color="auto"/>
              <w:right w:val="nil"/>
            </w:tcBorders>
            <w:shd w:val="clear" w:color="auto" w:fill="auto"/>
            <w:noWrap/>
            <w:vAlign w:val="center"/>
            <w:hideMark/>
          </w:tcPr>
          <w:p w14:paraId="691249C1"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750.8</w:t>
            </w:r>
          </w:p>
        </w:tc>
        <w:tc>
          <w:tcPr>
            <w:tcW w:w="1134" w:type="dxa"/>
            <w:tcBorders>
              <w:top w:val="nil"/>
              <w:left w:val="nil"/>
              <w:bottom w:val="dashSmallGap" w:sz="4" w:space="0" w:color="auto"/>
              <w:right w:val="nil"/>
            </w:tcBorders>
            <w:shd w:val="clear" w:color="auto" w:fill="auto"/>
            <w:noWrap/>
            <w:vAlign w:val="center"/>
            <w:hideMark/>
          </w:tcPr>
          <w:p w14:paraId="7DA46E8A"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740.2</w:t>
            </w:r>
          </w:p>
        </w:tc>
        <w:tc>
          <w:tcPr>
            <w:tcW w:w="992" w:type="dxa"/>
            <w:tcBorders>
              <w:top w:val="nil"/>
              <w:left w:val="nil"/>
              <w:bottom w:val="dashSmallGap" w:sz="4" w:space="0" w:color="auto"/>
              <w:right w:val="nil"/>
            </w:tcBorders>
            <w:shd w:val="clear" w:color="auto" w:fill="auto"/>
            <w:noWrap/>
            <w:vAlign w:val="center"/>
            <w:hideMark/>
          </w:tcPr>
          <w:p w14:paraId="2831A6E2"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960.7</w:t>
            </w:r>
          </w:p>
        </w:tc>
      </w:tr>
      <w:tr w:rsidR="00382649" w:rsidRPr="00602F84" w14:paraId="31D8B7EE" w14:textId="77777777" w:rsidTr="00A877C5">
        <w:trPr>
          <w:trHeight w:val="320"/>
          <w:jc w:val="center"/>
        </w:trPr>
        <w:tc>
          <w:tcPr>
            <w:tcW w:w="1985" w:type="dxa"/>
            <w:tcBorders>
              <w:top w:val="dashSmallGap" w:sz="4" w:space="0" w:color="auto"/>
              <w:left w:val="nil"/>
              <w:bottom w:val="nil"/>
              <w:right w:val="nil"/>
            </w:tcBorders>
            <w:shd w:val="clear" w:color="auto" w:fill="auto"/>
            <w:noWrap/>
            <w:vAlign w:val="center"/>
            <w:hideMark/>
          </w:tcPr>
          <w:p w14:paraId="7AA9028C" w14:textId="07C8F35E" w:rsidR="00382649" w:rsidRPr="00602F84" w:rsidRDefault="00382649" w:rsidP="00382649">
            <w:pPr>
              <w:rPr>
                <w:rFonts w:ascii="Times New Roman" w:hAnsi="Times New Roman" w:cs="Times New Roman"/>
                <w:color w:val="000000"/>
                <w:sz w:val="22"/>
                <w:szCs w:val="22"/>
              </w:rPr>
            </w:pPr>
            <w:r w:rsidRPr="00602F84">
              <w:rPr>
                <w:rFonts w:ascii="Times New Roman" w:hAnsi="Times New Roman" w:cs="Times New Roman"/>
                <w:color w:val="000000"/>
                <w:sz w:val="22"/>
                <w:szCs w:val="22"/>
              </w:rPr>
              <w:t>表内支出占比</w:t>
            </w:r>
            <w:r w:rsidR="000F2BDB">
              <w:rPr>
                <w:rFonts w:ascii="Times New Roman" w:hAnsi="Times New Roman" w:cs="Times New Roman" w:hint="eastAsia"/>
                <w:color w:val="000000"/>
                <w:sz w:val="22"/>
                <w:szCs w:val="22"/>
              </w:rPr>
              <w:t>(%)</w:t>
            </w:r>
          </w:p>
        </w:tc>
        <w:tc>
          <w:tcPr>
            <w:tcW w:w="756" w:type="dxa"/>
            <w:tcBorders>
              <w:top w:val="dashSmallGap" w:sz="4" w:space="0" w:color="auto"/>
              <w:left w:val="nil"/>
              <w:bottom w:val="nil"/>
              <w:right w:val="nil"/>
            </w:tcBorders>
            <w:shd w:val="clear" w:color="auto" w:fill="auto"/>
            <w:noWrap/>
            <w:vAlign w:val="center"/>
            <w:hideMark/>
          </w:tcPr>
          <w:p w14:paraId="40D3B211"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66.2</w:t>
            </w:r>
          </w:p>
        </w:tc>
        <w:tc>
          <w:tcPr>
            <w:tcW w:w="1134" w:type="dxa"/>
            <w:tcBorders>
              <w:top w:val="dashSmallGap" w:sz="4" w:space="0" w:color="auto"/>
              <w:left w:val="nil"/>
              <w:bottom w:val="nil"/>
              <w:right w:val="nil"/>
            </w:tcBorders>
            <w:shd w:val="clear" w:color="auto" w:fill="auto"/>
            <w:noWrap/>
            <w:vAlign w:val="center"/>
            <w:hideMark/>
          </w:tcPr>
          <w:p w14:paraId="1462FDBC"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66.3</w:t>
            </w:r>
          </w:p>
        </w:tc>
        <w:tc>
          <w:tcPr>
            <w:tcW w:w="1134" w:type="dxa"/>
            <w:tcBorders>
              <w:top w:val="dashSmallGap" w:sz="4" w:space="0" w:color="auto"/>
              <w:left w:val="nil"/>
              <w:bottom w:val="nil"/>
              <w:right w:val="nil"/>
            </w:tcBorders>
            <w:shd w:val="clear" w:color="auto" w:fill="auto"/>
            <w:noWrap/>
            <w:vAlign w:val="center"/>
            <w:hideMark/>
          </w:tcPr>
          <w:p w14:paraId="34ACDAAE"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66.0</w:t>
            </w:r>
          </w:p>
        </w:tc>
        <w:tc>
          <w:tcPr>
            <w:tcW w:w="1134" w:type="dxa"/>
            <w:tcBorders>
              <w:top w:val="dashSmallGap" w:sz="4" w:space="0" w:color="auto"/>
              <w:left w:val="nil"/>
              <w:bottom w:val="nil"/>
              <w:right w:val="nil"/>
            </w:tcBorders>
            <w:shd w:val="clear" w:color="auto" w:fill="auto"/>
            <w:noWrap/>
            <w:vAlign w:val="center"/>
            <w:hideMark/>
          </w:tcPr>
          <w:p w14:paraId="664E26B1"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69.4</w:t>
            </w:r>
          </w:p>
        </w:tc>
        <w:tc>
          <w:tcPr>
            <w:tcW w:w="992" w:type="dxa"/>
            <w:tcBorders>
              <w:top w:val="dashSmallGap" w:sz="4" w:space="0" w:color="auto"/>
              <w:left w:val="nil"/>
              <w:bottom w:val="nil"/>
              <w:right w:val="nil"/>
            </w:tcBorders>
            <w:shd w:val="clear" w:color="auto" w:fill="auto"/>
            <w:noWrap/>
            <w:vAlign w:val="center"/>
            <w:hideMark/>
          </w:tcPr>
          <w:p w14:paraId="5F2F3A34"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68.8</w:t>
            </w:r>
          </w:p>
        </w:tc>
      </w:tr>
      <w:tr w:rsidR="00382649" w:rsidRPr="00602F84" w14:paraId="5295AE84" w14:textId="77777777" w:rsidTr="00F57597">
        <w:trPr>
          <w:trHeight w:val="320"/>
          <w:jc w:val="center"/>
        </w:trPr>
        <w:tc>
          <w:tcPr>
            <w:tcW w:w="1985" w:type="dxa"/>
            <w:tcBorders>
              <w:top w:val="nil"/>
              <w:left w:val="nil"/>
              <w:bottom w:val="nil"/>
              <w:right w:val="nil"/>
            </w:tcBorders>
            <w:shd w:val="clear" w:color="auto" w:fill="auto"/>
            <w:noWrap/>
            <w:vAlign w:val="center"/>
            <w:hideMark/>
          </w:tcPr>
          <w:p w14:paraId="6214F389" w14:textId="77777777" w:rsidR="00382649" w:rsidRPr="00602F84" w:rsidRDefault="00382649" w:rsidP="00382649">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人头费比例</w:t>
            </w:r>
          </w:p>
        </w:tc>
        <w:tc>
          <w:tcPr>
            <w:tcW w:w="756" w:type="dxa"/>
            <w:tcBorders>
              <w:top w:val="nil"/>
              <w:left w:val="nil"/>
              <w:bottom w:val="single" w:sz="4" w:space="0" w:color="000000" w:themeColor="text1"/>
              <w:right w:val="nil"/>
            </w:tcBorders>
            <w:shd w:val="clear" w:color="auto" w:fill="auto"/>
            <w:noWrap/>
            <w:vAlign w:val="center"/>
            <w:hideMark/>
          </w:tcPr>
          <w:p w14:paraId="58CFB2F3"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53.2</w:t>
            </w:r>
          </w:p>
        </w:tc>
        <w:tc>
          <w:tcPr>
            <w:tcW w:w="1134" w:type="dxa"/>
            <w:tcBorders>
              <w:top w:val="nil"/>
              <w:left w:val="nil"/>
              <w:bottom w:val="single" w:sz="4" w:space="0" w:color="000000" w:themeColor="text1"/>
              <w:right w:val="nil"/>
            </w:tcBorders>
            <w:shd w:val="clear" w:color="auto" w:fill="auto"/>
            <w:noWrap/>
            <w:vAlign w:val="center"/>
            <w:hideMark/>
          </w:tcPr>
          <w:p w14:paraId="3310E87F"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53.0</w:t>
            </w:r>
          </w:p>
        </w:tc>
        <w:tc>
          <w:tcPr>
            <w:tcW w:w="1134" w:type="dxa"/>
            <w:tcBorders>
              <w:top w:val="nil"/>
              <w:left w:val="nil"/>
              <w:bottom w:val="single" w:sz="4" w:space="0" w:color="000000" w:themeColor="text1"/>
              <w:right w:val="nil"/>
            </w:tcBorders>
            <w:shd w:val="clear" w:color="auto" w:fill="auto"/>
            <w:noWrap/>
            <w:vAlign w:val="center"/>
            <w:hideMark/>
          </w:tcPr>
          <w:p w14:paraId="2AB43045"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52.5</w:t>
            </w:r>
          </w:p>
        </w:tc>
        <w:tc>
          <w:tcPr>
            <w:tcW w:w="1134" w:type="dxa"/>
            <w:tcBorders>
              <w:top w:val="nil"/>
              <w:left w:val="nil"/>
              <w:bottom w:val="single" w:sz="4" w:space="0" w:color="000000" w:themeColor="text1"/>
              <w:right w:val="nil"/>
            </w:tcBorders>
            <w:shd w:val="clear" w:color="auto" w:fill="auto"/>
            <w:noWrap/>
            <w:vAlign w:val="center"/>
            <w:hideMark/>
          </w:tcPr>
          <w:p w14:paraId="5DACA2A1"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57.8</w:t>
            </w:r>
          </w:p>
        </w:tc>
        <w:tc>
          <w:tcPr>
            <w:tcW w:w="992" w:type="dxa"/>
            <w:tcBorders>
              <w:top w:val="nil"/>
              <w:left w:val="nil"/>
              <w:bottom w:val="single" w:sz="4" w:space="0" w:color="000000" w:themeColor="text1"/>
              <w:right w:val="nil"/>
            </w:tcBorders>
            <w:shd w:val="clear" w:color="auto" w:fill="auto"/>
            <w:noWrap/>
            <w:vAlign w:val="center"/>
            <w:hideMark/>
          </w:tcPr>
          <w:p w14:paraId="42E7D2FB" w14:textId="77777777" w:rsidR="00382649" w:rsidRPr="00602F84" w:rsidRDefault="00382649" w:rsidP="00382649">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55.0</w:t>
            </w:r>
          </w:p>
        </w:tc>
      </w:tr>
      <w:tr w:rsidR="00202678" w:rsidRPr="00602F84" w14:paraId="579E50BB" w14:textId="77777777" w:rsidTr="00F57597">
        <w:trPr>
          <w:trHeight w:val="320"/>
          <w:jc w:val="center"/>
        </w:trPr>
        <w:tc>
          <w:tcPr>
            <w:tcW w:w="1985" w:type="dxa"/>
            <w:tcBorders>
              <w:top w:val="nil"/>
              <w:left w:val="nil"/>
              <w:bottom w:val="nil"/>
              <w:right w:val="single" w:sz="4" w:space="0" w:color="000000" w:themeColor="text1"/>
            </w:tcBorders>
            <w:shd w:val="clear" w:color="auto" w:fill="auto"/>
            <w:noWrap/>
            <w:vAlign w:val="center"/>
          </w:tcPr>
          <w:p w14:paraId="6719678F" w14:textId="5D6CDA49" w:rsidR="00202678" w:rsidRPr="00602F84" w:rsidRDefault="00202678" w:rsidP="00202678">
            <w:pPr>
              <w:rPr>
                <w:rFonts w:ascii="Times New Roman" w:hAnsi="Times New Roman" w:cs="Times New Roman"/>
                <w:color w:val="000000"/>
                <w:sz w:val="22"/>
                <w:szCs w:val="22"/>
              </w:rPr>
            </w:pPr>
            <w:r w:rsidRPr="00602F84">
              <w:rPr>
                <w:rFonts w:ascii="Times New Roman" w:hAnsi="Times New Roman" w:cs="Times New Roman" w:hint="eastAsia"/>
                <w:color w:val="000000"/>
                <w:sz w:val="22"/>
                <w:szCs w:val="22"/>
              </w:rPr>
              <w:t xml:space="preserve">      </w:t>
            </w:r>
            <w:r w:rsidRPr="00602F84">
              <w:rPr>
                <w:rFonts w:ascii="Times New Roman" w:hAnsi="Times New Roman" w:cs="Times New Roman" w:hint="eastAsia"/>
                <w:color w:val="000000"/>
                <w:sz w:val="22"/>
                <w:szCs w:val="22"/>
              </w:rPr>
              <w:t>医生</w:t>
            </w:r>
          </w:p>
        </w:tc>
        <w:tc>
          <w:tcPr>
            <w:tcW w:w="756" w:type="dxa"/>
            <w:tcBorders>
              <w:top w:val="single" w:sz="4" w:space="0" w:color="000000" w:themeColor="text1"/>
              <w:left w:val="single" w:sz="4" w:space="0" w:color="000000" w:themeColor="text1"/>
              <w:bottom w:val="single" w:sz="4" w:space="0" w:color="000000" w:themeColor="text1"/>
              <w:right w:val="nil"/>
            </w:tcBorders>
            <w:shd w:val="clear" w:color="auto" w:fill="auto"/>
            <w:noWrap/>
          </w:tcPr>
          <w:p w14:paraId="54A6D70D" w14:textId="0A397151"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23.8</w:t>
            </w:r>
          </w:p>
        </w:tc>
        <w:tc>
          <w:tcPr>
            <w:tcW w:w="1134" w:type="dxa"/>
            <w:tcBorders>
              <w:top w:val="single" w:sz="4" w:space="0" w:color="000000" w:themeColor="text1"/>
              <w:left w:val="nil"/>
              <w:bottom w:val="single" w:sz="4" w:space="0" w:color="000000" w:themeColor="text1"/>
              <w:right w:val="nil"/>
            </w:tcBorders>
            <w:shd w:val="clear" w:color="auto" w:fill="auto"/>
            <w:noWrap/>
          </w:tcPr>
          <w:p w14:paraId="1F950277" w14:textId="58BCE15A"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23.6</w:t>
            </w:r>
          </w:p>
        </w:tc>
        <w:tc>
          <w:tcPr>
            <w:tcW w:w="1134" w:type="dxa"/>
            <w:tcBorders>
              <w:top w:val="single" w:sz="4" w:space="0" w:color="000000" w:themeColor="text1"/>
              <w:left w:val="nil"/>
              <w:bottom w:val="single" w:sz="4" w:space="0" w:color="000000" w:themeColor="text1"/>
              <w:right w:val="nil"/>
            </w:tcBorders>
            <w:shd w:val="clear" w:color="auto" w:fill="auto"/>
            <w:noWrap/>
          </w:tcPr>
          <w:p w14:paraId="328C428F" w14:textId="611E2AFC"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24.0</w:t>
            </w:r>
          </w:p>
        </w:tc>
        <w:tc>
          <w:tcPr>
            <w:tcW w:w="1134" w:type="dxa"/>
            <w:tcBorders>
              <w:top w:val="single" w:sz="4" w:space="0" w:color="000000" w:themeColor="text1"/>
              <w:left w:val="nil"/>
              <w:bottom w:val="single" w:sz="4" w:space="0" w:color="000000" w:themeColor="text1"/>
              <w:right w:val="nil"/>
            </w:tcBorders>
            <w:shd w:val="clear" w:color="auto" w:fill="auto"/>
            <w:noWrap/>
          </w:tcPr>
          <w:p w14:paraId="49E22BAF" w14:textId="5D63F7F6"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26.4</w:t>
            </w:r>
          </w:p>
        </w:tc>
        <w:tc>
          <w:tcPr>
            <w:tcW w:w="992" w:type="dxa"/>
            <w:tcBorders>
              <w:top w:val="single" w:sz="4" w:space="0" w:color="000000" w:themeColor="text1"/>
              <w:left w:val="nil"/>
              <w:bottom w:val="single" w:sz="4" w:space="0" w:color="000000" w:themeColor="text1"/>
              <w:right w:val="single" w:sz="4" w:space="0" w:color="000000" w:themeColor="text1"/>
            </w:tcBorders>
            <w:shd w:val="clear" w:color="auto" w:fill="auto"/>
            <w:noWrap/>
          </w:tcPr>
          <w:p w14:paraId="04B2BA36" w14:textId="5F2C8037"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25.5</w:t>
            </w:r>
          </w:p>
        </w:tc>
      </w:tr>
      <w:tr w:rsidR="00202678" w:rsidRPr="00602F84" w14:paraId="25057355" w14:textId="77777777" w:rsidTr="00F57597">
        <w:trPr>
          <w:trHeight w:val="320"/>
          <w:jc w:val="center"/>
        </w:trPr>
        <w:tc>
          <w:tcPr>
            <w:tcW w:w="1985" w:type="dxa"/>
            <w:tcBorders>
              <w:top w:val="nil"/>
              <w:left w:val="nil"/>
              <w:bottom w:val="nil"/>
              <w:right w:val="nil"/>
            </w:tcBorders>
            <w:shd w:val="clear" w:color="auto" w:fill="auto"/>
            <w:noWrap/>
            <w:vAlign w:val="center"/>
          </w:tcPr>
          <w:p w14:paraId="6B8DC40F" w14:textId="33FEFE02" w:rsidR="00202678" w:rsidRPr="00602F84" w:rsidRDefault="00202678" w:rsidP="00202678">
            <w:pPr>
              <w:rPr>
                <w:rFonts w:ascii="Times New Roman" w:hAnsi="Times New Roman" w:cs="Times New Roman"/>
                <w:color w:val="000000"/>
                <w:sz w:val="22"/>
                <w:szCs w:val="22"/>
              </w:rPr>
            </w:pPr>
            <w:r w:rsidRPr="00602F84">
              <w:rPr>
                <w:rFonts w:ascii="Times New Roman" w:hAnsi="Times New Roman" w:cs="Times New Roman" w:hint="eastAsia"/>
                <w:color w:val="000000"/>
                <w:sz w:val="22"/>
                <w:szCs w:val="22"/>
              </w:rPr>
              <w:t xml:space="preserve">      </w:t>
            </w:r>
            <w:r w:rsidRPr="00602F84">
              <w:rPr>
                <w:rFonts w:ascii="Times New Roman" w:hAnsi="Times New Roman" w:cs="Times New Roman" w:hint="eastAsia"/>
                <w:color w:val="000000"/>
                <w:sz w:val="22"/>
                <w:szCs w:val="22"/>
              </w:rPr>
              <w:t>医院雇员</w:t>
            </w:r>
          </w:p>
        </w:tc>
        <w:tc>
          <w:tcPr>
            <w:tcW w:w="756" w:type="dxa"/>
            <w:tcBorders>
              <w:top w:val="single" w:sz="4" w:space="0" w:color="000000" w:themeColor="text1"/>
              <w:left w:val="nil"/>
              <w:bottom w:val="nil"/>
              <w:right w:val="nil"/>
            </w:tcBorders>
            <w:shd w:val="clear" w:color="auto" w:fill="auto"/>
            <w:noWrap/>
          </w:tcPr>
          <w:p w14:paraId="38A773E1" w14:textId="493FB4BE"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17.8</w:t>
            </w:r>
          </w:p>
        </w:tc>
        <w:tc>
          <w:tcPr>
            <w:tcW w:w="1134" w:type="dxa"/>
            <w:tcBorders>
              <w:top w:val="single" w:sz="4" w:space="0" w:color="000000" w:themeColor="text1"/>
              <w:left w:val="nil"/>
              <w:bottom w:val="nil"/>
              <w:right w:val="nil"/>
            </w:tcBorders>
            <w:shd w:val="clear" w:color="auto" w:fill="auto"/>
            <w:noWrap/>
          </w:tcPr>
          <w:p w14:paraId="0B153EF5" w14:textId="2C05B30B"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18.4</w:t>
            </w:r>
          </w:p>
        </w:tc>
        <w:tc>
          <w:tcPr>
            <w:tcW w:w="1134" w:type="dxa"/>
            <w:tcBorders>
              <w:top w:val="single" w:sz="4" w:space="0" w:color="000000" w:themeColor="text1"/>
              <w:left w:val="nil"/>
              <w:bottom w:val="nil"/>
              <w:right w:val="nil"/>
            </w:tcBorders>
            <w:shd w:val="clear" w:color="auto" w:fill="auto"/>
            <w:noWrap/>
          </w:tcPr>
          <w:p w14:paraId="491CE3AB" w14:textId="71B2748D"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17.6</w:t>
            </w:r>
          </w:p>
        </w:tc>
        <w:tc>
          <w:tcPr>
            <w:tcW w:w="1134" w:type="dxa"/>
            <w:tcBorders>
              <w:top w:val="single" w:sz="4" w:space="0" w:color="000000" w:themeColor="text1"/>
              <w:left w:val="nil"/>
              <w:bottom w:val="nil"/>
              <w:right w:val="nil"/>
            </w:tcBorders>
            <w:shd w:val="clear" w:color="auto" w:fill="auto"/>
            <w:noWrap/>
          </w:tcPr>
          <w:p w14:paraId="7456E678" w14:textId="662E30F8"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18.9</w:t>
            </w:r>
          </w:p>
        </w:tc>
        <w:tc>
          <w:tcPr>
            <w:tcW w:w="992" w:type="dxa"/>
            <w:tcBorders>
              <w:top w:val="single" w:sz="4" w:space="0" w:color="000000" w:themeColor="text1"/>
              <w:left w:val="nil"/>
              <w:bottom w:val="nil"/>
              <w:right w:val="nil"/>
            </w:tcBorders>
            <w:shd w:val="clear" w:color="auto" w:fill="auto"/>
            <w:noWrap/>
          </w:tcPr>
          <w:p w14:paraId="44D47125" w14:textId="15197B94"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17.5</w:t>
            </w:r>
          </w:p>
        </w:tc>
      </w:tr>
      <w:tr w:rsidR="00202678" w:rsidRPr="00602F84" w14:paraId="707D28DF" w14:textId="77777777" w:rsidTr="00E02A5D">
        <w:trPr>
          <w:trHeight w:val="320"/>
          <w:jc w:val="center"/>
        </w:trPr>
        <w:tc>
          <w:tcPr>
            <w:tcW w:w="1985" w:type="dxa"/>
            <w:tcBorders>
              <w:top w:val="nil"/>
              <w:left w:val="nil"/>
              <w:bottom w:val="nil"/>
              <w:right w:val="nil"/>
            </w:tcBorders>
            <w:shd w:val="clear" w:color="auto" w:fill="auto"/>
            <w:noWrap/>
            <w:vAlign w:val="center"/>
          </w:tcPr>
          <w:p w14:paraId="58823A3C" w14:textId="5863643F" w:rsidR="00202678" w:rsidRPr="00602F84" w:rsidRDefault="00202678" w:rsidP="00202678">
            <w:pPr>
              <w:rPr>
                <w:rFonts w:ascii="Times New Roman" w:hAnsi="Times New Roman" w:cs="Times New Roman"/>
                <w:color w:val="000000"/>
                <w:sz w:val="22"/>
                <w:szCs w:val="22"/>
              </w:rPr>
            </w:pPr>
            <w:r w:rsidRPr="00602F84">
              <w:rPr>
                <w:rFonts w:ascii="Times New Roman" w:hAnsi="Times New Roman" w:cs="Times New Roman" w:hint="eastAsia"/>
                <w:color w:val="000000"/>
                <w:sz w:val="22"/>
                <w:szCs w:val="22"/>
              </w:rPr>
              <w:t xml:space="preserve">      </w:t>
            </w:r>
            <w:r w:rsidRPr="00602F84">
              <w:rPr>
                <w:rFonts w:ascii="Times New Roman" w:hAnsi="Times New Roman" w:cs="Times New Roman" w:hint="eastAsia"/>
                <w:color w:val="000000"/>
                <w:sz w:val="22"/>
                <w:szCs w:val="22"/>
              </w:rPr>
              <w:t>其他</w:t>
            </w:r>
          </w:p>
        </w:tc>
        <w:tc>
          <w:tcPr>
            <w:tcW w:w="756" w:type="dxa"/>
            <w:tcBorders>
              <w:top w:val="nil"/>
              <w:left w:val="nil"/>
              <w:bottom w:val="nil"/>
              <w:right w:val="nil"/>
            </w:tcBorders>
            <w:shd w:val="clear" w:color="auto" w:fill="auto"/>
            <w:noWrap/>
          </w:tcPr>
          <w:p w14:paraId="1700F4E1" w14:textId="0DA69C4F"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11.6</w:t>
            </w:r>
          </w:p>
        </w:tc>
        <w:tc>
          <w:tcPr>
            <w:tcW w:w="1134" w:type="dxa"/>
            <w:tcBorders>
              <w:top w:val="nil"/>
              <w:left w:val="nil"/>
              <w:bottom w:val="nil"/>
              <w:right w:val="nil"/>
            </w:tcBorders>
            <w:shd w:val="clear" w:color="auto" w:fill="auto"/>
            <w:noWrap/>
          </w:tcPr>
          <w:p w14:paraId="1ABF107E" w14:textId="4BC73760"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11.0</w:t>
            </w:r>
          </w:p>
        </w:tc>
        <w:tc>
          <w:tcPr>
            <w:tcW w:w="1134" w:type="dxa"/>
            <w:tcBorders>
              <w:top w:val="nil"/>
              <w:left w:val="nil"/>
              <w:bottom w:val="nil"/>
              <w:right w:val="nil"/>
            </w:tcBorders>
            <w:shd w:val="clear" w:color="auto" w:fill="auto"/>
            <w:noWrap/>
          </w:tcPr>
          <w:p w14:paraId="2EE86075" w14:textId="34A42BF4"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10.9</w:t>
            </w:r>
          </w:p>
        </w:tc>
        <w:tc>
          <w:tcPr>
            <w:tcW w:w="1134" w:type="dxa"/>
            <w:tcBorders>
              <w:top w:val="nil"/>
              <w:left w:val="nil"/>
              <w:bottom w:val="nil"/>
              <w:right w:val="nil"/>
            </w:tcBorders>
            <w:shd w:val="clear" w:color="auto" w:fill="auto"/>
            <w:noWrap/>
          </w:tcPr>
          <w:p w14:paraId="23C92233" w14:textId="1936ED76"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12.6</w:t>
            </w:r>
          </w:p>
        </w:tc>
        <w:tc>
          <w:tcPr>
            <w:tcW w:w="992" w:type="dxa"/>
            <w:tcBorders>
              <w:top w:val="nil"/>
              <w:left w:val="nil"/>
              <w:bottom w:val="nil"/>
              <w:right w:val="nil"/>
            </w:tcBorders>
            <w:shd w:val="clear" w:color="auto" w:fill="auto"/>
            <w:noWrap/>
          </w:tcPr>
          <w:p w14:paraId="7631D31E" w14:textId="6B4075B9" w:rsidR="00202678" w:rsidRPr="00602F84" w:rsidRDefault="00202678" w:rsidP="00202678">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12.0</w:t>
            </w:r>
          </w:p>
        </w:tc>
      </w:tr>
      <w:tr w:rsidR="00A877C5" w:rsidRPr="00602F84" w14:paraId="66F65518" w14:textId="77777777" w:rsidTr="00A877C5">
        <w:trPr>
          <w:trHeight w:val="320"/>
          <w:jc w:val="center"/>
        </w:trPr>
        <w:tc>
          <w:tcPr>
            <w:tcW w:w="1985" w:type="dxa"/>
            <w:tcBorders>
              <w:top w:val="nil"/>
              <w:left w:val="nil"/>
              <w:bottom w:val="nil"/>
              <w:right w:val="nil"/>
            </w:tcBorders>
            <w:shd w:val="clear" w:color="auto" w:fill="auto"/>
            <w:noWrap/>
            <w:vAlign w:val="center"/>
            <w:hideMark/>
          </w:tcPr>
          <w:p w14:paraId="5354D4CB" w14:textId="3B5340A0" w:rsidR="00A877C5" w:rsidRPr="00602F84" w:rsidRDefault="00A877C5" w:rsidP="00A877C5">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设备费比例</w:t>
            </w:r>
          </w:p>
        </w:tc>
        <w:tc>
          <w:tcPr>
            <w:tcW w:w="756" w:type="dxa"/>
            <w:tcBorders>
              <w:top w:val="nil"/>
              <w:left w:val="nil"/>
              <w:bottom w:val="nil"/>
              <w:right w:val="nil"/>
            </w:tcBorders>
            <w:shd w:val="clear" w:color="auto" w:fill="auto"/>
            <w:noWrap/>
            <w:vAlign w:val="center"/>
            <w:hideMark/>
          </w:tcPr>
          <w:p w14:paraId="78745D96"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0.9</w:t>
            </w:r>
          </w:p>
        </w:tc>
        <w:tc>
          <w:tcPr>
            <w:tcW w:w="1134" w:type="dxa"/>
            <w:tcBorders>
              <w:top w:val="nil"/>
              <w:left w:val="nil"/>
              <w:bottom w:val="nil"/>
              <w:right w:val="nil"/>
            </w:tcBorders>
            <w:shd w:val="clear" w:color="auto" w:fill="auto"/>
            <w:noWrap/>
            <w:vAlign w:val="center"/>
            <w:hideMark/>
          </w:tcPr>
          <w:p w14:paraId="23374EA3"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0.9</w:t>
            </w:r>
          </w:p>
        </w:tc>
        <w:tc>
          <w:tcPr>
            <w:tcW w:w="1134" w:type="dxa"/>
            <w:tcBorders>
              <w:top w:val="nil"/>
              <w:left w:val="nil"/>
              <w:bottom w:val="nil"/>
              <w:right w:val="nil"/>
            </w:tcBorders>
            <w:shd w:val="clear" w:color="auto" w:fill="auto"/>
            <w:noWrap/>
            <w:vAlign w:val="center"/>
            <w:hideMark/>
          </w:tcPr>
          <w:p w14:paraId="1BD08288"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0.7</w:t>
            </w:r>
          </w:p>
        </w:tc>
        <w:tc>
          <w:tcPr>
            <w:tcW w:w="1134" w:type="dxa"/>
            <w:tcBorders>
              <w:top w:val="nil"/>
              <w:left w:val="nil"/>
              <w:bottom w:val="nil"/>
              <w:right w:val="nil"/>
            </w:tcBorders>
            <w:shd w:val="clear" w:color="auto" w:fill="auto"/>
            <w:noWrap/>
            <w:vAlign w:val="center"/>
            <w:hideMark/>
          </w:tcPr>
          <w:p w14:paraId="292C618A"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0.9</w:t>
            </w:r>
          </w:p>
        </w:tc>
        <w:tc>
          <w:tcPr>
            <w:tcW w:w="992" w:type="dxa"/>
            <w:tcBorders>
              <w:top w:val="nil"/>
              <w:left w:val="nil"/>
              <w:bottom w:val="nil"/>
              <w:right w:val="nil"/>
            </w:tcBorders>
            <w:shd w:val="clear" w:color="auto" w:fill="auto"/>
            <w:noWrap/>
            <w:vAlign w:val="center"/>
            <w:hideMark/>
          </w:tcPr>
          <w:p w14:paraId="26A6C593"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0.8</w:t>
            </w:r>
          </w:p>
        </w:tc>
      </w:tr>
      <w:tr w:rsidR="00A877C5" w:rsidRPr="00602F84" w14:paraId="2DF57E70" w14:textId="77777777" w:rsidTr="00F57597">
        <w:trPr>
          <w:trHeight w:val="320"/>
          <w:jc w:val="center"/>
        </w:trPr>
        <w:tc>
          <w:tcPr>
            <w:tcW w:w="1985" w:type="dxa"/>
            <w:tcBorders>
              <w:top w:val="nil"/>
              <w:left w:val="nil"/>
              <w:bottom w:val="nil"/>
              <w:right w:val="nil"/>
            </w:tcBorders>
            <w:shd w:val="clear" w:color="auto" w:fill="auto"/>
            <w:noWrap/>
            <w:vAlign w:val="center"/>
            <w:hideMark/>
          </w:tcPr>
          <w:p w14:paraId="132B5882" w14:textId="77777777" w:rsidR="00A877C5" w:rsidRPr="00602F84" w:rsidRDefault="00A877C5" w:rsidP="00A877C5">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生产税比例</w:t>
            </w:r>
          </w:p>
        </w:tc>
        <w:tc>
          <w:tcPr>
            <w:tcW w:w="756" w:type="dxa"/>
            <w:tcBorders>
              <w:top w:val="nil"/>
              <w:left w:val="nil"/>
              <w:bottom w:val="single" w:sz="4" w:space="0" w:color="000000" w:themeColor="text1"/>
              <w:right w:val="nil"/>
            </w:tcBorders>
            <w:shd w:val="clear" w:color="auto" w:fill="auto"/>
            <w:noWrap/>
            <w:vAlign w:val="center"/>
            <w:hideMark/>
          </w:tcPr>
          <w:p w14:paraId="00EF1E17"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1.3</w:t>
            </w:r>
          </w:p>
        </w:tc>
        <w:tc>
          <w:tcPr>
            <w:tcW w:w="1134" w:type="dxa"/>
            <w:tcBorders>
              <w:top w:val="nil"/>
              <w:left w:val="nil"/>
              <w:bottom w:val="single" w:sz="4" w:space="0" w:color="000000" w:themeColor="text1"/>
              <w:right w:val="nil"/>
            </w:tcBorders>
            <w:shd w:val="clear" w:color="auto" w:fill="auto"/>
            <w:noWrap/>
            <w:vAlign w:val="center"/>
            <w:hideMark/>
          </w:tcPr>
          <w:p w14:paraId="706207EF"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1.5</w:t>
            </w:r>
          </w:p>
        </w:tc>
        <w:tc>
          <w:tcPr>
            <w:tcW w:w="1134" w:type="dxa"/>
            <w:tcBorders>
              <w:top w:val="nil"/>
              <w:left w:val="nil"/>
              <w:bottom w:val="single" w:sz="4" w:space="0" w:color="000000" w:themeColor="text1"/>
              <w:right w:val="nil"/>
            </w:tcBorders>
            <w:shd w:val="clear" w:color="auto" w:fill="auto"/>
            <w:noWrap/>
            <w:vAlign w:val="center"/>
            <w:hideMark/>
          </w:tcPr>
          <w:p w14:paraId="7BD742C6"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1.4</w:t>
            </w:r>
          </w:p>
        </w:tc>
        <w:tc>
          <w:tcPr>
            <w:tcW w:w="1134" w:type="dxa"/>
            <w:tcBorders>
              <w:top w:val="nil"/>
              <w:left w:val="nil"/>
              <w:bottom w:val="single" w:sz="4" w:space="0" w:color="000000" w:themeColor="text1"/>
              <w:right w:val="nil"/>
            </w:tcBorders>
            <w:shd w:val="clear" w:color="auto" w:fill="auto"/>
            <w:noWrap/>
            <w:vAlign w:val="center"/>
            <w:hideMark/>
          </w:tcPr>
          <w:p w14:paraId="0C29A157"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-2.5</w:t>
            </w:r>
          </w:p>
        </w:tc>
        <w:tc>
          <w:tcPr>
            <w:tcW w:w="992" w:type="dxa"/>
            <w:tcBorders>
              <w:top w:val="nil"/>
              <w:left w:val="nil"/>
              <w:bottom w:val="single" w:sz="4" w:space="0" w:color="000000" w:themeColor="text1"/>
              <w:right w:val="nil"/>
            </w:tcBorders>
            <w:shd w:val="clear" w:color="auto" w:fill="auto"/>
            <w:noWrap/>
            <w:vAlign w:val="center"/>
            <w:hideMark/>
          </w:tcPr>
          <w:p w14:paraId="341F4060"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w:t>
            </w:r>
          </w:p>
        </w:tc>
      </w:tr>
      <w:tr w:rsidR="00A877C5" w:rsidRPr="00602F84" w14:paraId="49786AA6" w14:textId="77777777" w:rsidTr="00F57597">
        <w:trPr>
          <w:trHeight w:val="320"/>
          <w:jc w:val="center"/>
        </w:trPr>
        <w:tc>
          <w:tcPr>
            <w:tcW w:w="1985" w:type="dxa"/>
            <w:tcBorders>
              <w:top w:val="nil"/>
              <w:left w:val="nil"/>
              <w:right w:val="single" w:sz="4" w:space="0" w:color="000000" w:themeColor="text1"/>
            </w:tcBorders>
            <w:shd w:val="clear" w:color="auto" w:fill="auto"/>
            <w:noWrap/>
            <w:vAlign w:val="center"/>
            <w:hideMark/>
          </w:tcPr>
          <w:p w14:paraId="3E00672E" w14:textId="77777777" w:rsidR="00A877C5" w:rsidRPr="00602F84" w:rsidRDefault="00A877C5" w:rsidP="00A877C5">
            <w:pPr>
              <w:rPr>
                <w:rFonts w:ascii="Times New Roman" w:hAnsi="Times New Roman" w:cs="Times New Roman"/>
                <w:color w:val="000000"/>
                <w:sz w:val="22"/>
                <w:szCs w:val="22"/>
              </w:rPr>
            </w:pPr>
            <w:r w:rsidRPr="00602F84">
              <w:rPr>
                <w:rFonts w:ascii="Times New Roman" w:hAnsi="Times New Roman" w:cs="Times New Roman"/>
                <w:color w:val="000000"/>
                <w:sz w:val="22"/>
                <w:szCs w:val="22"/>
              </w:rPr>
              <w:t xml:space="preserve">   </w:t>
            </w:r>
            <w:r w:rsidRPr="00602F84">
              <w:rPr>
                <w:rFonts w:ascii="Times New Roman" w:hAnsi="Times New Roman" w:cs="Times New Roman"/>
                <w:color w:val="000000"/>
                <w:sz w:val="22"/>
                <w:szCs w:val="22"/>
              </w:rPr>
              <w:t>盈余比例</w:t>
            </w:r>
          </w:p>
        </w:tc>
        <w:tc>
          <w:tcPr>
            <w:tcW w:w="756" w:type="dxa"/>
            <w:tcBorders>
              <w:top w:val="single" w:sz="4" w:space="0" w:color="000000" w:themeColor="text1"/>
              <w:left w:val="single" w:sz="4" w:space="0" w:color="000000" w:themeColor="text1"/>
              <w:bottom w:val="single" w:sz="4" w:space="0" w:color="000000" w:themeColor="text1"/>
              <w:right w:val="nil"/>
            </w:tcBorders>
            <w:shd w:val="clear" w:color="auto" w:fill="auto"/>
            <w:noWrap/>
            <w:vAlign w:val="center"/>
            <w:hideMark/>
          </w:tcPr>
          <w:p w14:paraId="3083170B"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10.8</w:t>
            </w:r>
          </w:p>
        </w:tc>
        <w:tc>
          <w:tcPr>
            <w:tcW w:w="1134" w:type="dxa"/>
            <w:tcBorders>
              <w:top w:val="single" w:sz="4" w:space="0" w:color="000000" w:themeColor="text1"/>
              <w:left w:val="nil"/>
              <w:bottom w:val="single" w:sz="4" w:space="0" w:color="000000" w:themeColor="text1"/>
              <w:right w:val="nil"/>
            </w:tcBorders>
            <w:shd w:val="clear" w:color="auto" w:fill="auto"/>
            <w:noWrap/>
            <w:vAlign w:val="center"/>
            <w:hideMark/>
          </w:tcPr>
          <w:p w14:paraId="3017D7D7"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10.9</w:t>
            </w:r>
          </w:p>
        </w:tc>
        <w:tc>
          <w:tcPr>
            <w:tcW w:w="1134" w:type="dxa"/>
            <w:tcBorders>
              <w:top w:val="single" w:sz="4" w:space="0" w:color="000000" w:themeColor="text1"/>
              <w:left w:val="nil"/>
              <w:bottom w:val="single" w:sz="4" w:space="0" w:color="000000" w:themeColor="text1"/>
              <w:right w:val="nil"/>
            </w:tcBorders>
            <w:shd w:val="clear" w:color="auto" w:fill="auto"/>
            <w:noWrap/>
            <w:vAlign w:val="center"/>
            <w:hideMark/>
          </w:tcPr>
          <w:p w14:paraId="1DC01A97"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11.5</w:t>
            </w:r>
          </w:p>
        </w:tc>
        <w:tc>
          <w:tcPr>
            <w:tcW w:w="1134" w:type="dxa"/>
            <w:tcBorders>
              <w:top w:val="single" w:sz="4" w:space="0" w:color="000000" w:themeColor="text1"/>
              <w:left w:val="nil"/>
              <w:bottom w:val="single" w:sz="4" w:space="0" w:color="000000" w:themeColor="text1"/>
              <w:right w:val="nil"/>
            </w:tcBorders>
            <w:shd w:val="clear" w:color="auto" w:fill="auto"/>
            <w:noWrap/>
            <w:vAlign w:val="center"/>
            <w:hideMark/>
          </w:tcPr>
          <w:p w14:paraId="6DC8D145"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13.2</w:t>
            </w:r>
          </w:p>
        </w:tc>
        <w:tc>
          <w:tcPr>
            <w:tcW w:w="992" w:type="dxa"/>
            <w:tcBorders>
              <w:top w:val="single" w:sz="4" w:space="0" w:color="000000" w:themeColor="text1"/>
              <w:left w:val="nil"/>
              <w:bottom w:val="single" w:sz="4" w:space="0" w:color="000000" w:themeColor="text1"/>
              <w:right w:val="single" w:sz="4" w:space="0" w:color="000000" w:themeColor="text1"/>
            </w:tcBorders>
            <w:shd w:val="clear" w:color="auto" w:fill="auto"/>
            <w:noWrap/>
            <w:vAlign w:val="center"/>
            <w:hideMark/>
          </w:tcPr>
          <w:p w14:paraId="4C1129AB"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11.7</w:t>
            </w:r>
          </w:p>
        </w:tc>
      </w:tr>
      <w:tr w:rsidR="00A877C5" w:rsidRPr="00602F84" w14:paraId="24AB4197" w14:textId="77777777" w:rsidTr="00F57597">
        <w:trPr>
          <w:trHeight w:val="320"/>
          <w:jc w:val="center"/>
        </w:trPr>
        <w:tc>
          <w:tcPr>
            <w:tcW w:w="1985" w:type="dxa"/>
            <w:tcBorders>
              <w:top w:val="nil"/>
              <w:left w:val="nil"/>
              <w:bottom w:val="single" w:sz="4" w:space="0" w:color="auto"/>
              <w:right w:val="nil"/>
            </w:tcBorders>
            <w:shd w:val="clear" w:color="auto" w:fill="auto"/>
            <w:noWrap/>
            <w:vAlign w:val="center"/>
            <w:hideMark/>
          </w:tcPr>
          <w:p w14:paraId="2BA040DE" w14:textId="432D1186" w:rsidR="00A877C5" w:rsidRPr="00602F84" w:rsidRDefault="00A877C5" w:rsidP="00A877C5">
            <w:pPr>
              <w:rPr>
                <w:rFonts w:ascii="Times New Roman" w:hAnsi="Times New Roman" w:cs="Times New Roman"/>
                <w:color w:val="000000"/>
                <w:sz w:val="22"/>
                <w:szCs w:val="22"/>
              </w:rPr>
            </w:pPr>
            <w:r w:rsidRPr="00602F84">
              <w:rPr>
                <w:rFonts w:ascii="Times New Roman" w:hAnsi="Times New Roman" w:cs="Times New Roman"/>
                <w:color w:val="000000"/>
                <w:sz w:val="22"/>
                <w:szCs w:val="22"/>
              </w:rPr>
              <w:t>表外支出比例</w:t>
            </w:r>
            <w:r w:rsidR="000F2BDB">
              <w:rPr>
                <w:rFonts w:ascii="Times New Roman" w:hAnsi="Times New Roman" w:cs="Times New Roman" w:hint="eastAsia"/>
                <w:color w:val="000000"/>
                <w:sz w:val="22"/>
                <w:szCs w:val="22"/>
              </w:rPr>
              <w:t>(%)</w:t>
            </w:r>
          </w:p>
        </w:tc>
        <w:tc>
          <w:tcPr>
            <w:tcW w:w="756" w:type="dxa"/>
            <w:tcBorders>
              <w:top w:val="single" w:sz="4" w:space="0" w:color="000000" w:themeColor="text1"/>
              <w:left w:val="nil"/>
              <w:bottom w:val="single" w:sz="4" w:space="0" w:color="auto"/>
              <w:right w:val="nil"/>
            </w:tcBorders>
            <w:shd w:val="clear" w:color="auto" w:fill="auto"/>
            <w:noWrap/>
            <w:vAlign w:val="center"/>
            <w:hideMark/>
          </w:tcPr>
          <w:p w14:paraId="3DE540F7"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34.7</w:t>
            </w:r>
          </w:p>
        </w:tc>
        <w:tc>
          <w:tcPr>
            <w:tcW w:w="1134" w:type="dxa"/>
            <w:tcBorders>
              <w:top w:val="single" w:sz="4" w:space="0" w:color="000000" w:themeColor="text1"/>
              <w:left w:val="nil"/>
              <w:bottom w:val="single" w:sz="4" w:space="0" w:color="auto"/>
              <w:right w:val="nil"/>
            </w:tcBorders>
            <w:shd w:val="clear" w:color="auto" w:fill="auto"/>
            <w:noWrap/>
            <w:vAlign w:val="center"/>
            <w:hideMark/>
          </w:tcPr>
          <w:p w14:paraId="1EFA260A"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34.6</w:t>
            </w:r>
          </w:p>
        </w:tc>
        <w:tc>
          <w:tcPr>
            <w:tcW w:w="1134" w:type="dxa"/>
            <w:tcBorders>
              <w:top w:val="single" w:sz="4" w:space="0" w:color="000000" w:themeColor="text1"/>
              <w:left w:val="nil"/>
              <w:bottom w:val="single" w:sz="4" w:space="0" w:color="auto"/>
              <w:right w:val="nil"/>
            </w:tcBorders>
            <w:shd w:val="clear" w:color="auto" w:fill="auto"/>
            <w:noWrap/>
            <w:vAlign w:val="center"/>
            <w:hideMark/>
          </w:tcPr>
          <w:p w14:paraId="7D920D18"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34.7</w:t>
            </w:r>
          </w:p>
        </w:tc>
        <w:tc>
          <w:tcPr>
            <w:tcW w:w="1134" w:type="dxa"/>
            <w:tcBorders>
              <w:top w:val="single" w:sz="4" w:space="0" w:color="000000" w:themeColor="text1"/>
              <w:left w:val="nil"/>
              <w:bottom w:val="single" w:sz="4" w:space="0" w:color="auto"/>
              <w:right w:val="nil"/>
            </w:tcBorders>
            <w:shd w:val="clear" w:color="auto" w:fill="auto"/>
            <w:noWrap/>
            <w:vAlign w:val="center"/>
            <w:hideMark/>
          </w:tcPr>
          <w:p w14:paraId="670D4C26"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31.4</w:t>
            </w:r>
          </w:p>
        </w:tc>
        <w:tc>
          <w:tcPr>
            <w:tcW w:w="992" w:type="dxa"/>
            <w:tcBorders>
              <w:top w:val="single" w:sz="4" w:space="0" w:color="000000" w:themeColor="text1"/>
              <w:left w:val="nil"/>
              <w:bottom w:val="single" w:sz="4" w:space="0" w:color="auto"/>
              <w:right w:val="nil"/>
            </w:tcBorders>
            <w:shd w:val="clear" w:color="auto" w:fill="auto"/>
            <w:noWrap/>
            <w:vAlign w:val="center"/>
            <w:hideMark/>
          </w:tcPr>
          <w:p w14:paraId="042F465E" w14:textId="77777777" w:rsidR="00A877C5" w:rsidRPr="00602F84" w:rsidRDefault="00A877C5" w:rsidP="00A877C5">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32.0</w:t>
            </w:r>
          </w:p>
        </w:tc>
      </w:tr>
    </w:tbl>
    <w:p w14:paraId="75AE475B" w14:textId="05810164" w:rsidR="00382649" w:rsidRPr="001E202E" w:rsidRDefault="00870DBF" w:rsidP="00A63A7C">
      <w:pPr>
        <w:rPr>
          <w:rFonts w:ascii="Times New Roman" w:hAnsi="Times New Roman" w:cs="Times New Roman"/>
          <w:sz w:val="21"/>
          <w:szCs w:val="21"/>
        </w:rPr>
      </w:pPr>
      <w:r w:rsidRPr="001E202E">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00A63A7C" w:rsidRPr="001E202E">
        <w:rPr>
          <w:rFonts w:ascii="Times New Roman" w:hAnsi="Times New Roman" w:cs="Times New Roman"/>
          <w:sz w:val="21"/>
          <w:szCs w:val="21"/>
        </w:rPr>
        <w:t>,</w:t>
      </w:r>
      <w:r w:rsidR="00A63A7C" w:rsidRPr="00F92858">
        <w:rPr>
          <w:rFonts w:ascii="Times New Roman" w:hAnsi="Times New Roman" w:cs="Times New Roman"/>
          <w:sz w:val="21"/>
          <w:szCs w:val="21"/>
        </w:rPr>
        <w:t xml:space="preserve"> </w:t>
      </w:r>
      <w:r w:rsidR="00A63A7C" w:rsidRPr="00BE517C">
        <w:rPr>
          <w:rFonts w:ascii="Times New Roman" w:hAnsi="Times New Roman" w:cs="Times New Roman"/>
          <w:iCs/>
          <w:sz w:val="21"/>
          <w:szCs w:val="21"/>
        </w:rPr>
        <w:t>"Table 2.4.5 Personal Consumption Expenditures by Type of Product", "Components of Value Added by Industry".</w:t>
      </w:r>
    </w:p>
    <w:p w14:paraId="5627FAD1" w14:textId="77777777" w:rsidR="00F92858" w:rsidRDefault="00F92858" w:rsidP="00E11058">
      <w:pPr>
        <w:spacing w:line="360" w:lineRule="auto"/>
        <w:ind w:firstLineChars="200" w:firstLine="480"/>
        <w:rPr>
          <w:rFonts w:ascii="Times New Roman" w:hAnsi="Times New Roman" w:cs="Times New Roman"/>
        </w:rPr>
      </w:pPr>
    </w:p>
    <w:p w14:paraId="4020D5B9" w14:textId="2EDBA348" w:rsidR="00550D7B" w:rsidRDefault="00F92858" w:rsidP="00E11058">
      <w:pPr>
        <w:spacing w:line="360" w:lineRule="auto"/>
        <w:ind w:firstLineChars="200" w:firstLine="480"/>
        <w:rPr>
          <w:rFonts w:ascii="Times New Roman" w:hAnsi="Times New Roman" w:cs="Times New Roman"/>
        </w:rPr>
      </w:pPr>
      <w:r>
        <w:rPr>
          <w:rFonts w:ascii="Times New Roman" w:hAnsi="Times New Roman" w:cs="Times New Roman" w:hint="eastAsia"/>
        </w:rPr>
        <w:t>医疗体系收支显示，医生收入和体系盈余呈现了明显的增长趋势，其他人头费、折旧和税款比例相对稳定（见表</w:t>
      </w:r>
      <w:r>
        <w:rPr>
          <w:rFonts w:ascii="Times New Roman" w:hAnsi="Times New Roman" w:cs="Times New Roman" w:hint="eastAsia"/>
        </w:rPr>
        <w:t>3</w:t>
      </w:r>
      <w:r>
        <w:rPr>
          <w:rFonts w:ascii="Times New Roman" w:hAnsi="Times New Roman" w:cs="Times New Roman" w:hint="eastAsia"/>
        </w:rPr>
        <w:t>）。从收支体系，我们可以看出支出规模的持续扩张，却无法辨析规模扩张的来源。结合美国劳工部发布的就业数据和行业工资（见图</w:t>
      </w:r>
      <w:r>
        <w:rPr>
          <w:rFonts w:ascii="Times New Roman" w:hAnsi="Times New Roman" w:cs="Times New Roman" w:hint="eastAsia"/>
        </w:rPr>
        <w:t>5</w:t>
      </w:r>
      <w:r>
        <w:rPr>
          <w:rFonts w:ascii="Times New Roman" w:hAnsi="Times New Roman" w:cs="Times New Roman" w:hint="eastAsia"/>
        </w:rPr>
        <w:t>），美国医疗行业的扩张路径清晰地展现在了我们面前，即就业的大规模扩张。二战后，医疗行业就业从</w:t>
      </w:r>
      <w:r>
        <w:rPr>
          <w:rFonts w:ascii="Times New Roman" w:hAnsi="Times New Roman" w:cs="Times New Roman" w:hint="eastAsia"/>
        </w:rPr>
        <w:t>66</w:t>
      </w:r>
      <w:r>
        <w:rPr>
          <w:rFonts w:ascii="Times New Roman" w:hAnsi="Times New Roman" w:cs="Times New Roman" w:hint="eastAsia"/>
        </w:rPr>
        <w:t>万人增长到了</w:t>
      </w:r>
      <w:r>
        <w:rPr>
          <w:rFonts w:ascii="Times New Roman" w:hAnsi="Times New Roman" w:cs="Times New Roman" w:hint="eastAsia"/>
        </w:rPr>
        <w:t>2022</w:t>
      </w:r>
      <w:r>
        <w:rPr>
          <w:rFonts w:ascii="Times New Roman" w:hAnsi="Times New Roman" w:cs="Times New Roman" w:hint="eastAsia"/>
        </w:rPr>
        <w:t>年的</w:t>
      </w:r>
      <w:r>
        <w:rPr>
          <w:rFonts w:ascii="Times New Roman" w:hAnsi="Times New Roman" w:cs="Times New Roman" w:hint="eastAsia"/>
        </w:rPr>
        <w:t>1890</w:t>
      </w:r>
      <w:r>
        <w:rPr>
          <w:rFonts w:ascii="Times New Roman" w:hAnsi="Times New Roman" w:cs="Times New Roman" w:hint="eastAsia"/>
        </w:rPr>
        <w:t>万人，而制造业就业从</w:t>
      </w:r>
      <w:r>
        <w:rPr>
          <w:rFonts w:ascii="Times New Roman" w:hAnsi="Times New Roman" w:cs="Times New Roman" w:hint="eastAsia"/>
        </w:rPr>
        <w:t>1518</w:t>
      </w:r>
      <w:r>
        <w:rPr>
          <w:rFonts w:ascii="Times New Roman" w:hAnsi="Times New Roman" w:cs="Times New Roman" w:hint="eastAsia"/>
        </w:rPr>
        <w:t>万人下降至</w:t>
      </w:r>
      <w:r>
        <w:rPr>
          <w:rFonts w:ascii="Times New Roman" w:hAnsi="Times New Roman" w:cs="Times New Roman" w:hint="eastAsia"/>
        </w:rPr>
        <w:t>1253</w:t>
      </w:r>
      <w:r>
        <w:rPr>
          <w:rFonts w:ascii="Times New Roman" w:hAnsi="Times New Roman" w:cs="Times New Roman" w:hint="eastAsia"/>
        </w:rPr>
        <w:t>万人，且这种趋势还在持续。从</w:t>
      </w:r>
      <w:r>
        <w:rPr>
          <w:rFonts w:ascii="Times New Roman" w:hAnsi="Times New Roman" w:cs="Times New Roman" w:hint="eastAsia"/>
        </w:rPr>
        <w:t>2007</w:t>
      </w:r>
      <w:r>
        <w:rPr>
          <w:rFonts w:ascii="Times New Roman" w:hAnsi="Times New Roman" w:cs="Times New Roman" w:hint="eastAsia"/>
        </w:rPr>
        <w:t>年开始，医疗行业取代制造业，成为美国第一大就业产业。从吸纳就业规模看，医疗体系已经成为美国经济的头号支柱产业。</w:t>
      </w:r>
    </w:p>
    <w:p w14:paraId="2E890945" w14:textId="258B3AD8" w:rsidR="00550D7B" w:rsidRPr="00C3146C" w:rsidRDefault="002323DF" w:rsidP="00550D7B">
      <w:pPr>
        <w:spacing w:line="360" w:lineRule="auto"/>
        <w:rPr>
          <w:rFonts w:ascii="Times New Roman" w:hAnsi="Times New Roman" w:cs="Times New Roman"/>
        </w:rPr>
      </w:pPr>
      <w:r w:rsidRPr="00C3146C">
        <w:rPr>
          <w:noProof/>
        </w:rPr>
        <w:drawing>
          <wp:inline distT="0" distB="0" distL="0" distR="0" wp14:anchorId="71578489" wp14:editId="65829DA9">
            <wp:extent cx="5060950" cy="2115466"/>
            <wp:effectExtent l="0" t="0" r="6350" b="18415"/>
            <wp:docPr id="1138578039" name="图表 1">
              <a:extLst xmlns:a="http://schemas.openxmlformats.org/drawingml/2006/main">
                <a:ext uri="{FF2B5EF4-FFF2-40B4-BE49-F238E27FC236}">
                  <a16:creationId xmlns:a16="http://schemas.microsoft.com/office/drawing/2014/main" id="{306D5AA8-1F1E-324F-85B8-1424FA74FA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356E30" w14:textId="0E416D3E" w:rsidR="00550D7B" w:rsidRPr="00C3146C" w:rsidRDefault="00550D7B" w:rsidP="00550D7B">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5 </w:t>
      </w:r>
      <w:r w:rsidRPr="00C3146C">
        <w:rPr>
          <w:rFonts w:ascii="Times New Roman" w:hAnsi="Times New Roman" w:cs="Times New Roman" w:hint="eastAsia"/>
        </w:rPr>
        <w:t>美国重要行业就业与薪资</w:t>
      </w:r>
      <w:r w:rsidR="00F92858">
        <w:rPr>
          <w:rFonts w:ascii="Times New Roman" w:hAnsi="Times New Roman" w:cs="Times New Roman" w:hint="eastAsia"/>
        </w:rPr>
        <w:t>状况</w:t>
      </w:r>
    </w:p>
    <w:p w14:paraId="4ED10446" w14:textId="60324162" w:rsidR="00550D7B" w:rsidRPr="001E202E" w:rsidRDefault="00550D7B" w:rsidP="00550D7B">
      <w:pPr>
        <w:rPr>
          <w:rFonts w:ascii="Times New Roman" w:hAnsi="Times New Roman" w:cs="Times New Roman"/>
          <w:i/>
          <w:iCs/>
          <w:sz w:val="21"/>
          <w:szCs w:val="21"/>
        </w:rPr>
      </w:pPr>
      <w:r w:rsidRPr="001E202E">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Pr="001E202E">
        <w:rPr>
          <w:rFonts w:ascii="Times New Roman" w:hAnsi="Times New Roman" w:cs="Times New Roman"/>
          <w:sz w:val="21"/>
          <w:szCs w:val="21"/>
        </w:rPr>
        <w:t xml:space="preserve">, </w:t>
      </w:r>
      <w:r w:rsidRPr="00BE517C">
        <w:rPr>
          <w:rFonts w:ascii="Times New Roman" w:hAnsi="Times New Roman" w:cs="Times New Roman"/>
          <w:iCs/>
          <w:sz w:val="21"/>
          <w:szCs w:val="21"/>
        </w:rPr>
        <w:t xml:space="preserve">"Table 6.3 Wages and Salaries by </w:t>
      </w:r>
      <w:proofErr w:type="spellStart"/>
      <w:r w:rsidRPr="00BE517C">
        <w:rPr>
          <w:rFonts w:ascii="Times New Roman" w:hAnsi="Times New Roman" w:cs="Times New Roman"/>
          <w:iCs/>
          <w:sz w:val="21"/>
          <w:szCs w:val="21"/>
        </w:rPr>
        <w:t>Industry""Table</w:t>
      </w:r>
      <w:proofErr w:type="spellEnd"/>
      <w:r w:rsidRPr="00BE517C">
        <w:rPr>
          <w:rFonts w:ascii="Times New Roman" w:hAnsi="Times New Roman" w:cs="Times New Roman"/>
          <w:iCs/>
          <w:sz w:val="21"/>
          <w:szCs w:val="21"/>
        </w:rPr>
        <w:t xml:space="preserve"> 6.5 Full-Time Equivalent Employees by Industry"</w:t>
      </w:r>
      <w:r w:rsidRPr="00F92858">
        <w:rPr>
          <w:rFonts w:ascii="Times New Roman" w:hAnsi="Times New Roman" w:cs="Times New Roman"/>
          <w:sz w:val="21"/>
          <w:szCs w:val="21"/>
        </w:rPr>
        <w:t>.</w:t>
      </w:r>
    </w:p>
    <w:p w14:paraId="72746CB4" w14:textId="77777777" w:rsidR="00F92858" w:rsidRDefault="00F92858" w:rsidP="00E11058">
      <w:pPr>
        <w:spacing w:line="360" w:lineRule="auto"/>
        <w:ind w:firstLineChars="200" w:firstLine="480"/>
        <w:rPr>
          <w:rFonts w:ascii="Times New Roman" w:hAnsi="Times New Roman" w:cs="Times New Roman"/>
        </w:rPr>
      </w:pPr>
    </w:p>
    <w:p w14:paraId="0774FFE1" w14:textId="59D41CE3" w:rsidR="00550D7B" w:rsidRPr="00550D7B" w:rsidRDefault="00F92858" w:rsidP="00E11058">
      <w:pPr>
        <w:spacing w:line="360" w:lineRule="auto"/>
        <w:ind w:firstLineChars="200" w:firstLine="480"/>
        <w:rPr>
          <w:rFonts w:ascii="Times New Roman" w:hAnsi="Times New Roman" w:cs="Times New Roman"/>
        </w:rPr>
      </w:pPr>
      <w:r w:rsidRPr="00C3146C">
        <w:rPr>
          <w:rFonts w:ascii="Times New Roman" w:hAnsi="Times New Roman" w:cs="Times New Roman" w:hint="eastAsia"/>
        </w:rPr>
        <w:t>美国医疗体系的扩张包括两个方面：就业的部门性扩张和医疗体系盈利水平的提升。</w:t>
      </w:r>
      <w:r>
        <w:rPr>
          <w:rFonts w:ascii="Times New Roman" w:hAnsi="Times New Roman" w:cs="Times New Roman" w:hint="eastAsia"/>
        </w:rPr>
        <w:t>在</w:t>
      </w:r>
      <w:r w:rsidRPr="00C3146C">
        <w:rPr>
          <w:rFonts w:ascii="Times New Roman" w:hAnsi="Times New Roman" w:cs="Times New Roman" w:hint="eastAsia"/>
        </w:rPr>
        <w:t>就业扩张方面，医疗体系是全口径扩张，目前每</w:t>
      </w:r>
      <w:r w:rsidRPr="00C3146C">
        <w:rPr>
          <w:rFonts w:ascii="Times New Roman" w:hAnsi="Times New Roman" w:cs="Times New Roman" w:hint="eastAsia"/>
        </w:rPr>
        <w:t>18</w:t>
      </w:r>
      <w:r w:rsidRPr="00C3146C">
        <w:rPr>
          <w:rFonts w:ascii="Times New Roman" w:hAnsi="Times New Roman" w:cs="Times New Roman" w:hint="eastAsia"/>
        </w:rPr>
        <w:t>名美国人配备一名医疗体系</w:t>
      </w:r>
      <w:r w:rsidRPr="000F2BDB">
        <w:rPr>
          <w:rFonts w:ascii="Times New Roman" w:hAnsi="Times New Roman" w:cs="Times New Roman" w:hint="eastAsia"/>
        </w:rPr>
        <w:t>就业人</w:t>
      </w:r>
      <w:r w:rsidR="000F2BDB" w:rsidRPr="000F2BDB">
        <w:rPr>
          <w:rFonts w:ascii="Times New Roman" w:hAnsi="Times New Roman" w:cs="Times New Roman" w:hint="eastAsia"/>
        </w:rPr>
        <w:t>员</w:t>
      </w:r>
      <w:r w:rsidRPr="000F2BDB">
        <w:rPr>
          <w:rFonts w:ascii="Times New Roman" w:hAnsi="Times New Roman" w:cs="Times New Roman" w:hint="eastAsia"/>
        </w:rPr>
        <w:t>，但</w:t>
      </w:r>
      <w:r w:rsidR="000F2BDB" w:rsidRPr="000F2BDB">
        <w:rPr>
          <w:rFonts w:ascii="Times New Roman" w:hAnsi="Times New Roman" w:cs="Times New Roman"/>
        </w:rPr>
        <w:t>美国医学院联合会</w:t>
      </w:r>
      <w:r w:rsidRPr="000F2BDB">
        <w:rPr>
          <w:rFonts w:ascii="Times New Roman" w:hAnsi="Times New Roman" w:cs="Times New Roman" w:hint="eastAsia"/>
        </w:rPr>
        <w:t>（</w:t>
      </w:r>
      <w:r w:rsidRPr="000F2BDB">
        <w:rPr>
          <w:rFonts w:ascii="Times New Roman" w:hAnsi="Times New Roman" w:cs="Times New Roman"/>
        </w:rPr>
        <w:t>AAMC</w:t>
      </w:r>
      <w:r w:rsidRPr="000F2BDB">
        <w:rPr>
          <w:rFonts w:ascii="Times New Roman" w:hAnsi="Times New Roman" w:cs="Times New Roman" w:hint="eastAsia"/>
        </w:rPr>
        <w:t>）报告数据显示美国医护仍有大量缺口，预估</w:t>
      </w:r>
      <w:r w:rsidRPr="000F2BDB">
        <w:rPr>
          <w:rFonts w:ascii="Times New Roman" w:hAnsi="Times New Roman" w:cs="Times New Roman" w:hint="eastAsia"/>
        </w:rPr>
        <w:t>2036</w:t>
      </w:r>
      <w:r w:rsidRPr="000F2BDB">
        <w:rPr>
          <w:rFonts w:ascii="Times New Roman" w:hAnsi="Times New Roman" w:cs="Times New Roman" w:hint="eastAsia"/>
        </w:rPr>
        <w:t>年初诊</w:t>
      </w:r>
      <w:r w:rsidRPr="00C3146C">
        <w:rPr>
          <w:rFonts w:ascii="Times New Roman" w:hAnsi="Times New Roman" w:cs="Times New Roman" w:hint="eastAsia"/>
        </w:rPr>
        <w:t>医生缺口</w:t>
      </w:r>
      <w:r w:rsidRPr="00C3146C">
        <w:rPr>
          <w:rFonts w:ascii="Times New Roman" w:hAnsi="Times New Roman" w:cs="Times New Roman" w:hint="eastAsia"/>
        </w:rPr>
        <w:t>2</w:t>
      </w:r>
      <w:r>
        <w:rPr>
          <w:rFonts w:ascii="Times New Roman" w:hAnsi="Times New Roman" w:cs="Times New Roman" w:hint="eastAsia"/>
        </w:rPr>
        <w:t>万—</w:t>
      </w:r>
      <w:r w:rsidRPr="00C3146C">
        <w:rPr>
          <w:rFonts w:ascii="Times New Roman" w:hAnsi="Times New Roman" w:cs="Times New Roman" w:hint="eastAsia"/>
        </w:rPr>
        <w:t>4</w:t>
      </w:r>
      <w:r w:rsidRPr="00C3146C">
        <w:rPr>
          <w:rFonts w:ascii="Times New Roman" w:hAnsi="Times New Roman" w:cs="Times New Roman" w:hint="eastAsia"/>
        </w:rPr>
        <w:t>万、手术医生缺口</w:t>
      </w:r>
      <w:r w:rsidRPr="00C3146C">
        <w:rPr>
          <w:rFonts w:ascii="Times New Roman" w:hAnsi="Times New Roman" w:cs="Times New Roman" w:hint="eastAsia"/>
        </w:rPr>
        <w:t>1</w:t>
      </w:r>
      <w:r w:rsidRPr="00C3146C">
        <w:rPr>
          <w:rFonts w:ascii="Times New Roman" w:hAnsi="Times New Roman" w:cs="Times New Roman" w:hint="eastAsia"/>
        </w:rPr>
        <w:t>万</w:t>
      </w:r>
      <w:r>
        <w:rPr>
          <w:rFonts w:ascii="Times New Roman" w:hAnsi="Times New Roman" w:cs="Times New Roman" w:hint="eastAsia"/>
        </w:rPr>
        <w:t>—</w:t>
      </w:r>
      <w:r w:rsidRPr="00C3146C">
        <w:rPr>
          <w:rFonts w:ascii="Times New Roman" w:hAnsi="Times New Roman" w:cs="Times New Roman" w:hint="eastAsia"/>
        </w:rPr>
        <w:t>1.99</w:t>
      </w:r>
      <w:r w:rsidRPr="00C3146C">
        <w:rPr>
          <w:rFonts w:ascii="Times New Roman" w:hAnsi="Times New Roman" w:cs="Times New Roman" w:hint="eastAsia"/>
        </w:rPr>
        <w:t>万</w:t>
      </w:r>
      <w:r>
        <w:rPr>
          <w:rFonts w:ascii="Times New Roman" w:hAnsi="Times New Roman" w:cs="Times New Roman" w:hint="eastAsia"/>
        </w:rPr>
        <w:t>，</w:t>
      </w:r>
      <w:r w:rsidRPr="00C3146C">
        <w:rPr>
          <w:rStyle w:val="a5"/>
          <w:rFonts w:ascii="Times New Roman" w:hAnsi="Times New Roman" w:cs="Times New Roman"/>
        </w:rPr>
        <w:footnoteReference w:id="18"/>
      </w:r>
      <w:r w:rsidRPr="00C3146C">
        <w:rPr>
          <w:rFonts w:ascii="Times New Roman" w:hAnsi="Times New Roman" w:cs="Times New Roman" w:hint="eastAsia"/>
        </w:rPr>
        <w:t>预估</w:t>
      </w:r>
      <w:r w:rsidRPr="00C3146C">
        <w:rPr>
          <w:rFonts w:ascii="Times New Roman" w:hAnsi="Times New Roman" w:cs="Times New Roman" w:hint="eastAsia"/>
        </w:rPr>
        <w:t>2030</w:t>
      </w:r>
      <w:r w:rsidRPr="00C3146C">
        <w:rPr>
          <w:rFonts w:ascii="Times New Roman" w:hAnsi="Times New Roman" w:cs="Times New Roman" w:hint="eastAsia"/>
        </w:rPr>
        <w:t>年注册护士缺口</w:t>
      </w:r>
      <w:r w:rsidRPr="00C3146C">
        <w:rPr>
          <w:rFonts w:ascii="Times New Roman" w:hAnsi="Times New Roman" w:cs="Times New Roman" w:hint="eastAsia"/>
        </w:rPr>
        <w:t>6.3</w:t>
      </w:r>
      <w:r w:rsidRPr="00C3146C">
        <w:rPr>
          <w:rFonts w:ascii="Times New Roman" w:hAnsi="Times New Roman" w:cs="Times New Roman" w:hint="eastAsia"/>
        </w:rPr>
        <w:t>万。我们不能否认老龄化人口与人均预期寿命增长带来的医疗体系必要扩张，但美国医疗体系扩张的程度远超其他国家，或与美国松散的医疗体系和医疗体系私有化进程</w:t>
      </w:r>
      <w:r>
        <w:rPr>
          <w:rFonts w:ascii="Times New Roman" w:hAnsi="Times New Roman" w:cs="Times New Roman" w:hint="eastAsia"/>
        </w:rPr>
        <w:t>（见表</w:t>
      </w:r>
      <w:r>
        <w:rPr>
          <w:rFonts w:ascii="Times New Roman" w:hAnsi="Times New Roman" w:cs="Times New Roman" w:hint="eastAsia"/>
        </w:rPr>
        <w:t>4</w:t>
      </w:r>
      <w:r>
        <w:rPr>
          <w:rFonts w:ascii="Times New Roman" w:hAnsi="Times New Roman" w:cs="Times New Roman" w:hint="eastAsia"/>
        </w:rPr>
        <w:t>）</w:t>
      </w:r>
      <w:r w:rsidRPr="00C3146C">
        <w:rPr>
          <w:rFonts w:ascii="Times New Roman" w:hAnsi="Times New Roman" w:cs="Times New Roman" w:hint="eastAsia"/>
        </w:rPr>
        <w:t>高度相关。据</w:t>
      </w:r>
      <w:r w:rsidRPr="00C3146C">
        <w:rPr>
          <w:rFonts w:ascii="Times New Roman" w:hAnsi="Times New Roman" w:cs="Times New Roman" w:hint="eastAsia"/>
        </w:rPr>
        <w:t>AAMC</w:t>
      </w:r>
      <w:r w:rsidRPr="00C3146C">
        <w:rPr>
          <w:rFonts w:ascii="Times New Roman" w:hAnsi="Times New Roman" w:cs="Times New Roman" w:hint="eastAsia"/>
        </w:rPr>
        <w:t>对</w:t>
      </w:r>
      <w:r w:rsidR="000F2BDB">
        <w:rPr>
          <w:rFonts w:ascii="Times New Roman" w:hAnsi="Times New Roman" w:cs="Times New Roman" w:hint="eastAsia"/>
        </w:rPr>
        <w:t>私人诊所注册医生</w:t>
      </w:r>
      <w:r w:rsidRPr="000F2BDB">
        <w:rPr>
          <w:rFonts w:ascii="Times New Roman" w:hAnsi="Times New Roman" w:cs="Times New Roman" w:hint="eastAsia"/>
        </w:rPr>
        <w:t>（</w:t>
      </w:r>
      <w:r w:rsidRPr="000F2BDB">
        <w:rPr>
          <w:rFonts w:ascii="Times New Roman" w:hAnsi="Times New Roman" w:cs="Times New Roman"/>
        </w:rPr>
        <w:t>off-based practice</w:t>
      </w:r>
      <w:r w:rsidRPr="000F2BDB">
        <w:rPr>
          <w:rFonts w:ascii="Times New Roman" w:hAnsi="Times New Roman" w:cs="Times New Roman" w:hint="eastAsia"/>
        </w:rPr>
        <w:t>）</w:t>
      </w:r>
      <w:r w:rsidRPr="00C3146C">
        <w:rPr>
          <w:rFonts w:ascii="Times New Roman" w:hAnsi="Times New Roman" w:cs="Times New Roman" w:hint="eastAsia"/>
        </w:rPr>
        <w:t>医生的调查，</w:t>
      </w:r>
      <w:r w:rsidRPr="00C3146C">
        <w:rPr>
          <w:rFonts w:ascii="Times New Roman" w:hAnsi="Times New Roman" w:cs="Times New Roman" w:hint="eastAsia"/>
        </w:rPr>
        <w:t>70%</w:t>
      </w:r>
      <w:r w:rsidRPr="00C3146C">
        <w:rPr>
          <w:rFonts w:ascii="Times New Roman" w:hAnsi="Times New Roman" w:cs="Times New Roman" w:hint="eastAsia"/>
        </w:rPr>
        <w:t>以上的医生</w:t>
      </w:r>
      <w:r w:rsidRPr="00C3146C">
        <w:rPr>
          <w:rFonts w:ascii="Times New Roman" w:hAnsi="Times New Roman" w:cs="Times New Roman" w:hint="eastAsia"/>
        </w:rPr>
        <w:lastRenderedPageBreak/>
        <w:t>不接受周末与夜间出诊、</w:t>
      </w:r>
      <w:r w:rsidRPr="00C3146C">
        <w:rPr>
          <w:rFonts w:ascii="Times New Roman" w:hAnsi="Times New Roman" w:cs="Times New Roman" w:hint="eastAsia"/>
        </w:rPr>
        <w:t>35.9%</w:t>
      </w:r>
      <w:r w:rsidRPr="00C3146C">
        <w:rPr>
          <w:rFonts w:ascii="Times New Roman" w:hAnsi="Times New Roman" w:cs="Times New Roman" w:hint="eastAsia"/>
        </w:rPr>
        <w:t>的医生周服务时间低于</w:t>
      </w:r>
      <w:r w:rsidRPr="00C3146C">
        <w:rPr>
          <w:rFonts w:ascii="Times New Roman" w:hAnsi="Times New Roman" w:cs="Times New Roman" w:hint="eastAsia"/>
        </w:rPr>
        <w:t>31</w:t>
      </w:r>
      <w:r w:rsidRPr="00C3146C">
        <w:rPr>
          <w:rFonts w:ascii="Times New Roman" w:hAnsi="Times New Roman" w:cs="Times New Roman" w:hint="eastAsia"/>
        </w:rPr>
        <w:t>小时。与此同时，推进私有化改革的医院为降本增效，减少了</w:t>
      </w:r>
      <w:r w:rsidRPr="00C3146C">
        <w:rPr>
          <w:rFonts w:ascii="Times New Roman" w:hAnsi="Times New Roman" w:cs="Times New Roman" w:hint="eastAsia"/>
        </w:rPr>
        <w:t>Medicaid</w:t>
      </w:r>
      <w:r w:rsidRPr="00C3146C">
        <w:rPr>
          <w:rFonts w:ascii="Times New Roman" w:hAnsi="Times New Roman" w:cs="Times New Roman" w:hint="eastAsia"/>
        </w:rPr>
        <w:t>病人的接待量、增加了私人医保病人的接待量</w:t>
      </w:r>
      <w:r>
        <w:rPr>
          <w:rFonts w:ascii="Times New Roman" w:hAnsi="Times New Roman" w:cs="Times New Roman" w:hint="eastAsia"/>
        </w:rPr>
        <w:t>，</w:t>
      </w:r>
      <w:r w:rsidRPr="00C3146C">
        <w:rPr>
          <w:rStyle w:val="a5"/>
          <w:rFonts w:ascii="Times New Roman" w:hAnsi="Times New Roman" w:cs="Times New Roman"/>
        </w:rPr>
        <w:footnoteReference w:id="19"/>
      </w:r>
      <w:r w:rsidRPr="00C3146C">
        <w:rPr>
          <w:rFonts w:ascii="Times New Roman" w:hAnsi="Times New Roman" w:cs="Times New Roman" w:hint="eastAsia"/>
        </w:rPr>
        <w:t>由此提升总体服务价格，医院盈利水平显著提升（</w:t>
      </w:r>
      <w:r>
        <w:rPr>
          <w:rFonts w:ascii="Times New Roman" w:hAnsi="Times New Roman" w:cs="Times New Roman" w:hint="eastAsia"/>
        </w:rPr>
        <w:t>见</w:t>
      </w:r>
      <w:r w:rsidRPr="00C3146C">
        <w:rPr>
          <w:rFonts w:ascii="Times New Roman" w:hAnsi="Times New Roman" w:cs="Times New Roman" w:hint="eastAsia"/>
        </w:rPr>
        <w:t>表</w:t>
      </w:r>
      <w:r w:rsidRPr="00C3146C">
        <w:rPr>
          <w:rFonts w:ascii="Times New Roman" w:hAnsi="Times New Roman" w:cs="Times New Roman" w:hint="eastAsia"/>
        </w:rPr>
        <w:t>5</w:t>
      </w:r>
      <w:r w:rsidRPr="00C3146C">
        <w:rPr>
          <w:rFonts w:ascii="Times New Roman" w:hAnsi="Times New Roman" w:cs="Times New Roman" w:hint="eastAsia"/>
        </w:rPr>
        <w:t>）。由</w:t>
      </w:r>
      <w:r w:rsidRPr="00C3146C">
        <w:rPr>
          <w:rFonts w:ascii="Times New Roman" w:hAnsi="Times New Roman" w:cs="Times New Roman" w:hint="eastAsia"/>
        </w:rPr>
        <w:t>Medicaid</w:t>
      </w:r>
      <w:r w:rsidRPr="00C3146C">
        <w:rPr>
          <w:rFonts w:ascii="Times New Roman" w:hAnsi="Times New Roman" w:cs="Times New Roman" w:hint="eastAsia"/>
        </w:rPr>
        <w:t>支付部分费用的低收入群体病人被分流到非营利的社区养老机构，推动非营利性社区养老机构快速扩张，</w:t>
      </w:r>
      <w:r w:rsidRPr="00C3146C">
        <w:rPr>
          <w:rFonts w:ascii="Times New Roman" w:hAnsi="Times New Roman" w:cs="Times New Roman" w:hint="eastAsia"/>
        </w:rPr>
        <w:t>2023</w:t>
      </w:r>
      <w:r w:rsidRPr="00C3146C">
        <w:rPr>
          <w:rFonts w:ascii="Times New Roman" w:hAnsi="Times New Roman" w:cs="Times New Roman" w:hint="eastAsia"/>
        </w:rPr>
        <w:t>年</w:t>
      </w:r>
      <w:r>
        <w:rPr>
          <w:rFonts w:ascii="Times New Roman" w:hAnsi="Times New Roman" w:cs="Times New Roman" w:hint="eastAsia"/>
        </w:rPr>
        <w:t>，</w:t>
      </w:r>
      <w:r w:rsidRPr="00C3146C">
        <w:rPr>
          <w:rFonts w:ascii="Times New Roman" w:hAnsi="Times New Roman" w:cs="Times New Roman" w:hint="eastAsia"/>
        </w:rPr>
        <w:t>在社区非营利养老机构供职的护理人员高达</w:t>
      </w:r>
      <w:r w:rsidRPr="00C3146C">
        <w:rPr>
          <w:rFonts w:ascii="Times New Roman" w:hAnsi="Times New Roman" w:cs="Times New Roman" w:hint="eastAsia"/>
        </w:rPr>
        <w:t>700</w:t>
      </w:r>
      <w:r w:rsidRPr="00C3146C">
        <w:rPr>
          <w:rFonts w:ascii="Times New Roman" w:hAnsi="Times New Roman" w:cs="Times New Roman" w:hint="eastAsia"/>
        </w:rPr>
        <w:t>万人。</w:t>
      </w:r>
    </w:p>
    <w:p w14:paraId="3DCEDC3B" w14:textId="77777777" w:rsidR="00F92858" w:rsidRDefault="00B20A4B" w:rsidP="00B20A4B">
      <w:pPr>
        <w:spacing w:line="360" w:lineRule="auto"/>
        <w:jc w:val="center"/>
        <w:rPr>
          <w:rFonts w:ascii="Times New Roman" w:hAnsi="Times New Roman" w:cs="Times New Roman"/>
        </w:rPr>
      </w:pPr>
      <w:r w:rsidRPr="00C3146C">
        <w:rPr>
          <w:rFonts w:ascii="Times New Roman" w:hAnsi="Times New Roman" w:cs="Times New Roman" w:hint="eastAsia"/>
        </w:rPr>
        <w:t>表</w:t>
      </w:r>
      <w:r w:rsidRPr="00C3146C">
        <w:rPr>
          <w:rFonts w:ascii="Times New Roman" w:hAnsi="Times New Roman" w:cs="Times New Roman" w:hint="eastAsia"/>
        </w:rPr>
        <w:t xml:space="preserve">4 </w:t>
      </w:r>
      <w:r w:rsidRPr="00C3146C">
        <w:rPr>
          <w:rFonts w:ascii="Times New Roman" w:hAnsi="Times New Roman" w:cs="Times New Roman" w:hint="eastAsia"/>
        </w:rPr>
        <w:t>美国医院定性情况</w:t>
      </w:r>
    </w:p>
    <w:p w14:paraId="21F42E12" w14:textId="0AC59F0D" w:rsidR="00B20A4B" w:rsidRPr="00C3146C" w:rsidRDefault="00F92858" w:rsidP="00B20A4B">
      <w:pPr>
        <w:spacing w:line="360" w:lineRule="auto"/>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00D640D3" w:rsidRPr="00C3146C">
        <w:rPr>
          <w:rFonts w:ascii="Times New Roman" w:hAnsi="Times New Roman" w:cs="Times New Roman" w:hint="eastAsia"/>
        </w:rPr>
        <w:t>（单位：家）</w:t>
      </w:r>
    </w:p>
    <w:tbl>
      <w:tblPr>
        <w:tblW w:w="8306" w:type="dxa"/>
        <w:tblLook w:val="04A0" w:firstRow="1" w:lastRow="0" w:firstColumn="1" w:lastColumn="0" w:noHBand="0" w:noVBand="1"/>
      </w:tblPr>
      <w:tblGrid>
        <w:gridCol w:w="2260"/>
        <w:gridCol w:w="1210"/>
        <w:gridCol w:w="1209"/>
        <w:gridCol w:w="1209"/>
        <w:gridCol w:w="1209"/>
        <w:gridCol w:w="1209"/>
      </w:tblGrid>
      <w:tr w:rsidR="00B20A4B" w:rsidRPr="00602F84" w14:paraId="3E59FE05" w14:textId="77777777" w:rsidTr="00B20A4B">
        <w:trPr>
          <w:trHeight w:val="320"/>
        </w:trPr>
        <w:tc>
          <w:tcPr>
            <w:tcW w:w="2260" w:type="dxa"/>
            <w:tcBorders>
              <w:top w:val="single" w:sz="4" w:space="0" w:color="auto"/>
              <w:left w:val="nil"/>
              <w:bottom w:val="double" w:sz="4" w:space="0" w:color="auto"/>
              <w:right w:val="nil"/>
            </w:tcBorders>
            <w:shd w:val="clear" w:color="auto" w:fill="auto"/>
            <w:noWrap/>
            <w:vAlign w:val="center"/>
            <w:hideMark/>
          </w:tcPr>
          <w:p w14:paraId="2746C080" w14:textId="77777777" w:rsidR="00B20A4B" w:rsidRPr="00602F84" w:rsidRDefault="00B20A4B">
            <w:pPr>
              <w:rPr>
                <w:rFonts w:ascii="Times New Roman" w:hAnsi="Times New Roman" w:cs="Times New Roman"/>
                <w:sz w:val="22"/>
                <w:szCs w:val="22"/>
              </w:rPr>
            </w:pPr>
          </w:p>
        </w:tc>
        <w:tc>
          <w:tcPr>
            <w:tcW w:w="1210" w:type="dxa"/>
            <w:tcBorders>
              <w:top w:val="single" w:sz="4" w:space="0" w:color="auto"/>
              <w:left w:val="nil"/>
              <w:bottom w:val="double" w:sz="4" w:space="0" w:color="auto"/>
              <w:right w:val="nil"/>
            </w:tcBorders>
            <w:shd w:val="clear" w:color="auto" w:fill="auto"/>
            <w:noWrap/>
            <w:vAlign w:val="center"/>
            <w:hideMark/>
          </w:tcPr>
          <w:p w14:paraId="6053B0BC"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1980</w:t>
            </w:r>
          </w:p>
        </w:tc>
        <w:tc>
          <w:tcPr>
            <w:tcW w:w="1209" w:type="dxa"/>
            <w:tcBorders>
              <w:top w:val="single" w:sz="4" w:space="0" w:color="auto"/>
              <w:left w:val="nil"/>
              <w:bottom w:val="double" w:sz="4" w:space="0" w:color="auto"/>
              <w:right w:val="nil"/>
            </w:tcBorders>
            <w:shd w:val="clear" w:color="auto" w:fill="auto"/>
            <w:noWrap/>
            <w:vAlign w:val="center"/>
            <w:hideMark/>
          </w:tcPr>
          <w:p w14:paraId="05B00C05"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1990</w:t>
            </w:r>
          </w:p>
        </w:tc>
        <w:tc>
          <w:tcPr>
            <w:tcW w:w="1209" w:type="dxa"/>
            <w:tcBorders>
              <w:top w:val="single" w:sz="4" w:space="0" w:color="auto"/>
              <w:left w:val="nil"/>
              <w:bottom w:val="double" w:sz="4" w:space="0" w:color="auto"/>
              <w:right w:val="nil"/>
            </w:tcBorders>
            <w:shd w:val="clear" w:color="auto" w:fill="auto"/>
            <w:noWrap/>
            <w:vAlign w:val="center"/>
            <w:hideMark/>
          </w:tcPr>
          <w:p w14:paraId="4DC9C89F"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2000</w:t>
            </w:r>
          </w:p>
        </w:tc>
        <w:tc>
          <w:tcPr>
            <w:tcW w:w="1209" w:type="dxa"/>
            <w:tcBorders>
              <w:top w:val="single" w:sz="4" w:space="0" w:color="auto"/>
              <w:left w:val="nil"/>
              <w:bottom w:val="double" w:sz="4" w:space="0" w:color="auto"/>
              <w:right w:val="nil"/>
            </w:tcBorders>
            <w:shd w:val="clear" w:color="auto" w:fill="auto"/>
            <w:noWrap/>
            <w:vAlign w:val="center"/>
            <w:hideMark/>
          </w:tcPr>
          <w:p w14:paraId="51226D6D"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2010</w:t>
            </w:r>
          </w:p>
        </w:tc>
        <w:tc>
          <w:tcPr>
            <w:tcW w:w="1209" w:type="dxa"/>
            <w:tcBorders>
              <w:top w:val="single" w:sz="4" w:space="0" w:color="auto"/>
              <w:left w:val="nil"/>
              <w:bottom w:val="double" w:sz="4" w:space="0" w:color="auto"/>
              <w:right w:val="nil"/>
            </w:tcBorders>
            <w:shd w:val="clear" w:color="auto" w:fill="auto"/>
            <w:noWrap/>
            <w:vAlign w:val="center"/>
            <w:hideMark/>
          </w:tcPr>
          <w:p w14:paraId="30CCDD7E"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2019</w:t>
            </w:r>
          </w:p>
        </w:tc>
      </w:tr>
      <w:tr w:rsidR="00B20A4B" w:rsidRPr="00602F84" w14:paraId="64DB900D" w14:textId="77777777" w:rsidTr="00B20A4B">
        <w:trPr>
          <w:trHeight w:val="320"/>
        </w:trPr>
        <w:tc>
          <w:tcPr>
            <w:tcW w:w="2260" w:type="dxa"/>
            <w:tcBorders>
              <w:top w:val="double" w:sz="4" w:space="0" w:color="auto"/>
              <w:left w:val="nil"/>
              <w:bottom w:val="nil"/>
              <w:right w:val="nil"/>
            </w:tcBorders>
            <w:shd w:val="clear" w:color="auto" w:fill="auto"/>
            <w:noWrap/>
            <w:vAlign w:val="center"/>
            <w:hideMark/>
          </w:tcPr>
          <w:p w14:paraId="1D72D817" w14:textId="77777777" w:rsidR="00B20A4B" w:rsidRPr="00602F84" w:rsidRDefault="00B20A4B">
            <w:pPr>
              <w:rPr>
                <w:rFonts w:ascii="Times New Roman" w:hAnsi="Times New Roman" w:cs="Times New Roman"/>
                <w:color w:val="000000"/>
                <w:sz w:val="22"/>
                <w:szCs w:val="22"/>
              </w:rPr>
            </w:pPr>
            <w:r w:rsidRPr="00602F84">
              <w:rPr>
                <w:rFonts w:ascii="Times New Roman" w:hAnsi="Times New Roman" w:cs="Times New Roman"/>
                <w:color w:val="000000"/>
                <w:sz w:val="22"/>
                <w:szCs w:val="22"/>
              </w:rPr>
              <w:t>联邦资助医院</w:t>
            </w:r>
          </w:p>
        </w:tc>
        <w:tc>
          <w:tcPr>
            <w:tcW w:w="1210" w:type="dxa"/>
            <w:tcBorders>
              <w:top w:val="double" w:sz="4" w:space="0" w:color="auto"/>
              <w:left w:val="nil"/>
              <w:bottom w:val="nil"/>
              <w:right w:val="nil"/>
            </w:tcBorders>
            <w:shd w:val="clear" w:color="auto" w:fill="auto"/>
            <w:noWrap/>
            <w:vAlign w:val="center"/>
            <w:hideMark/>
          </w:tcPr>
          <w:p w14:paraId="59D8AEC4"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2044</w:t>
            </w:r>
          </w:p>
        </w:tc>
        <w:tc>
          <w:tcPr>
            <w:tcW w:w="1209" w:type="dxa"/>
            <w:tcBorders>
              <w:top w:val="double" w:sz="4" w:space="0" w:color="auto"/>
              <w:left w:val="nil"/>
              <w:bottom w:val="nil"/>
              <w:right w:val="nil"/>
            </w:tcBorders>
            <w:shd w:val="clear" w:color="auto" w:fill="auto"/>
            <w:noWrap/>
            <w:vAlign w:val="center"/>
            <w:hideMark/>
          </w:tcPr>
          <w:p w14:paraId="68B568D2"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1759</w:t>
            </w:r>
          </w:p>
        </w:tc>
        <w:tc>
          <w:tcPr>
            <w:tcW w:w="1209" w:type="dxa"/>
            <w:tcBorders>
              <w:top w:val="double" w:sz="4" w:space="0" w:color="auto"/>
              <w:left w:val="nil"/>
              <w:bottom w:val="nil"/>
              <w:right w:val="nil"/>
            </w:tcBorders>
            <w:shd w:val="clear" w:color="auto" w:fill="auto"/>
            <w:noWrap/>
            <w:vAlign w:val="center"/>
            <w:hideMark/>
          </w:tcPr>
          <w:p w14:paraId="12833568"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1034</w:t>
            </w:r>
          </w:p>
        </w:tc>
        <w:tc>
          <w:tcPr>
            <w:tcW w:w="1209" w:type="dxa"/>
            <w:tcBorders>
              <w:top w:val="double" w:sz="4" w:space="0" w:color="auto"/>
              <w:left w:val="nil"/>
              <w:bottom w:val="nil"/>
              <w:right w:val="nil"/>
            </w:tcBorders>
            <w:shd w:val="clear" w:color="auto" w:fill="auto"/>
            <w:noWrap/>
            <w:vAlign w:val="center"/>
            <w:hideMark/>
          </w:tcPr>
          <w:p w14:paraId="4EA48696"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911</w:t>
            </w:r>
          </w:p>
        </w:tc>
        <w:tc>
          <w:tcPr>
            <w:tcW w:w="1209" w:type="dxa"/>
            <w:tcBorders>
              <w:top w:val="double" w:sz="4" w:space="0" w:color="auto"/>
              <w:left w:val="nil"/>
              <w:bottom w:val="nil"/>
              <w:right w:val="nil"/>
            </w:tcBorders>
            <w:shd w:val="clear" w:color="auto" w:fill="auto"/>
            <w:noWrap/>
            <w:vAlign w:val="center"/>
            <w:hideMark/>
          </w:tcPr>
          <w:p w14:paraId="18CBFDFD"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848</w:t>
            </w:r>
          </w:p>
        </w:tc>
      </w:tr>
      <w:tr w:rsidR="00B20A4B" w:rsidRPr="00602F84" w14:paraId="3DD0E39C" w14:textId="77777777" w:rsidTr="00B20A4B">
        <w:trPr>
          <w:trHeight w:val="320"/>
        </w:trPr>
        <w:tc>
          <w:tcPr>
            <w:tcW w:w="2260" w:type="dxa"/>
            <w:tcBorders>
              <w:top w:val="nil"/>
              <w:left w:val="nil"/>
              <w:bottom w:val="nil"/>
              <w:right w:val="nil"/>
            </w:tcBorders>
            <w:shd w:val="clear" w:color="auto" w:fill="auto"/>
            <w:noWrap/>
            <w:vAlign w:val="center"/>
            <w:hideMark/>
          </w:tcPr>
          <w:p w14:paraId="563224F4" w14:textId="334AB420" w:rsidR="00B20A4B" w:rsidRPr="00602F84" w:rsidRDefault="00B20A4B">
            <w:pPr>
              <w:rPr>
                <w:rFonts w:ascii="Times New Roman" w:hAnsi="Times New Roman" w:cs="Times New Roman"/>
                <w:color w:val="000000"/>
                <w:sz w:val="22"/>
                <w:szCs w:val="22"/>
              </w:rPr>
            </w:pPr>
            <w:r w:rsidRPr="00602F84">
              <w:rPr>
                <w:rFonts w:ascii="Times New Roman" w:hAnsi="Times New Roman" w:cs="Times New Roman"/>
                <w:color w:val="000000"/>
                <w:sz w:val="22"/>
                <w:szCs w:val="22"/>
              </w:rPr>
              <w:t>州</w:t>
            </w:r>
            <w:r w:rsidR="0059025D">
              <w:rPr>
                <w:rFonts w:ascii="Times New Roman" w:hAnsi="Times New Roman" w:cs="Times New Roman" w:hint="eastAsia"/>
                <w:color w:val="000000"/>
                <w:sz w:val="22"/>
                <w:szCs w:val="22"/>
              </w:rPr>
              <w:t>/</w:t>
            </w:r>
            <w:r w:rsidRPr="00602F84">
              <w:rPr>
                <w:rFonts w:ascii="Times New Roman" w:hAnsi="Times New Roman" w:cs="Times New Roman"/>
                <w:color w:val="000000"/>
                <w:sz w:val="22"/>
                <w:szCs w:val="22"/>
              </w:rPr>
              <w:t>地方政府资助医院</w:t>
            </w:r>
          </w:p>
        </w:tc>
        <w:tc>
          <w:tcPr>
            <w:tcW w:w="1210" w:type="dxa"/>
            <w:tcBorders>
              <w:top w:val="nil"/>
              <w:left w:val="nil"/>
              <w:bottom w:val="nil"/>
              <w:right w:val="nil"/>
            </w:tcBorders>
            <w:shd w:val="clear" w:color="auto" w:fill="auto"/>
            <w:noWrap/>
            <w:vAlign w:val="center"/>
            <w:hideMark/>
          </w:tcPr>
          <w:p w14:paraId="5CC08380"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7413</w:t>
            </w:r>
          </w:p>
        </w:tc>
        <w:tc>
          <w:tcPr>
            <w:tcW w:w="1209" w:type="dxa"/>
            <w:tcBorders>
              <w:top w:val="nil"/>
              <w:left w:val="nil"/>
              <w:bottom w:val="nil"/>
              <w:right w:val="nil"/>
            </w:tcBorders>
            <w:shd w:val="clear" w:color="auto" w:fill="auto"/>
            <w:noWrap/>
            <w:vAlign w:val="center"/>
            <w:hideMark/>
          </w:tcPr>
          <w:p w14:paraId="60819DB0"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5236</w:t>
            </w:r>
          </w:p>
        </w:tc>
        <w:tc>
          <w:tcPr>
            <w:tcW w:w="1209" w:type="dxa"/>
            <w:tcBorders>
              <w:top w:val="nil"/>
              <w:left w:val="nil"/>
              <w:bottom w:val="nil"/>
              <w:right w:val="nil"/>
            </w:tcBorders>
            <w:shd w:val="clear" w:color="auto" w:fill="auto"/>
            <w:noWrap/>
            <w:vAlign w:val="center"/>
            <w:hideMark/>
          </w:tcPr>
          <w:p w14:paraId="678B611F"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4496</w:t>
            </w:r>
          </w:p>
        </w:tc>
        <w:tc>
          <w:tcPr>
            <w:tcW w:w="1209" w:type="dxa"/>
            <w:tcBorders>
              <w:top w:val="nil"/>
              <w:left w:val="nil"/>
              <w:bottom w:val="nil"/>
              <w:right w:val="nil"/>
            </w:tcBorders>
            <w:shd w:val="clear" w:color="auto" w:fill="auto"/>
            <w:noWrap/>
            <w:vAlign w:val="center"/>
            <w:hideMark/>
          </w:tcPr>
          <w:p w14:paraId="6919C996"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4693</w:t>
            </w:r>
          </w:p>
        </w:tc>
        <w:tc>
          <w:tcPr>
            <w:tcW w:w="1209" w:type="dxa"/>
            <w:tcBorders>
              <w:top w:val="nil"/>
              <w:left w:val="nil"/>
              <w:bottom w:val="nil"/>
              <w:right w:val="nil"/>
            </w:tcBorders>
            <w:shd w:val="clear" w:color="auto" w:fill="auto"/>
            <w:noWrap/>
            <w:vAlign w:val="center"/>
            <w:hideMark/>
          </w:tcPr>
          <w:p w14:paraId="1D576BD7"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4041</w:t>
            </w:r>
          </w:p>
        </w:tc>
      </w:tr>
      <w:tr w:rsidR="00B20A4B" w:rsidRPr="00602F84" w14:paraId="5ECECCD6" w14:textId="77777777" w:rsidTr="00B20A4B">
        <w:trPr>
          <w:trHeight w:val="320"/>
        </w:trPr>
        <w:tc>
          <w:tcPr>
            <w:tcW w:w="2260" w:type="dxa"/>
            <w:tcBorders>
              <w:top w:val="nil"/>
              <w:left w:val="nil"/>
              <w:right w:val="nil"/>
            </w:tcBorders>
            <w:shd w:val="clear" w:color="auto" w:fill="auto"/>
            <w:noWrap/>
            <w:vAlign w:val="center"/>
            <w:hideMark/>
          </w:tcPr>
          <w:p w14:paraId="11B89C9C" w14:textId="77777777" w:rsidR="00B20A4B" w:rsidRPr="00602F84" w:rsidRDefault="00B20A4B">
            <w:pPr>
              <w:rPr>
                <w:rFonts w:ascii="Times New Roman" w:hAnsi="Times New Roman" w:cs="Times New Roman"/>
                <w:color w:val="000000"/>
                <w:sz w:val="22"/>
                <w:szCs w:val="22"/>
              </w:rPr>
            </w:pPr>
            <w:r w:rsidRPr="00602F84">
              <w:rPr>
                <w:rFonts w:ascii="Times New Roman" w:hAnsi="Times New Roman" w:cs="Times New Roman"/>
                <w:color w:val="000000"/>
                <w:sz w:val="22"/>
                <w:szCs w:val="22"/>
              </w:rPr>
              <w:t>非营利社区医院</w:t>
            </w:r>
          </w:p>
        </w:tc>
        <w:tc>
          <w:tcPr>
            <w:tcW w:w="1210" w:type="dxa"/>
            <w:tcBorders>
              <w:top w:val="nil"/>
              <w:left w:val="nil"/>
              <w:right w:val="nil"/>
            </w:tcBorders>
            <w:shd w:val="clear" w:color="auto" w:fill="auto"/>
            <w:noWrap/>
            <w:vAlign w:val="center"/>
            <w:hideMark/>
          </w:tcPr>
          <w:p w14:paraId="725CC457"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25566</w:t>
            </w:r>
          </w:p>
        </w:tc>
        <w:tc>
          <w:tcPr>
            <w:tcW w:w="1209" w:type="dxa"/>
            <w:tcBorders>
              <w:top w:val="nil"/>
              <w:left w:val="nil"/>
              <w:right w:val="nil"/>
            </w:tcBorders>
            <w:shd w:val="clear" w:color="auto" w:fill="auto"/>
            <w:noWrap/>
            <w:vAlign w:val="center"/>
            <w:hideMark/>
          </w:tcPr>
          <w:p w14:paraId="6BE53C3B"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22878</w:t>
            </w:r>
          </w:p>
        </w:tc>
        <w:tc>
          <w:tcPr>
            <w:tcW w:w="1209" w:type="dxa"/>
            <w:tcBorders>
              <w:top w:val="nil"/>
              <w:left w:val="nil"/>
              <w:right w:val="nil"/>
            </w:tcBorders>
            <w:shd w:val="clear" w:color="auto" w:fill="auto"/>
            <w:noWrap/>
            <w:vAlign w:val="center"/>
            <w:hideMark/>
          </w:tcPr>
          <w:p w14:paraId="5444A296"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24452</w:t>
            </w:r>
          </w:p>
        </w:tc>
        <w:tc>
          <w:tcPr>
            <w:tcW w:w="1209" w:type="dxa"/>
            <w:tcBorders>
              <w:top w:val="nil"/>
              <w:left w:val="nil"/>
              <w:right w:val="nil"/>
            </w:tcBorders>
            <w:shd w:val="clear" w:color="auto" w:fill="auto"/>
            <w:noWrap/>
            <w:vAlign w:val="center"/>
            <w:hideMark/>
          </w:tcPr>
          <w:p w14:paraId="681E37C5"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25532</w:t>
            </w:r>
          </w:p>
        </w:tc>
        <w:tc>
          <w:tcPr>
            <w:tcW w:w="1209" w:type="dxa"/>
            <w:tcBorders>
              <w:top w:val="nil"/>
              <w:left w:val="nil"/>
              <w:right w:val="nil"/>
            </w:tcBorders>
            <w:shd w:val="clear" w:color="auto" w:fill="auto"/>
            <w:noWrap/>
            <w:vAlign w:val="center"/>
            <w:hideMark/>
          </w:tcPr>
          <w:p w14:paraId="6A4E7441"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24728</w:t>
            </w:r>
          </w:p>
        </w:tc>
      </w:tr>
      <w:tr w:rsidR="00B20A4B" w:rsidRPr="00602F84" w14:paraId="40F31028" w14:textId="77777777" w:rsidTr="00B20A4B">
        <w:trPr>
          <w:trHeight w:val="320"/>
        </w:trPr>
        <w:tc>
          <w:tcPr>
            <w:tcW w:w="2260" w:type="dxa"/>
            <w:tcBorders>
              <w:top w:val="nil"/>
              <w:left w:val="nil"/>
              <w:bottom w:val="single" w:sz="4" w:space="0" w:color="auto"/>
              <w:right w:val="nil"/>
            </w:tcBorders>
            <w:shd w:val="clear" w:color="auto" w:fill="auto"/>
            <w:noWrap/>
            <w:vAlign w:val="center"/>
            <w:hideMark/>
          </w:tcPr>
          <w:p w14:paraId="3E9504CF" w14:textId="77777777" w:rsidR="00B20A4B" w:rsidRPr="00602F84" w:rsidRDefault="00B20A4B">
            <w:pPr>
              <w:rPr>
                <w:rFonts w:ascii="Times New Roman" w:hAnsi="Times New Roman" w:cs="Times New Roman"/>
                <w:color w:val="000000"/>
                <w:sz w:val="22"/>
                <w:szCs w:val="22"/>
              </w:rPr>
            </w:pPr>
            <w:r w:rsidRPr="00602F84">
              <w:rPr>
                <w:rFonts w:ascii="Times New Roman" w:hAnsi="Times New Roman" w:cs="Times New Roman"/>
                <w:color w:val="000000"/>
                <w:sz w:val="22"/>
                <w:szCs w:val="22"/>
              </w:rPr>
              <w:t>营利医院</w:t>
            </w:r>
          </w:p>
        </w:tc>
        <w:tc>
          <w:tcPr>
            <w:tcW w:w="1210" w:type="dxa"/>
            <w:tcBorders>
              <w:top w:val="nil"/>
              <w:left w:val="nil"/>
              <w:bottom w:val="single" w:sz="4" w:space="0" w:color="auto"/>
              <w:right w:val="nil"/>
            </w:tcBorders>
            <w:shd w:val="clear" w:color="auto" w:fill="auto"/>
            <w:noWrap/>
            <w:vAlign w:val="center"/>
            <w:hideMark/>
          </w:tcPr>
          <w:p w14:paraId="75E65595"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3165</w:t>
            </w:r>
          </w:p>
        </w:tc>
        <w:tc>
          <w:tcPr>
            <w:tcW w:w="1209" w:type="dxa"/>
            <w:tcBorders>
              <w:top w:val="nil"/>
              <w:left w:val="nil"/>
              <w:bottom w:val="single" w:sz="4" w:space="0" w:color="auto"/>
              <w:right w:val="nil"/>
            </w:tcBorders>
            <w:shd w:val="clear" w:color="auto" w:fill="auto"/>
            <w:noWrap/>
            <w:vAlign w:val="center"/>
            <w:hideMark/>
          </w:tcPr>
          <w:p w14:paraId="206E33E9"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3066</w:t>
            </w:r>
          </w:p>
        </w:tc>
        <w:tc>
          <w:tcPr>
            <w:tcW w:w="1209" w:type="dxa"/>
            <w:tcBorders>
              <w:top w:val="nil"/>
              <w:left w:val="nil"/>
              <w:bottom w:val="single" w:sz="4" w:space="0" w:color="auto"/>
              <w:right w:val="nil"/>
            </w:tcBorders>
            <w:shd w:val="clear" w:color="auto" w:fill="auto"/>
            <w:noWrap/>
            <w:vAlign w:val="center"/>
            <w:hideMark/>
          </w:tcPr>
          <w:p w14:paraId="3ECA3202"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4141</w:t>
            </w:r>
          </w:p>
        </w:tc>
        <w:tc>
          <w:tcPr>
            <w:tcW w:w="1209" w:type="dxa"/>
            <w:tcBorders>
              <w:top w:val="nil"/>
              <w:left w:val="nil"/>
              <w:bottom w:val="single" w:sz="4" w:space="0" w:color="auto"/>
              <w:right w:val="nil"/>
            </w:tcBorders>
            <w:shd w:val="clear" w:color="auto" w:fill="auto"/>
            <w:noWrap/>
            <w:vAlign w:val="center"/>
            <w:hideMark/>
          </w:tcPr>
          <w:p w14:paraId="6DED51B0"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4925</w:t>
            </w:r>
          </w:p>
        </w:tc>
        <w:tc>
          <w:tcPr>
            <w:tcW w:w="1209" w:type="dxa"/>
            <w:tcBorders>
              <w:top w:val="nil"/>
              <w:left w:val="nil"/>
              <w:bottom w:val="single" w:sz="4" w:space="0" w:color="auto"/>
              <w:right w:val="nil"/>
            </w:tcBorders>
            <w:shd w:val="clear" w:color="auto" w:fill="auto"/>
            <w:noWrap/>
            <w:vAlign w:val="center"/>
            <w:hideMark/>
          </w:tcPr>
          <w:p w14:paraId="4463BA68" w14:textId="77777777" w:rsidR="00B20A4B" w:rsidRPr="00602F84" w:rsidRDefault="00B20A4B">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5309</w:t>
            </w:r>
          </w:p>
        </w:tc>
      </w:tr>
    </w:tbl>
    <w:p w14:paraId="131E24A9" w14:textId="4D211A34" w:rsidR="00B20A4B" w:rsidRPr="003B58AD" w:rsidRDefault="00B20A4B" w:rsidP="00620356">
      <w:pPr>
        <w:rPr>
          <w:rFonts w:ascii="Times New Roman" w:hAnsi="Times New Roman" w:cs="Times New Roman"/>
          <w:i/>
          <w:iCs/>
          <w:sz w:val="21"/>
          <w:szCs w:val="21"/>
        </w:rPr>
      </w:pPr>
      <w:r w:rsidRPr="003B58AD">
        <w:rPr>
          <w:rFonts w:ascii="Times New Roman" w:hAnsi="Times New Roman" w:cs="Times New Roman" w:hint="eastAsia"/>
          <w:sz w:val="21"/>
          <w:szCs w:val="21"/>
        </w:rPr>
        <w:t>数据来源：</w:t>
      </w:r>
      <w:r w:rsidR="003023BF" w:rsidRPr="003B58AD">
        <w:rPr>
          <w:rFonts w:ascii="Times New Roman" w:hAnsi="Times New Roman" w:cs="Times New Roman" w:hint="eastAsia"/>
          <w:sz w:val="21"/>
          <w:szCs w:val="21"/>
        </w:rPr>
        <w:t xml:space="preserve">U.S. </w:t>
      </w:r>
      <w:r w:rsidR="00285A9C" w:rsidRPr="003B58AD">
        <w:rPr>
          <w:rFonts w:ascii="Times New Roman" w:hAnsi="Times New Roman" w:cs="Times New Roman"/>
          <w:sz w:val="21"/>
          <w:szCs w:val="21"/>
        </w:rPr>
        <w:t>Centers for Disease Control and Preve</w:t>
      </w:r>
      <w:r w:rsidR="00285A9C" w:rsidRPr="00556459">
        <w:rPr>
          <w:rFonts w:ascii="Times New Roman" w:hAnsi="Times New Roman" w:cs="Times New Roman"/>
          <w:sz w:val="21"/>
          <w:szCs w:val="21"/>
        </w:rPr>
        <w:t>ntion</w:t>
      </w:r>
      <w:r w:rsidR="003023BF" w:rsidRPr="00556459">
        <w:rPr>
          <w:rFonts w:ascii="Times New Roman" w:hAnsi="Times New Roman" w:cs="Times New Roman" w:hint="eastAsia"/>
          <w:sz w:val="21"/>
          <w:szCs w:val="21"/>
        </w:rPr>
        <w:t xml:space="preserve">, </w:t>
      </w:r>
      <w:r w:rsidR="00285A9C" w:rsidRPr="00556459">
        <w:rPr>
          <w:rFonts w:ascii="Times New Roman" w:hAnsi="Times New Roman" w:cs="Times New Roman"/>
          <w:sz w:val="21"/>
          <w:szCs w:val="21"/>
        </w:rPr>
        <w:t>"</w:t>
      </w:r>
      <w:r w:rsidRPr="00556459">
        <w:rPr>
          <w:rFonts w:ascii="Times New Roman" w:hAnsi="Times New Roman" w:cs="Times New Roman"/>
          <w:iCs/>
          <w:sz w:val="21"/>
          <w:szCs w:val="21"/>
        </w:rPr>
        <w:t xml:space="preserve">Table </w:t>
      </w:r>
      <w:proofErr w:type="spellStart"/>
      <w:r w:rsidRPr="00556459">
        <w:rPr>
          <w:rFonts w:ascii="Times New Roman" w:hAnsi="Times New Roman" w:cs="Times New Roman"/>
          <w:iCs/>
          <w:sz w:val="21"/>
          <w:szCs w:val="21"/>
        </w:rPr>
        <w:t>HospAdmis</w:t>
      </w:r>
      <w:proofErr w:type="spellEnd"/>
      <w:r w:rsidRPr="00556459">
        <w:rPr>
          <w:rFonts w:ascii="Times New Roman" w:hAnsi="Times New Roman" w:cs="Times New Roman"/>
          <w:iCs/>
          <w:sz w:val="21"/>
          <w:szCs w:val="21"/>
        </w:rPr>
        <w:t>. Hospital admission, average length of stay, outpatient visits, and outpatient surgery, by type of ownership and size of hospital: United States, selected years 1980–2019</w:t>
      </w:r>
      <w:r w:rsidR="00285A9C" w:rsidRPr="00556459">
        <w:rPr>
          <w:rFonts w:ascii="Times New Roman" w:hAnsi="Times New Roman" w:cs="Times New Roman"/>
          <w:sz w:val="21"/>
          <w:szCs w:val="21"/>
        </w:rPr>
        <w:t>".</w:t>
      </w:r>
      <w:r w:rsidR="000F2BDB" w:rsidRPr="00556459">
        <w:rPr>
          <w:rFonts w:ascii="Times New Roman" w:hAnsi="Times New Roman" w:cs="Times New Roman" w:hint="eastAsia"/>
          <w:sz w:val="21"/>
          <w:szCs w:val="21"/>
        </w:rPr>
        <w:t>详见</w:t>
      </w:r>
      <w:hyperlink r:id="rId15" w:history="1">
        <w:r w:rsidR="000F2BDB" w:rsidRPr="00556459">
          <w:rPr>
            <w:rStyle w:val="af4"/>
            <w:rFonts w:ascii="Times New Roman" w:hAnsi="Times New Roman" w:cs="Times New Roman"/>
            <w:sz w:val="21"/>
            <w:szCs w:val="21"/>
          </w:rPr>
          <w:t>https://www.cdc.gov/nchs/data/hus/2020-2021/HospAdmis.pdf</w:t>
        </w:r>
      </w:hyperlink>
      <w:r w:rsidR="000F2BDB" w:rsidRPr="00556459">
        <w:rPr>
          <w:rFonts w:ascii="Times New Roman" w:hAnsi="Times New Roman" w:cs="Times New Roman" w:hint="eastAsia"/>
          <w:sz w:val="21"/>
          <w:szCs w:val="21"/>
        </w:rPr>
        <w:t xml:space="preserve">, </w:t>
      </w:r>
      <w:r w:rsidR="00C46339">
        <w:rPr>
          <w:rFonts w:ascii="Times New Roman" w:hAnsi="Times New Roman" w:cs="Times New Roman" w:hint="eastAsia"/>
          <w:sz w:val="21"/>
          <w:szCs w:val="21"/>
        </w:rPr>
        <w:t>retrieved</w:t>
      </w:r>
      <w:r w:rsidR="000F2BDB" w:rsidRPr="00556459">
        <w:rPr>
          <w:rFonts w:ascii="Times New Roman" w:hAnsi="Times New Roman" w:cs="Times New Roman" w:hint="eastAsia"/>
          <w:sz w:val="21"/>
          <w:szCs w:val="21"/>
        </w:rPr>
        <w:t xml:space="preserve"> </w:t>
      </w:r>
      <w:r w:rsidR="00C46339">
        <w:rPr>
          <w:rFonts w:ascii="Times New Roman" w:hAnsi="Times New Roman" w:cs="Times New Roman" w:hint="eastAsia"/>
          <w:sz w:val="21"/>
          <w:szCs w:val="21"/>
        </w:rPr>
        <w:t>Oct.7</w:t>
      </w:r>
      <w:r w:rsidR="000F2BDB" w:rsidRPr="00556459">
        <w:rPr>
          <w:rFonts w:ascii="Times New Roman" w:hAnsi="Times New Roman" w:cs="Times New Roman" w:hint="eastAsia"/>
          <w:sz w:val="21"/>
          <w:szCs w:val="21"/>
        </w:rPr>
        <w:t>,2024.</w:t>
      </w:r>
    </w:p>
    <w:p w14:paraId="7881A270" w14:textId="77777777" w:rsidR="002119F8" w:rsidRPr="00C3146C" w:rsidRDefault="002119F8" w:rsidP="00B20A4B">
      <w:pPr>
        <w:spacing w:line="360" w:lineRule="auto"/>
        <w:rPr>
          <w:rFonts w:ascii="Times New Roman" w:hAnsi="Times New Roman" w:cs="Times New Roman"/>
        </w:rPr>
      </w:pPr>
    </w:p>
    <w:p w14:paraId="3F48BFED" w14:textId="77777777" w:rsidR="00AF0CDA" w:rsidRDefault="00E40204" w:rsidP="00E40204">
      <w:pPr>
        <w:spacing w:line="360" w:lineRule="auto"/>
        <w:jc w:val="center"/>
        <w:rPr>
          <w:rFonts w:ascii="Times New Roman" w:hAnsi="Times New Roman" w:cs="Times New Roman"/>
        </w:rPr>
      </w:pPr>
      <w:r w:rsidRPr="00C3146C">
        <w:rPr>
          <w:rFonts w:ascii="Times New Roman" w:hAnsi="Times New Roman" w:cs="Times New Roman" w:hint="eastAsia"/>
        </w:rPr>
        <w:t>表</w:t>
      </w:r>
      <w:r w:rsidRPr="00C3146C">
        <w:rPr>
          <w:rFonts w:ascii="Times New Roman" w:hAnsi="Times New Roman" w:cs="Times New Roman" w:hint="eastAsia"/>
        </w:rPr>
        <w:t xml:space="preserve"> 5 </w:t>
      </w:r>
      <w:r w:rsidRPr="00C3146C">
        <w:rPr>
          <w:rFonts w:ascii="Times New Roman" w:hAnsi="Times New Roman" w:cs="Times New Roman" w:hint="eastAsia"/>
        </w:rPr>
        <w:t>美国医疗体系内部营业盈余占增加值比例</w:t>
      </w:r>
    </w:p>
    <w:p w14:paraId="76C3D687" w14:textId="1A9ABC3E" w:rsidR="006B5982" w:rsidRPr="00C3146C" w:rsidRDefault="00AF0CDA" w:rsidP="00AF0CDA">
      <w:pPr>
        <w:spacing w:line="360" w:lineRule="auto"/>
        <w:ind w:right="480"/>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单位：</w:t>
      </w:r>
      <w:r w:rsidR="00E8244B" w:rsidRPr="00C3146C">
        <w:rPr>
          <w:rFonts w:ascii="Times New Roman" w:hAnsi="Times New Roman" w:cs="Times New Roman" w:hint="eastAsia"/>
        </w:rPr>
        <w:t>（</w:t>
      </w:r>
      <w:r w:rsidR="00E8244B" w:rsidRPr="00C3146C">
        <w:rPr>
          <w:rFonts w:ascii="Times New Roman" w:hAnsi="Times New Roman" w:cs="Times New Roman" w:hint="eastAsia"/>
        </w:rPr>
        <w:t>%</w:t>
      </w:r>
      <w:r w:rsidR="00E8244B" w:rsidRPr="00C3146C">
        <w:rPr>
          <w:rFonts w:ascii="Times New Roman" w:hAnsi="Times New Roman" w:cs="Times New Roman" w:hint="eastAsia"/>
        </w:rPr>
        <w:t>）</w:t>
      </w:r>
    </w:p>
    <w:tbl>
      <w:tblPr>
        <w:tblW w:w="5387" w:type="dxa"/>
        <w:jc w:val="center"/>
        <w:tblLook w:val="04A0" w:firstRow="1" w:lastRow="0" w:firstColumn="1" w:lastColumn="0" w:noHBand="0" w:noVBand="1"/>
      </w:tblPr>
      <w:tblGrid>
        <w:gridCol w:w="1300"/>
        <w:gridCol w:w="696"/>
        <w:gridCol w:w="839"/>
        <w:gridCol w:w="851"/>
        <w:gridCol w:w="850"/>
        <w:gridCol w:w="851"/>
      </w:tblGrid>
      <w:tr w:rsidR="00E40204" w:rsidRPr="00602F84" w14:paraId="56BB970C" w14:textId="77777777" w:rsidTr="00283BAC">
        <w:trPr>
          <w:trHeight w:val="320"/>
          <w:jc w:val="center"/>
        </w:trPr>
        <w:tc>
          <w:tcPr>
            <w:tcW w:w="1300" w:type="dxa"/>
            <w:tcBorders>
              <w:top w:val="single" w:sz="4" w:space="0" w:color="auto"/>
              <w:left w:val="nil"/>
              <w:bottom w:val="double" w:sz="4" w:space="0" w:color="auto"/>
              <w:right w:val="nil"/>
            </w:tcBorders>
            <w:shd w:val="clear" w:color="auto" w:fill="auto"/>
            <w:noWrap/>
            <w:vAlign w:val="center"/>
            <w:hideMark/>
          </w:tcPr>
          <w:p w14:paraId="42197633" w14:textId="77777777" w:rsidR="00E40204" w:rsidRPr="00602F84" w:rsidRDefault="00E40204">
            <w:pPr>
              <w:rPr>
                <w:rFonts w:ascii="Times New Roman" w:hAnsi="Times New Roman" w:cs="Times New Roman"/>
                <w:sz w:val="22"/>
                <w:szCs w:val="22"/>
              </w:rPr>
            </w:pPr>
          </w:p>
        </w:tc>
        <w:tc>
          <w:tcPr>
            <w:tcW w:w="696" w:type="dxa"/>
            <w:tcBorders>
              <w:top w:val="single" w:sz="4" w:space="0" w:color="auto"/>
              <w:left w:val="nil"/>
              <w:bottom w:val="double" w:sz="4" w:space="0" w:color="auto"/>
              <w:right w:val="nil"/>
            </w:tcBorders>
            <w:shd w:val="clear" w:color="auto" w:fill="auto"/>
            <w:noWrap/>
            <w:vAlign w:val="center"/>
            <w:hideMark/>
          </w:tcPr>
          <w:p w14:paraId="65D8638F"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2000</w:t>
            </w:r>
          </w:p>
        </w:tc>
        <w:tc>
          <w:tcPr>
            <w:tcW w:w="839" w:type="dxa"/>
            <w:tcBorders>
              <w:top w:val="single" w:sz="4" w:space="0" w:color="auto"/>
              <w:left w:val="nil"/>
              <w:bottom w:val="double" w:sz="4" w:space="0" w:color="auto"/>
              <w:right w:val="nil"/>
            </w:tcBorders>
            <w:shd w:val="clear" w:color="auto" w:fill="auto"/>
            <w:noWrap/>
            <w:vAlign w:val="center"/>
            <w:hideMark/>
          </w:tcPr>
          <w:p w14:paraId="39704768"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2008</w:t>
            </w:r>
          </w:p>
        </w:tc>
        <w:tc>
          <w:tcPr>
            <w:tcW w:w="851" w:type="dxa"/>
            <w:tcBorders>
              <w:top w:val="single" w:sz="4" w:space="0" w:color="auto"/>
              <w:left w:val="nil"/>
              <w:bottom w:val="double" w:sz="4" w:space="0" w:color="auto"/>
              <w:right w:val="nil"/>
            </w:tcBorders>
            <w:shd w:val="clear" w:color="auto" w:fill="auto"/>
            <w:noWrap/>
            <w:vAlign w:val="center"/>
            <w:hideMark/>
          </w:tcPr>
          <w:p w14:paraId="23702E2F"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2016</w:t>
            </w:r>
          </w:p>
        </w:tc>
        <w:tc>
          <w:tcPr>
            <w:tcW w:w="850" w:type="dxa"/>
            <w:tcBorders>
              <w:top w:val="single" w:sz="4" w:space="0" w:color="auto"/>
              <w:left w:val="nil"/>
              <w:bottom w:val="double" w:sz="4" w:space="0" w:color="auto"/>
              <w:right w:val="nil"/>
            </w:tcBorders>
            <w:shd w:val="clear" w:color="auto" w:fill="auto"/>
            <w:noWrap/>
            <w:vAlign w:val="center"/>
            <w:hideMark/>
          </w:tcPr>
          <w:p w14:paraId="21A88CE7"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2020</w:t>
            </w:r>
          </w:p>
        </w:tc>
        <w:tc>
          <w:tcPr>
            <w:tcW w:w="851" w:type="dxa"/>
            <w:tcBorders>
              <w:top w:val="single" w:sz="4" w:space="0" w:color="auto"/>
              <w:left w:val="nil"/>
              <w:bottom w:val="double" w:sz="4" w:space="0" w:color="auto"/>
              <w:right w:val="nil"/>
            </w:tcBorders>
            <w:shd w:val="clear" w:color="auto" w:fill="auto"/>
            <w:noWrap/>
            <w:vAlign w:val="center"/>
            <w:hideMark/>
          </w:tcPr>
          <w:p w14:paraId="5A324CDD"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2023</w:t>
            </w:r>
          </w:p>
        </w:tc>
      </w:tr>
      <w:tr w:rsidR="00E40204" w:rsidRPr="00602F84" w14:paraId="796F6BE6" w14:textId="77777777" w:rsidTr="00283BAC">
        <w:trPr>
          <w:trHeight w:val="320"/>
          <w:jc w:val="center"/>
        </w:trPr>
        <w:tc>
          <w:tcPr>
            <w:tcW w:w="1300" w:type="dxa"/>
            <w:tcBorders>
              <w:top w:val="double" w:sz="4" w:space="0" w:color="auto"/>
              <w:left w:val="nil"/>
              <w:bottom w:val="nil"/>
              <w:right w:val="nil"/>
            </w:tcBorders>
            <w:shd w:val="clear" w:color="auto" w:fill="auto"/>
            <w:noWrap/>
            <w:vAlign w:val="center"/>
            <w:hideMark/>
          </w:tcPr>
          <w:p w14:paraId="759E7C40" w14:textId="77777777" w:rsidR="00E40204" w:rsidRPr="00602F84" w:rsidRDefault="00E40204">
            <w:pPr>
              <w:rPr>
                <w:rFonts w:ascii="Times New Roman" w:hAnsi="Times New Roman" w:cs="Times New Roman"/>
                <w:color w:val="000000"/>
                <w:sz w:val="22"/>
                <w:szCs w:val="22"/>
              </w:rPr>
            </w:pPr>
            <w:r w:rsidRPr="00602F84">
              <w:rPr>
                <w:rFonts w:ascii="Times New Roman" w:hAnsi="Times New Roman" w:cs="Times New Roman"/>
                <w:color w:val="000000"/>
                <w:sz w:val="22"/>
                <w:szCs w:val="22"/>
              </w:rPr>
              <w:t>门诊</w:t>
            </w:r>
          </w:p>
        </w:tc>
        <w:tc>
          <w:tcPr>
            <w:tcW w:w="696" w:type="dxa"/>
            <w:tcBorders>
              <w:top w:val="double" w:sz="4" w:space="0" w:color="auto"/>
              <w:left w:val="nil"/>
              <w:bottom w:val="nil"/>
              <w:right w:val="nil"/>
            </w:tcBorders>
            <w:shd w:val="clear" w:color="auto" w:fill="auto"/>
            <w:noWrap/>
            <w:vAlign w:val="center"/>
            <w:hideMark/>
          </w:tcPr>
          <w:p w14:paraId="5C119BBC"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22.2</w:t>
            </w:r>
          </w:p>
        </w:tc>
        <w:tc>
          <w:tcPr>
            <w:tcW w:w="839" w:type="dxa"/>
            <w:tcBorders>
              <w:top w:val="double" w:sz="4" w:space="0" w:color="auto"/>
              <w:left w:val="nil"/>
              <w:bottom w:val="nil"/>
              <w:right w:val="nil"/>
            </w:tcBorders>
            <w:shd w:val="clear" w:color="auto" w:fill="auto"/>
            <w:noWrap/>
            <w:vAlign w:val="center"/>
            <w:hideMark/>
          </w:tcPr>
          <w:p w14:paraId="2A905822"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22.2</w:t>
            </w:r>
          </w:p>
        </w:tc>
        <w:tc>
          <w:tcPr>
            <w:tcW w:w="851" w:type="dxa"/>
            <w:tcBorders>
              <w:top w:val="double" w:sz="4" w:space="0" w:color="auto"/>
              <w:left w:val="nil"/>
              <w:bottom w:val="nil"/>
              <w:right w:val="nil"/>
            </w:tcBorders>
            <w:shd w:val="clear" w:color="auto" w:fill="auto"/>
            <w:noWrap/>
            <w:vAlign w:val="center"/>
            <w:hideMark/>
          </w:tcPr>
          <w:p w14:paraId="7E91EC36"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22.3</w:t>
            </w:r>
          </w:p>
        </w:tc>
        <w:tc>
          <w:tcPr>
            <w:tcW w:w="850" w:type="dxa"/>
            <w:tcBorders>
              <w:top w:val="double" w:sz="4" w:space="0" w:color="auto"/>
              <w:left w:val="nil"/>
              <w:bottom w:val="nil"/>
              <w:right w:val="nil"/>
            </w:tcBorders>
            <w:shd w:val="clear" w:color="auto" w:fill="auto"/>
            <w:noWrap/>
            <w:vAlign w:val="center"/>
            <w:hideMark/>
          </w:tcPr>
          <w:p w14:paraId="3F1FC7FB"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25.9</w:t>
            </w:r>
          </w:p>
        </w:tc>
        <w:tc>
          <w:tcPr>
            <w:tcW w:w="851" w:type="dxa"/>
            <w:tcBorders>
              <w:top w:val="double" w:sz="4" w:space="0" w:color="auto"/>
              <w:left w:val="nil"/>
              <w:bottom w:val="nil"/>
              <w:right w:val="nil"/>
            </w:tcBorders>
            <w:shd w:val="clear" w:color="auto" w:fill="auto"/>
            <w:noWrap/>
            <w:vAlign w:val="center"/>
            <w:hideMark/>
          </w:tcPr>
          <w:p w14:paraId="4147C578"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22.2</w:t>
            </w:r>
          </w:p>
        </w:tc>
      </w:tr>
      <w:tr w:rsidR="00E40204" w:rsidRPr="00602F84" w14:paraId="5F0E67CD" w14:textId="77777777" w:rsidTr="00283BAC">
        <w:trPr>
          <w:trHeight w:val="320"/>
          <w:jc w:val="center"/>
        </w:trPr>
        <w:tc>
          <w:tcPr>
            <w:tcW w:w="1300" w:type="dxa"/>
            <w:tcBorders>
              <w:top w:val="nil"/>
              <w:left w:val="nil"/>
              <w:bottom w:val="nil"/>
              <w:right w:val="nil"/>
            </w:tcBorders>
            <w:shd w:val="clear" w:color="auto" w:fill="auto"/>
            <w:noWrap/>
            <w:vAlign w:val="center"/>
            <w:hideMark/>
          </w:tcPr>
          <w:p w14:paraId="428B588E" w14:textId="77777777" w:rsidR="00E40204" w:rsidRPr="00602F84" w:rsidRDefault="00E40204">
            <w:pPr>
              <w:rPr>
                <w:rFonts w:ascii="Times New Roman" w:hAnsi="Times New Roman" w:cs="Times New Roman"/>
                <w:color w:val="000000"/>
                <w:sz w:val="22"/>
                <w:szCs w:val="22"/>
              </w:rPr>
            </w:pPr>
            <w:r w:rsidRPr="00602F84">
              <w:rPr>
                <w:rFonts w:ascii="Times New Roman" w:hAnsi="Times New Roman" w:cs="Times New Roman"/>
                <w:color w:val="000000"/>
                <w:sz w:val="22"/>
                <w:szCs w:val="22"/>
              </w:rPr>
              <w:t>医院</w:t>
            </w:r>
          </w:p>
        </w:tc>
        <w:tc>
          <w:tcPr>
            <w:tcW w:w="696" w:type="dxa"/>
            <w:tcBorders>
              <w:top w:val="nil"/>
              <w:left w:val="nil"/>
              <w:bottom w:val="nil"/>
              <w:right w:val="nil"/>
            </w:tcBorders>
            <w:shd w:val="clear" w:color="auto" w:fill="auto"/>
            <w:noWrap/>
            <w:vAlign w:val="center"/>
            <w:hideMark/>
          </w:tcPr>
          <w:p w14:paraId="76D11F1E"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11.9</w:t>
            </w:r>
          </w:p>
        </w:tc>
        <w:tc>
          <w:tcPr>
            <w:tcW w:w="839" w:type="dxa"/>
            <w:tcBorders>
              <w:top w:val="nil"/>
              <w:left w:val="nil"/>
              <w:bottom w:val="nil"/>
              <w:right w:val="nil"/>
            </w:tcBorders>
            <w:shd w:val="clear" w:color="auto" w:fill="auto"/>
            <w:noWrap/>
            <w:vAlign w:val="center"/>
            <w:hideMark/>
          </w:tcPr>
          <w:p w14:paraId="4FA3B271"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12.7</w:t>
            </w:r>
          </w:p>
        </w:tc>
        <w:tc>
          <w:tcPr>
            <w:tcW w:w="851" w:type="dxa"/>
            <w:tcBorders>
              <w:top w:val="nil"/>
              <w:left w:val="nil"/>
              <w:bottom w:val="nil"/>
              <w:right w:val="nil"/>
            </w:tcBorders>
            <w:shd w:val="clear" w:color="auto" w:fill="auto"/>
            <w:noWrap/>
            <w:vAlign w:val="center"/>
            <w:hideMark/>
          </w:tcPr>
          <w:p w14:paraId="56016C25"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16.0</w:t>
            </w:r>
          </w:p>
        </w:tc>
        <w:tc>
          <w:tcPr>
            <w:tcW w:w="850" w:type="dxa"/>
            <w:tcBorders>
              <w:top w:val="nil"/>
              <w:left w:val="nil"/>
              <w:bottom w:val="nil"/>
              <w:right w:val="nil"/>
            </w:tcBorders>
            <w:shd w:val="clear" w:color="auto" w:fill="auto"/>
            <w:noWrap/>
            <w:vAlign w:val="center"/>
            <w:hideMark/>
          </w:tcPr>
          <w:p w14:paraId="0F9EB224"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16.4</w:t>
            </w:r>
          </w:p>
        </w:tc>
        <w:tc>
          <w:tcPr>
            <w:tcW w:w="851" w:type="dxa"/>
            <w:tcBorders>
              <w:top w:val="nil"/>
              <w:left w:val="nil"/>
              <w:bottom w:val="nil"/>
              <w:right w:val="nil"/>
            </w:tcBorders>
            <w:shd w:val="clear" w:color="auto" w:fill="auto"/>
            <w:noWrap/>
            <w:vAlign w:val="center"/>
            <w:hideMark/>
          </w:tcPr>
          <w:p w14:paraId="5624DBBB"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15.4</w:t>
            </w:r>
          </w:p>
        </w:tc>
      </w:tr>
      <w:tr w:rsidR="00E40204" w:rsidRPr="00602F84" w14:paraId="6E9F6BAB" w14:textId="77777777" w:rsidTr="00283BAC">
        <w:trPr>
          <w:trHeight w:val="320"/>
          <w:jc w:val="center"/>
        </w:trPr>
        <w:tc>
          <w:tcPr>
            <w:tcW w:w="1300" w:type="dxa"/>
            <w:tcBorders>
              <w:top w:val="nil"/>
              <w:left w:val="nil"/>
              <w:right w:val="nil"/>
            </w:tcBorders>
            <w:shd w:val="clear" w:color="auto" w:fill="auto"/>
            <w:noWrap/>
            <w:vAlign w:val="center"/>
            <w:hideMark/>
          </w:tcPr>
          <w:p w14:paraId="46B11FA1" w14:textId="77777777" w:rsidR="00E40204" w:rsidRPr="00602F84" w:rsidRDefault="00E40204">
            <w:pPr>
              <w:rPr>
                <w:rFonts w:ascii="Times New Roman" w:hAnsi="Times New Roman" w:cs="Times New Roman"/>
                <w:color w:val="000000"/>
                <w:sz w:val="22"/>
                <w:szCs w:val="22"/>
              </w:rPr>
            </w:pPr>
            <w:r w:rsidRPr="00602F84">
              <w:rPr>
                <w:rFonts w:ascii="Times New Roman" w:hAnsi="Times New Roman" w:cs="Times New Roman"/>
                <w:color w:val="000000"/>
                <w:sz w:val="22"/>
                <w:szCs w:val="22"/>
              </w:rPr>
              <w:t>护理机构</w:t>
            </w:r>
          </w:p>
        </w:tc>
        <w:tc>
          <w:tcPr>
            <w:tcW w:w="696" w:type="dxa"/>
            <w:tcBorders>
              <w:top w:val="nil"/>
              <w:left w:val="nil"/>
              <w:right w:val="nil"/>
            </w:tcBorders>
            <w:shd w:val="clear" w:color="auto" w:fill="auto"/>
            <w:noWrap/>
            <w:vAlign w:val="center"/>
            <w:hideMark/>
          </w:tcPr>
          <w:p w14:paraId="14173C82"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4.9</w:t>
            </w:r>
          </w:p>
        </w:tc>
        <w:tc>
          <w:tcPr>
            <w:tcW w:w="839" w:type="dxa"/>
            <w:tcBorders>
              <w:top w:val="nil"/>
              <w:left w:val="nil"/>
              <w:right w:val="nil"/>
            </w:tcBorders>
            <w:shd w:val="clear" w:color="auto" w:fill="auto"/>
            <w:noWrap/>
            <w:vAlign w:val="center"/>
            <w:hideMark/>
          </w:tcPr>
          <w:p w14:paraId="5A78F29C"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4.9</w:t>
            </w:r>
          </w:p>
        </w:tc>
        <w:tc>
          <w:tcPr>
            <w:tcW w:w="851" w:type="dxa"/>
            <w:tcBorders>
              <w:top w:val="nil"/>
              <w:left w:val="nil"/>
              <w:right w:val="nil"/>
            </w:tcBorders>
            <w:shd w:val="clear" w:color="auto" w:fill="auto"/>
            <w:noWrap/>
            <w:vAlign w:val="center"/>
            <w:hideMark/>
          </w:tcPr>
          <w:p w14:paraId="6D002B07"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6.5</w:t>
            </w:r>
          </w:p>
        </w:tc>
        <w:tc>
          <w:tcPr>
            <w:tcW w:w="850" w:type="dxa"/>
            <w:tcBorders>
              <w:top w:val="nil"/>
              <w:left w:val="nil"/>
              <w:right w:val="nil"/>
            </w:tcBorders>
            <w:shd w:val="clear" w:color="auto" w:fill="auto"/>
            <w:noWrap/>
            <w:vAlign w:val="center"/>
            <w:hideMark/>
          </w:tcPr>
          <w:p w14:paraId="3A7F9C03"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6.6</w:t>
            </w:r>
          </w:p>
        </w:tc>
        <w:tc>
          <w:tcPr>
            <w:tcW w:w="851" w:type="dxa"/>
            <w:tcBorders>
              <w:top w:val="nil"/>
              <w:left w:val="nil"/>
              <w:right w:val="nil"/>
            </w:tcBorders>
            <w:shd w:val="clear" w:color="auto" w:fill="auto"/>
            <w:noWrap/>
            <w:vAlign w:val="center"/>
            <w:hideMark/>
          </w:tcPr>
          <w:p w14:paraId="4C90EB4B"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6.4</w:t>
            </w:r>
          </w:p>
        </w:tc>
      </w:tr>
      <w:tr w:rsidR="00E40204" w:rsidRPr="00602F84" w14:paraId="40F9DD2D" w14:textId="77777777" w:rsidTr="00283BAC">
        <w:trPr>
          <w:trHeight w:val="320"/>
          <w:jc w:val="center"/>
        </w:trPr>
        <w:tc>
          <w:tcPr>
            <w:tcW w:w="1300" w:type="dxa"/>
            <w:tcBorders>
              <w:top w:val="nil"/>
              <w:left w:val="nil"/>
              <w:bottom w:val="single" w:sz="4" w:space="0" w:color="auto"/>
              <w:right w:val="nil"/>
            </w:tcBorders>
            <w:shd w:val="clear" w:color="auto" w:fill="auto"/>
            <w:noWrap/>
            <w:vAlign w:val="center"/>
            <w:hideMark/>
          </w:tcPr>
          <w:p w14:paraId="74F26DA3" w14:textId="77777777" w:rsidR="00E40204" w:rsidRPr="00602F84" w:rsidRDefault="00E40204">
            <w:pPr>
              <w:rPr>
                <w:rFonts w:ascii="Times New Roman" w:hAnsi="Times New Roman" w:cs="Times New Roman"/>
                <w:color w:val="000000"/>
                <w:sz w:val="22"/>
                <w:szCs w:val="22"/>
              </w:rPr>
            </w:pPr>
            <w:r w:rsidRPr="00602F84">
              <w:rPr>
                <w:rFonts w:ascii="Times New Roman" w:hAnsi="Times New Roman" w:cs="Times New Roman"/>
                <w:color w:val="000000"/>
                <w:sz w:val="22"/>
                <w:szCs w:val="22"/>
              </w:rPr>
              <w:t>社会救助</w:t>
            </w:r>
          </w:p>
        </w:tc>
        <w:tc>
          <w:tcPr>
            <w:tcW w:w="696" w:type="dxa"/>
            <w:tcBorders>
              <w:top w:val="nil"/>
              <w:left w:val="nil"/>
              <w:bottom w:val="single" w:sz="4" w:space="0" w:color="auto"/>
              <w:right w:val="nil"/>
            </w:tcBorders>
            <w:shd w:val="clear" w:color="auto" w:fill="auto"/>
            <w:noWrap/>
            <w:vAlign w:val="center"/>
            <w:hideMark/>
          </w:tcPr>
          <w:p w14:paraId="1365036C"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17.7</w:t>
            </w:r>
          </w:p>
        </w:tc>
        <w:tc>
          <w:tcPr>
            <w:tcW w:w="839" w:type="dxa"/>
            <w:tcBorders>
              <w:top w:val="nil"/>
              <w:left w:val="nil"/>
              <w:bottom w:val="single" w:sz="4" w:space="0" w:color="auto"/>
              <w:right w:val="nil"/>
            </w:tcBorders>
            <w:shd w:val="clear" w:color="auto" w:fill="auto"/>
            <w:noWrap/>
            <w:vAlign w:val="center"/>
            <w:hideMark/>
          </w:tcPr>
          <w:p w14:paraId="25410DCB"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16.2</w:t>
            </w:r>
          </w:p>
        </w:tc>
        <w:tc>
          <w:tcPr>
            <w:tcW w:w="851" w:type="dxa"/>
            <w:tcBorders>
              <w:top w:val="nil"/>
              <w:left w:val="nil"/>
              <w:bottom w:val="single" w:sz="4" w:space="0" w:color="auto"/>
              <w:right w:val="nil"/>
            </w:tcBorders>
            <w:shd w:val="clear" w:color="auto" w:fill="auto"/>
            <w:noWrap/>
            <w:vAlign w:val="center"/>
            <w:hideMark/>
          </w:tcPr>
          <w:p w14:paraId="4BBAEA21"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9.8</w:t>
            </w:r>
          </w:p>
        </w:tc>
        <w:tc>
          <w:tcPr>
            <w:tcW w:w="850" w:type="dxa"/>
            <w:tcBorders>
              <w:top w:val="nil"/>
              <w:left w:val="nil"/>
              <w:bottom w:val="single" w:sz="4" w:space="0" w:color="auto"/>
              <w:right w:val="nil"/>
            </w:tcBorders>
            <w:shd w:val="clear" w:color="auto" w:fill="auto"/>
            <w:noWrap/>
            <w:vAlign w:val="center"/>
            <w:hideMark/>
          </w:tcPr>
          <w:p w14:paraId="5CB4D578"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10.3</w:t>
            </w:r>
          </w:p>
        </w:tc>
        <w:tc>
          <w:tcPr>
            <w:tcW w:w="851" w:type="dxa"/>
            <w:tcBorders>
              <w:top w:val="nil"/>
              <w:left w:val="nil"/>
              <w:bottom w:val="single" w:sz="4" w:space="0" w:color="auto"/>
              <w:right w:val="nil"/>
            </w:tcBorders>
            <w:shd w:val="clear" w:color="auto" w:fill="auto"/>
            <w:noWrap/>
            <w:vAlign w:val="center"/>
            <w:hideMark/>
          </w:tcPr>
          <w:p w14:paraId="206E4280" w14:textId="77777777" w:rsidR="00E40204" w:rsidRPr="00602F84" w:rsidRDefault="00E40204">
            <w:pPr>
              <w:jc w:val="right"/>
              <w:rPr>
                <w:rFonts w:ascii="Times New Roman" w:hAnsi="Times New Roman" w:cs="Times New Roman"/>
                <w:color w:val="000000"/>
                <w:sz w:val="22"/>
                <w:szCs w:val="22"/>
              </w:rPr>
            </w:pPr>
            <w:r w:rsidRPr="00602F84">
              <w:rPr>
                <w:rFonts w:ascii="Times New Roman" w:hAnsi="Times New Roman" w:cs="Times New Roman"/>
                <w:color w:val="000000"/>
                <w:sz w:val="22"/>
                <w:szCs w:val="22"/>
              </w:rPr>
              <w:t>9.0</w:t>
            </w:r>
          </w:p>
        </w:tc>
      </w:tr>
    </w:tbl>
    <w:p w14:paraId="7EE7AE50" w14:textId="2F365D10" w:rsidR="00285A9C" w:rsidRPr="003B58AD" w:rsidRDefault="00285A9C" w:rsidP="00285A9C">
      <w:pPr>
        <w:rPr>
          <w:rFonts w:ascii="Times New Roman" w:hAnsi="Times New Roman" w:cs="Times New Roman"/>
          <w:sz w:val="21"/>
          <w:szCs w:val="21"/>
        </w:rPr>
      </w:pPr>
      <w:r w:rsidRPr="003B58AD">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Pr="003B58AD">
        <w:rPr>
          <w:rFonts w:ascii="Times New Roman" w:hAnsi="Times New Roman" w:cs="Times New Roman"/>
          <w:sz w:val="21"/>
          <w:szCs w:val="21"/>
        </w:rPr>
        <w:t>,</w:t>
      </w:r>
      <w:r w:rsidRPr="00F92858">
        <w:rPr>
          <w:rFonts w:ascii="Times New Roman" w:hAnsi="Times New Roman" w:cs="Times New Roman"/>
          <w:sz w:val="21"/>
          <w:szCs w:val="21"/>
        </w:rPr>
        <w:t xml:space="preserve"> "</w:t>
      </w:r>
      <w:r w:rsidRPr="00BE517C">
        <w:rPr>
          <w:rFonts w:ascii="Times New Roman" w:hAnsi="Times New Roman" w:cs="Times New Roman"/>
          <w:iCs/>
          <w:sz w:val="21"/>
          <w:szCs w:val="21"/>
        </w:rPr>
        <w:t>Table 6.5A. Full-Time Equivalent Employees by Industry</w:t>
      </w:r>
      <w:r w:rsidRPr="00F92858">
        <w:rPr>
          <w:rFonts w:ascii="Times New Roman" w:hAnsi="Times New Roman" w:cs="Times New Roman"/>
          <w:sz w:val="21"/>
          <w:szCs w:val="21"/>
        </w:rPr>
        <w:t>".</w:t>
      </w:r>
    </w:p>
    <w:p w14:paraId="25E1D5EE" w14:textId="3F4AD22F" w:rsidR="001C664D" w:rsidRPr="00C3146C" w:rsidRDefault="005462C3" w:rsidP="00BE517C">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医疗支出的增长作为一种支出的结果呈现，</w:t>
      </w:r>
      <w:r w:rsidR="00BA4A73" w:rsidRPr="00C3146C">
        <w:rPr>
          <w:rFonts w:ascii="Times New Roman" w:hAnsi="Times New Roman" w:cs="Times New Roman" w:hint="eastAsia"/>
        </w:rPr>
        <w:t>支撑医疗体系扩张的最大来源是</w:t>
      </w:r>
      <w:r w:rsidRPr="00C3146C">
        <w:rPr>
          <w:rFonts w:ascii="Times New Roman" w:hAnsi="Times New Roman" w:cs="Times New Roman" w:hint="eastAsia"/>
        </w:rPr>
        <w:t>政府</w:t>
      </w:r>
      <w:r w:rsidR="00B57419" w:rsidRPr="00C3146C">
        <w:rPr>
          <w:rFonts w:ascii="Times New Roman" w:hAnsi="Times New Roman" w:cs="Times New Roman" w:hint="eastAsia"/>
        </w:rPr>
        <w:t>转移支付规模的</w:t>
      </w:r>
      <w:r w:rsidR="00BA4A73" w:rsidRPr="00C3146C">
        <w:rPr>
          <w:rFonts w:ascii="Times New Roman" w:hAnsi="Times New Roman" w:cs="Times New Roman" w:hint="eastAsia"/>
        </w:rPr>
        <w:t>持续增长</w:t>
      </w:r>
      <w:r w:rsidR="00B57419" w:rsidRPr="00C3146C">
        <w:rPr>
          <w:rFonts w:ascii="Times New Roman" w:hAnsi="Times New Roman" w:cs="Times New Roman" w:hint="eastAsia"/>
        </w:rPr>
        <w:t>。</w:t>
      </w:r>
      <w:r w:rsidR="00791225" w:rsidRPr="00C3146C">
        <w:rPr>
          <w:rFonts w:ascii="Times New Roman" w:hAnsi="Times New Roman" w:cs="Times New Roman" w:hint="eastAsia"/>
        </w:rPr>
        <w:t>在美国医保支付体系中，</w:t>
      </w:r>
      <w:r w:rsidR="00AC3BCC" w:rsidRPr="00C3146C">
        <w:rPr>
          <w:rFonts w:ascii="Times New Roman" w:hAnsi="Times New Roman" w:cs="Times New Roman" w:hint="eastAsia"/>
        </w:rPr>
        <w:t>个人支付</w:t>
      </w:r>
      <w:r w:rsidR="00AC3BCC" w:rsidRPr="00C3146C">
        <w:rPr>
          <w:rFonts w:ascii="Times New Roman" w:hAnsi="Times New Roman" w:cs="Times New Roman" w:hint="eastAsia"/>
        </w:rPr>
        <w:t>1</w:t>
      </w:r>
      <w:r w:rsidR="00AC3BCC">
        <w:rPr>
          <w:rFonts w:ascii="Times New Roman" w:hAnsi="Times New Roman" w:cs="Times New Roman" w:hint="eastAsia"/>
        </w:rPr>
        <w:t>1</w:t>
      </w:r>
      <w:r w:rsidR="00AC3BCC" w:rsidRPr="00C3146C">
        <w:rPr>
          <w:rFonts w:ascii="Times New Roman" w:hAnsi="Times New Roman" w:cs="Times New Roman" w:hint="eastAsia"/>
        </w:rPr>
        <w:t>%</w:t>
      </w:r>
      <w:r w:rsidR="00AC3BCC">
        <w:rPr>
          <w:rFonts w:ascii="Times New Roman" w:hAnsi="Times New Roman" w:cs="Times New Roman" w:hint="eastAsia"/>
        </w:rPr>
        <w:t>、</w:t>
      </w:r>
      <w:r w:rsidR="00AC3BCC" w:rsidRPr="00C3146C">
        <w:rPr>
          <w:rFonts w:ascii="Times New Roman" w:hAnsi="Times New Roman" w:cs="Times New Roman" w:hint="eastAsia"/>
        </w:rPr>
        <w:t>私人医保支付比例为</w:t>
      </w:r>
      <w:r w:rsidR="00AC3BCC">
        <w:rPr>
          <w:rFonts w:ascii="Times New Roman" w:hAnsi="Times New Roman" w:cs="Times New Roman" w:hint="eastAsia"/>
        </w:rPr>
        <w:t>31</w:t>
      </w:r>
      <w:r w:rsidR="00AC3BCC" w:rsidRPr="00C3146C">
        <w:rPr>
          <w:rFonts w:ascii="Times New Roman" w:hAnsi="Times New Roman" w:cs="Times New Roman" w:hint="eastAsia"/>
        </w:rPr>
        <w:t>%</w:t>
      </w:r>
      <w:r w:rsidR="00AC3BCC" w:rsidRPr="00C3146C">
        <w:rPr>
          <w:rFonts w:ascii="Times New Roman" w:hAnsi="Times New Roman" w:cs="Times New Roman" w:hint="eastAsia"/>
        </w:rPr>
        <w:t>、</w:t>
      </w:r>
      <w:r w:rsidR="00AC3BCC">
        <w:rPr>
          <w:rFonts w:ascii="Times New Roman" w:hAnsi="Times New Roman" w:cs="Times New Roman" w:hint="eastAsia"/>
        </w:rPr>
        <w:t>Medicare</w:t>
      </w:r>
      <w:r w:rsidR="00AC3BCC">
        <w:rPr>
          <w:rFonts w:ascii="Times New Roman" w:hAnsi="Times New Roman" w:cs="Times New Roman" w:hint="eastAsia"/>
        </w:rPr>
        <w:t>支付比例</w:t>
      </w:r>
      <w:r w:rsidR="00AC3BCC">
        <w:rPr>
          <w:rFonts w:ascii="Times New Roman" w:hAnsi="Times New Roman" w:cs="Times New Roman" w:hint="eastAsia"/>
        </w:rPr>
        <w:t>22%</w:t>
      </w:r>
      <w:r w:rsidR="00AC3BCC">
        <w:rPr>
          <w:rFonts w:ascii="Times New Roman" w:hAnsi="Times New Roman" w:cs="Times New Roman" w:hint="eastAsia"/>
        </w:rPr>
        <w:t>、</w:t>
      </w:r>
      <w:r w:rsidR="00AC3BCC">
        <w:rPr>
          <w:rFonts w:ascii="Times New Roman" w:hAnsi="Times New Roman" w:cs="Times New Roman" w:hint="eastAsia"/>
        </w:rPr>
        <w:t>Medicaid</w:t>
      </w:r>
      <w:r w:rsidR="00AC3BCC">
        <w:rPr>
          <w:rFonts w:ascii="Times New Roman" w:hAnsi="Times New Roman" w:cs="Times New Roman" w:hint="eastAsia"/>
        </w:rPr>
        <w:t>支付</w:t>
      </w:r>
      <w:r w:rsidR="00AC3BCC">
        <w:rPr>
          <w:rFonts w:ascii="Times New Roman" w:hAnsi="Times New Roman" w:cs="Times New Roman" w:hint="eastAsia"/>
        </w:rPr>
        <w:t>18%</w:t>
      </w:r>
      <w:r w:rsidR="00AC3BCC">
        <w:rPr>
          <w:rFonts w:ascii="Times New Roman" w:hAnsi="Times New Roman" w:cs="Times New Roman" w:hint="eastAsia"/>
        </w:rPr>
        <w:t>、第三方支付</w:t>
      </w:r>
      <w:r w:rsidR="00AC3BCC">
        <w:rPr>
          <w:rFonts w:ascii="Times New Roman" w:hAnsi="Times New Roman" w:cs="Times New Roman" w:hint="eastAsia"/>
        </w:rPr>
        <w:t>4%</w:t>
      </w:r>
      <w:r w:rsidR="00AC3BCC">
        <w:rPr>
          <w:rFonts w:ascii="Times New Roman" w:hAnsi="Times New Roman" w:cs="Times New Roman" w:hint="eastAsia"/>
        </w:rPr>
        <w:t>、公益医疗支付</w:t>
      </w:r>
      <w:r w:rsidR="00AC3BCC">
        <w:rPr>
          <w:rFonts w:ascii="Times New Roman" w:hAnsi="Times New Roman" w:cs="Times New Roman" w:hint="eastAsia"/>
        </w:rPr>
        <w:t>8%</w:t>
      </w:r>
      <w:r w:rsidR="00AC3BCC">
        <w:rPr>
          <w:rFonts w:ascii="Times New Roman" w:hAnsi="Times New Roman" w:cs="Times New Roman" w:hint="eastAsia"/>
        </w:rPr>
        <w:t>。</w:t>
      </w:r>
      <w:r w:rsidR="00791225" w:rsidRPr="00C3146C">
        <w:rPr>
          <w:rFonts w:ascii="Times New Roman" w:hAnsi="Times New Roman" w:cs="Times New Roman" w:hint="eastAsia"/>
        </w:rPr>
        <w:t>政府累计承担</w:t>
      </w:r>
      <w:r w:rsidR="00265FFC">
        <w:rPr>
          <w:rFonts w:ascii="Times New Roman" w:hAnsi="Times New Roman" w:cs="Times New Roman" w:hint="eastAsia"/>
        </w:rPr>
        <w:t>2.06</w:t>
      </w:r>
      <w:r w:rsidR="00BE6597">
        <w:rPr>
          <w:rFonts w:ascii="Times New Roman" w:hAnsi="Times New Roman" w:cs="Times New Roman" w:hint="eastAsia"/>
        </w:rPr>
        <w:t>万亿美元、</w:t>
      </w:r>
      <w:r w:rsidR="00265FFC">
        <w:rPr>
          <w:rFonts w:ascii="Times New Roman" w:hAnsi="Times New Roman" w:cs="Times New Roman" w:hint="eastAsia"/>
        </w:rPr>
        <w:t>占</w:t>
      </w:r>
      <w:r w:rsidR="00BE6597">
        <w:rPr>
          <w:rFonts w:ascii="Times New Roman" w:hAnsi="Times New Roman" w:cs="Times New Roman" w:hint="eastAsia"/>
        </w:rPr>
        <w:t>全部医疗费用的</w:t>
      </w:r>
      <w:r w:rsidR="00BE6597">
        <w:rPr>
          <w:rFonts w:ascii="Times New Roman" w:hAnsi="Times New Roman" w:cs="Times New Roman" w:hint="eastAsia"/>
        </w:rPr>
        <w:t>4</w:t>
      </w:r>
      <w:r w:rsidR="00265FFC">
        <w:rPr>
          <w:rFonts w:ascii="Times New Roman" w:hAnsi="Times New Roman" w:cs="Times New Roman" w:hint="eastAsia"/>
        </w:rPr>
        <w:t>5</w:t>
      </w:r>
      <w:r w:rsidR="00BE6597">
        <w:rPr>
          <w:rFonts w:ascii="Times New Roman" w:hAnsi="Times New Roman" w:cs="Times New Roman" w:hint="eastAsia"/>
        </w:rPr>
        <w:t>%</w:t>
      </w:r>
      <w:r w:rsidR="00BE6597">
        <w:rPr>
          <w:rFonts w:ascii="Times New Roman" w:hAnsi="Times New Roman" w:cs="Times New Roman" w:hint="eastAsia"/>
        </w:rPr>
        <w:t>，</w:t>
      </w:r>
      <w:r w:rsidR="008303F0" w:rsidRPr="00C3146C">
        <w:rPr>
          <w:rFonts w:ascii="Times New Roman" w:hAnsi="Times New Roman" w:cs="Times New Roman" w:hint="eastAsia"/>
        </w:rPr>
        <w:t>政府的医疗支出分别来自社保税里的</w:t>
      </w:r>
      <w:r w:rsidR="008303F0" w:rsidRPr="00C3146C">
        <w:rPr>
          <w:rFonts w:ascii="Times New Roman" w:hAnsi="Times New Roman" w:cs="Times New Roman" w:hint="eastAsia"/>
        </w:rPr>
        <w:t>Medicare</w:t>
      </w:r>
      <w:r w:rsidR="008303F0" w:rsidRPr="00C3146C">
        <w:rPr>
          <w:rFonts w:ascii="Times New Roman" w:hAnsi="Times New Roman" w:cs="Times New Roman" w:hint="eastAsia"/>
        </w:rPr>
        <w:t>税、居民缴纳的</w:t>
      </w:r>
      <w:r w:rsidR="008303F0" w:rsidRPr="00C3146C">
        <w:rPr>
          <w:rFonts w:ascii="Times New Roman" w:hAnsi="Times New Roman" w:cs="Times New Roman" w:hint="eastAsia"/>
        </w:rPr>
        <w:t>Medicare</w:t>
      </w:r>
      <w:r w:rsidR="008303F0" w:rsidRPr="00C3146C">
        <w:rPr>
          <w:rFonts w:ascii="Times New Roman" w:hAnsi="Times New Roman" w:cs="Times New Roman" w:hint="eastAsia"/>
        </w:rPr>
        <w:t>保费和政府转移支付，</w:t>
      </w:r>
      <w:r w:rsidR="00412B4A" w:rsidRPr="00C3146C">
        <w:rPr>
          <w:rFonts w:ascii="Times New Roman" w:hAnsi="Times New Roman" w:cs="Times New Roman" w:hint="eastAsia"/>
        </w:rPr>
        <w:t>2023</w:t>
      </w:r>
      <w:r w:rsidR="00412B4A" w:rsidRPr="00C3146C">
        <w:rPr>
          <w:rFonts w:ascii="Times New Roman" w:hAnsi="Times New Roman" w:cs="Times New Roman" w:hint="eastAsia"/>
        </w:rPr>
        <w:t>年</w:t>
      </w:r>
      <w:r w:rsidR="008303F0" w:rsidRPr="00C3146C">
        <w:rPr>
          <w:rFonts w:ascii="Times New Roman" w:hAnsi="Times New Roman" w:cs="Times New Roman" w:hint="eastAsia"/>
        </w:rPr>
        <w:t>三者的比例分别为</w:t>
      </w:r>
      <w:r w:rsidR="00BE6597">
        <w:rPr>
          <w:rFonts w:ascii="Times New Roman" w:hAnsi="Times New Roman" w:cs="Times New Roman" w:hint="eastAsia"/>
        </w:rPr>
        <w:t>22</w:t>
      </w:r>
      <w:r w:rsidR="00A30E38" w:rsidRPr="00C3146C">
        <w:rPr>
          <w:rFonts w:ascii="Times New Roman" w:hAnsi="Times New Roman" w:cs="Times New Roman" w:hint="eastAsia"/>
        </w:rPr>
        <w:t>%</w:t>
      </w:r>
      <w:r w:rsidR="00A30E38" w:rsidRPr="00C3146C">
        <w:rPr>
          <w:rFonts w:ascii="Times New Roman" w:hAnsi="Times New Roman" w:cs="Times New Roman" w:hint="eastAsia"/>
        </w:rPr>
        <w:t>、</w:t>
      </w:r>
      <w:r w:rsidR="00BE6597">
        <w:rPr>
          <w:rFonts w:ascii="Times New Roman" w:hAnsi="Times New Roman" w:cs="Times New Roman" w:hint="eastAsia"/>
        </w:rPr>
        <w:t>8</w:t>
      </w:r>
      <w:r w:rsidR="00A30E38" w:rsidRPr="00C3146C">
        <w:rPr>
          <w:rFonts w:ascii="Times New Roman" w:hAnsi="Times New Roman" w:cs="Times New Roman" w:hint="eastAsia"/>
        </w:rPr>
        <w:t>%</w:t>
      </w:r>
      <w:r w:rsidR="00A30E38" w:rsidRPr="00C3146C">
        <w:rPr>
          <w:rFonts w:ascii="Times New Roman" w:hAnsi="Times New Roman" w:cs="Times New Roman" w:hint="eastAsia"/>
        </w:rPr>
        <w:t>、</w:t>
      </w:r>
      <w:r w:rsidR="00A30E38" w:rsidRPr="00C3146C">
        <w:rPr>
          <w:rFonts w:ascii="Times New Roman" w:hAnsi="Times New Roman" w:cs="Times New Roman" w:hint="eastAsia"/>
        </w:rPr>
        <w:t>70%</w:t>
      </w:r>
      <w:r w:rsidR="00412B4A" w:rsidRPr="00C3146C">
        <w:rPr>
          <w:rFonts w:ascii="Times New Roman" w:hAnsi="Times New Roman" w:cs="Times New Roman" w:hint="eastAsia"/>
        </w:rPr>
        <w:t>，这意味着美</w:t>
      </w:r>
      <w:r w:rsidR="00412B4A" w:rsidRPr="00C3146C">
        <w:rPr>
          <w:rFonts w:ascii="Times New Roman" w:hAnsi="Times New Roman" w:cs="Times New Roman" w:hint="eastAsia"/>
        </w:rPr>
        <w:lastRenderedPageBreak/>
        <w:t>国政府需要从医保体系之外筹集</w:t>
      </w:r>
      <w:r w:rsidR="00DA4EA0" w:rsidRPr="00C3146C">
        <w:rPr>
          <w:rFonts w:ascii="Times New Roman" w:hAnsi="Times New Roman" w:cs="Times New Roman" w:hint="eastAsia"/>
        </w:rPr>
        <w:t>至少</w:t>
      </w:r>
      <w:r w:rsidR="00412B4A" w:rsidRPr="00265FFC">
        <w:rPr>
          <w:rFonts w:ascii="Times New Roman" w:hAnsi="Times New Roman" w:cs="Times New Roman"/>
        </w:rPr>
        <w:t>1</w:t>
      </w:r>
      <w:r w:rsidR="00DA4EA0" w:rsidRPr="00265FFC">
        <w:rPr>
          <w:rFonts w:ascii="Times New Roman" w:hAnsi="Times New Roman" w:cs="Times New Roman" w:hint="eastAsia"/>
        </w:rPr>
        <w:t>万</w:t>
      </w:r>
      <w:r w:rsidR="00412B4A" w:rsidRPr="00265FFC">
        <w:rPr>
          <w:rFonts w:ascii="Times New Roman" w:hAnsi="Times New Roman" w:cs="Times New Roman" w:hint="eastAsia"/>
        </w:rPr>
        <w:t>亿美元</w:t>
      </w:r>
      <w:r w:rsidR="00556459" w:rsidRPr="00C3146C">
        <w:rPr>
          <w:rStyle w:val="a5"/>
          <w:rFonts w:ascii="Times New Roman" w:hAnsi="Times New Roman" w:cs="Times New Roman"/>
        </w:rPr>
        <w:footnoteReference w:id="20"/>
      </w:r>
      <w:r w:rsidR="00412B4A" w:rsidRPr="00C3146C">
        <w:rPr>
          <w:rFonts w:ascii="Times New Roman" w:hAnsi="Times New Roman" w:cs="Times New Roman" w:hint="eastAsia"/>
        </w:rPr>
        <w:t>。随着美国老龄人口的增加和</w:t>
      </w:r>
      <w:r w:rsidR="00F92858">
        <w:rPr>
          <w:rFonts w:ascii="Times New Roman" w:hAnsi="Times New Roman" w:cs="Times New Roman" w:hint="eastAsia"/>
        </w:rPr>
        <w:t>“</w:t>
      </w:r>
      <w:r w:rsidR="00F92858" w:rsidRPr="00174674">
        <w:rPr>
          <w:rFonts w:ascii="Times New Roman" w:hAnsi="Times New Roman" w:cs="Times New Roman"/>
        </w:rPr>
        <w:t>患者保护与平价医疗法案</w:t>
      </w:r>
      <w:r w:rsidR="00F92858">
        <w:rPr>
          <w:rFonts w:ascii="Times New Roman" w:hAnsi="Times New Roman" w:cs="Times New Roman" w:hint="eastAsia"/>
        </w:rPr>
        <w:t>”（</w:t>
      </w:r>
      <w:r w:rsidR="00412B4A" w:rsidRPr="00C3146C">
        <w:rPr>
          <w:rFonts w:ascii="Times New Roman" w:hAnsi="Times New Roman" w:cs="Times New Roman" w:hint="eastAsia"/>
        </w:rPr>
        <w:t>ACA</w:t>
      </w:r>
      <w:r w:rsidR="00412B4A" w:rsidRPr="00C3146C">
        <w:rPr>
          <w:rFonts w:ascii="Times New Roman" w:hAnsi="Times New Roman" w:cs="Times New Roman" w:hint="eastAsia"/>
        </w:rPr>
        <w:t>法案</w:t>
      </w:r>
      <w:r w:rsidR="00F92858">
        <w:rPr>
          <w:rFonts w:ascii="Times New Roman" w:hAnsi="Times New Roman" w:cs="Times New Roman" w:hint="eastAsia"/>
        </w:rPr>
        <w:t>）</w:t>
      </w:r>
      <w:r w:rsidR="00793A35" w:rsidRPr="00C3146C">
        <w:rPr>
          <w:rStyle w:val="a5"/>
          <w:rFonts w:ascii="Times New Roman" w:hAnsi="Times New Roman" w:cs="Times New Roman"/>
        </w:rPr>
        <w:footnoteReference w:id="21"/>
      </w:r>
      <w:r w:rsidR="00F92858">
        <w:rPr>
          <w:rFonts w:ascii="Times New Roman" w:hAnsi="Times New Roman" w:cs="Times New Roman" w:hint="eastAsia"/>
        </w:rPr>
        <w:t>的</w:t>
      </w:r>
      <w:r w:rsidR="00412B4A" w:rsidRPr="00C3146C">
        <w:rPr>
          <w:rFonts w:ascii="Times New Roman" w:hAnsi="Times New Roman" w:cs="Times New Roman" w:hint="eastAsia"/>
        </w:rPr>
        <w:t>实施</w:t>
      </w:r>
      <w:r w:rsidR="00F92858">
        <w:rPr>
          <w:rFonts w:ascii="Times New Roman" w:hAnsi="Times New Roman" w:cs="Times New Roman" w:hint="eastAsia"/>
        </w:rPr>
        <w:t>，</w:t>
      </w:r>
      <w:r w:rsidR="00412B4A" w:rsidRPr="00C3146C">
        <w:rPr>
          <w:rFonts w:ascii="Times New Roman" w:hAnsi="Times New Roman" w:cs="Times New Roman" w:hint="eastAsia"/>
        </w:rPr>
        <w:t>Medicaid</w:t>
      </w:r>
      <w:r w:rsidR="00412B4A" w:rsidRPr="00C3146C">
        <w:rPr>
          <w:rFonts w:ascii="Times New Roman" w:hAnsi="Times New Roman" w:cs="Times New Roman" w:hint="eastAsia"/>
        </w:rPr>
        <w:t>注册人口</w:t>
      </w:r>
      <w:r w:rsidR="00F92858">
        <w:rPr>
          <w:rFonts w:ascii="Times New Roman" w:hAnsi="Times New Roman" w:cs="Times New Roman" w:hint="eastAsia"/>
        </w:rPr>
        <w:t>持续</w:t>
      </w:r>
      <w:r w:rsidR="00412B4A" w:rsidRPr="00C3146C">
        <w:rPr>
          <w:rFonts w:ascii="Times New Roman" w:hAnsi="Times New Roman" w:cs="Times New Roman" w:hint="eastAsia"/>
        </w:rPr>
        <w:t>增加，美国政府需要筹集的医保转移支付资金规模会更加庞大。</w:t>
      </w:r>
      <w:r w:rsidR="0094007D" w:rsidRPr="00C3146C">
        <w:rPr>
          <w:rFonts w:ascii="Times New Roman" w:hAnsi="Times New Roman" w:cs="Times New Roman" w:hint="eastAsia"/>
        </w:rPr>
        <w:t>如果美国的收入分配恶化或经济衰退导致低收入群体比例显著增加，美国政府</w:t>
      </w:r>
      <w:r w:rsidR="00DA4EA0" w:rsidRPr="00C3146C">
        <w:rPr>
          <w:rFonts w:ascii="Times New Roman" w:hAnsi="Times New Roman" w:cs="Times New Roman" w:hint="eastAsia"/>
        </w:rPr>
        <w:t>未来</w:t>
      </w:r>
      <w:r w:rsidR="0094007D" w:rsidRPr="00C3146C">
        <w:rPr>
          <w:rFonts w:ascii="Times New Roman" w:hAnsi="Times New Roman" w:cs="Times New Roman" w:hint="eastAsia"/>
        </w:rPr>
        <w:t>用于</w:t>
      </w:r>
      <w:r w:rsidR="0094007D" w:rsidRPr="00C3146C">
        <w:rPr>
          <w:rFonts w:ascii="Times New Roman" w:hAnsi="Times New Roman" w:cs="Times New Roman" w:hint="eastAsia"/>
        </w:rPr>
        <w:t>Medicaid</w:t>
      </w:r>
      <w:r w:rsidR="0094007D" w:rsidRPr="00C3146C">
        <w:rPr>
          <w:rFonts w:ascii="Times New Roman" w:hAnsi="Times New Roman" w:cs="Times New Roman" w:hint="eastAsia"/>
        </w:rPr>
        <w:t>的支出会激增。</w:t>
      </w:r>
      <w:r w:rsidR="00071025" w:rsidRPr="00C3146C">
        <w:rPr>
          <w:rFonts w:ascii="Times New Roman" w:hAnsi="Times New Roman" w:cs="Times New Roman" w:hint="eastAsia"/>
        </w:rPr>
        <w:t>政府这部分支出体现在表内的仅有两部分：居民在医疗保险支出</w:t>
      </w:r>
      <w:r w:rsidR="00071025" w:rsidRPr="00C3146C">
        <w:rPr>
          <w:rFonts w:ascii="Times New Roman" w:hAnsi="Times New Roman" w:cs="Times New Roman" w:hint="eastAsia"/>
        </w:rPr>
        <w:t>1500</w:t>
      </w:r>
      <w:r w:rsidR="00071025" w:rsidRPr="00C3146C">
        <w:rPr>
          <w:rFonts w:ascii="Times New Roman" w:hAnsi="Times New Roman" w:cs="Times New Roman" w:hint="eastAsia"/>
        </w:rPr>
        <w:t>亿美元的</w:t>
      </w:r>
      <w:r w:rsidR="00071025" w:rsidRPr="00C3146C">
        <w:rPr>
          <w:rFonts w:ascii="Times New Roman" w:hAnsi="Times New Roman" w:cs="Times New Roman" w:hint="eastAsia"/>
        </w:rPr>
        <w:t>Part B</w:t>
      </w:r>
      <w:r w:rsidR="00071025" w:rsidRPr="00C3146C">
        <w:rPr>
          <w:rFonts w:ascii="Times New Roman" w:hAnsi="Times New Roman" w:cs="Times New Roman" w:hint="eastAsia"/>
        </w:rPr>
        <w:t>保费、收入法下雇主和雇员共同支付的</w:t>
      </w:r>
      <w:r w:rsidR="00660C12">
        <w:rPr>
          <w:rFonts w:ascii="Times New Roman" w:hAnsi="Times New Roman" w:cs="Times New Roman" w:hint="eastAsia"/>
        </w:rPr>
        <w:t>3672</w:t>
      </w:r>
      <w:r w:rsidR="00071025" w:rsidRPr="00C3146C">
        <w:rPr>
          <w:rFonts w:ascii="Times New Roman" w:hAnsi="Times New Roman" w:cs="Times New Roman" w:hint="eastAsia"/>
        </w:rPr>
        <w:t>亿美元的</w:t>
      </w:r>
      <w:r w:rsidR="00071025" w:rsidRPr="00C3146C">
        <w:rPr>
          <w:rFonts w:ascii="Times New Roman" w:hAnsi="Times New Roman" w:cs="Times New Roman" w:hint="eastAsia"/>
        </w:rPr>
        <w:t>Medicare</w:t>
      </w:r>
      <w:r w:rsidR="00071025" w:rsidRPr="00C3146C">
        <w:rPr>
          <w:rFonts w:ascii="Times New Roman" w:hAnsi="Times New Roman" w:cs="Times New Roman" w:hint="eastAsia"/>
        </w:rPr>
        <w:t>税。</w:t>
      </w:r>
      <w:r w:rsidR="002977F1">
        <w:rPr>
          <w:rFonts w:ascii="Times New Roman" w:hAnsi="Times New Roman" w:cs="Times New Roman" w:hint="eastAsia"/>
        </w:rPr>
        <w:t>政府承担与个人自付的</w:t>
      </w:r>
      <w:r w:rsidR="00352571" w:rsidRPr="00C3146C">
        <w:rPr>
          <w:rFonts w:ascii="Times New Roman" w:hAnsi="Times New Roman" w:cs="Times New Roman" w:hint="eastAsia"/>
        </w:rPr>
        <w:t>缺口部分只能从政府</w:t>
      </w:r>
      <w:r w:rsidR="00DA4EA0" w:rsidRPr="00C3146C">
        <w:rPr>
          <w:rFonts w:ascii="Times New Roman" w:hAnsi="Times New Roman" w:cs="Times New Roman" w:hint="eastAsia"/>
        </w:rPr>
        <w:t>财产税等表外</w:t>
      </w:r>
      <w:r w:rsidR="00352571" w:rsidRPr="00C3146C">
        <w:rPr>
          <w:rFonts w:ascii="Times New Roman" w:hAnsi="Times New Roman" w:cs="Times New Roman" w:hint="eastAsia"/>
        </w:rPr>
        <w:t>收入科目中腾挪。</w:t>
      </w:r>
    </w:p>
    <w:p w14:paraId="2CEDA96F" w14:textId="6A415AF8" w:rsidR="00E86FFB" w:rsidRPr="00C3146C" w:rsidRDefault="004D5C00" w:rsidP="005462C3">
      <w:pPr>
        <w:spacing w:line="360" w:lineRule="auto"/>
        <w:ind w:firstLine="480"/>
        <w:rPr>
          <w:rFonts w:ascii="Times New Roman" w:hAnsi="Times New Roman" w:cs="Times New Roman"/>
        </w:rPr>
      </w:pPr>
      <w:r w:rsidRPr="00C3146C">
        <w:rPr>
          <w:rFonts w:ascii="Times New Roman" w:hAnsi="Times New Roman" w:cs="Times New Roman" w:hint="eastAsia"/>
        </w:rPr>
        <w:t>在老龄化人口和预期寿命的提升、松散的医疗体系和医疗体系的市场化改革等因素共同作用</w:t>
      </w:r>
      <w:r w:rsidR="00F92858">
        <w:rPr>
          <w:rFonts w:ascii="Times New Roman" w:hAnsi="Times New Roman" w:cs="Times New Roman" w:hint="eastAsia"/>
        </w:rPr>
        <w:t>下</w:t>
      </w:r>
      <w:r w:rsidRPr="00C3146C">
        <w:rPr>
          <w:rFonts w:ascii="Times New Roman" w:hAnsi="Times New Roman" w:cs="Times New Roman" w:hint="eastAsia"/>
        </w:rPr>
        <w:t>，医疗体系快速地成为美国经济增长的第一动力，这是我们在国民经济账户</w:t>
      </w:r>
      <w:r w:rsidR="006A0148">
        <w:rPr>
          <w:rFonts w:ascii="Times New Roman" w:hAnsi="Times New Roman" w:cs="Times New Roman" w:hint="eastAsia"/>
        </w:rPr>
        <w:t>体系</w:t>
      </w:r>
      <w:r w:rsidRPr="00C3146C">
        <w:rPr>
          <w:rFonts w:ascii="Times New Roman" w:hAnsi="Times New Roman" w:cs="Times New Roman" w:hint="eastAsia"/>
        </w:rPr>
        <w:t>支出表中看到的结果。这种局面的动力源是由政府承担的庞大收支缺口，填补这个缺口的资金来自表外，即政府的转移支付体系。</w:t>
      </w:r>
    </w:p>
    <w:p w14:paraId="7BCAF54D" w14:textId="13ED3297" w:rsidR="005462C3" w:rsidRPr="00C3146C" w:rsidRDefault="00E86FFB" w:rsidP="005462C3">
      <w:pPr>
        <w:spacing w:line="360" w:lineRule="auto"/>
        <w:ind w:firstLine="480"/>
        <w:rPr>
          <w:rFonts w:ascii="Times New Roman" w:hAnsi="Times New Roman" w:cs="Times New Roman"/>
        </w:rPr>
      </w:pPr>
      <w:r w:rsidRPr="00C3146C">
        <w:rPr>
          <w:rFonts w:ascii="Times New Roman" w:hAnsi="Times New Roman" w:cs="Times New Roman" w:hint="eastAsia"/>
        </w:rPr>
        <w:t>美国政府以一己之力扛起了填补医疗体系“窟窿”的大旗，但它的收支体系却在历届政府拉锯式的减税法案中捉襟见肘，联邦政府连存量债务的利息都需要通过</w:t>
      </w:r>
      <w:r w:rsidR="00F92858">
        <w:rPr>
          <w:rFonts w:ascii="Times New Roman" w:hAnsi="Times New Roman" w:cs="Times New Roman" w:hint="eastAsia"/>
        </w:rPr>
        <w:t>“</w:t>
      </w:r>
      <w:r w:rsidRPr="00C3146C">
        <w:rPr>
          <w:rFonts w:ascii="Times New Roman" w:hAnsi="Times New Roman" w:cs="Times New Roman" w:hint="eastAsia"/>
        </w:rPr>
        <w:t>借新还旧</w:t>
      </w:r>
      <w:r w:rsidR="00F92858">
        <w:rPr>
          <w:rFonts w:ascii="Times New Roman" w:hAnsi="Times New Roman" w:cs="Times New Roman" w:hint="eastAsia"/>
        </w:rPr>
        <w:t>”的方式</w:t>
      </w:r>
      <w:r w:rsidRPr="00C3146C">
        <w:rPr>
          <w:rFonts w:ascii="Times New Roman" w:hAnsi="Times New Roman" w:cs="Times New Roman" w:hint="eastAsia"/>
        </w:rPr>
        <w:t>支付。</w:t>
      </w:r>
      <w:r w:rsidR="00F92858">
        <w:rPr>
          <w:rFonts w:ascii="Times New Roman" w:hAnsi="Times New Roman" w:cs="Times New Roman" w:hint="eastAsia"/>
        </w:rPr>
        <w:t>在</w:t>
      </w:r>
      <w:r w:rsidRPr="00C3146C">
        <w:rPr>
          <w:rFonts w:ascii="Times New Roman" w:hAnsi="Times New Roman" w:cs="Times New Roman" w:hint="eastAsia"/>
        </w:rPr>
        <w:t>这种境地之下，美国医疗体系日趋扩大的收支缺口</w:t>
      </w:r>
      <w:r w:rsidR="008A2340" w:rsidRPr="00C3146C">
        <w:rPr>
          <w:rFonts w:ascii="Times New Roman" w:hAnsi="Times New Roman" w:cs="Times New Roman" w:hint="eastAsia"/>
        </w:rPr>
        <w:t>似乎</w:t>
      </w:r>
      <w:r w:rsidRPr="00C3146C">
        <w:rPr>
          <w:rFonts w:ascii="Times New Roman" w:hAnsi="Times New Roman" w:cs="Times New Roman" w:hint="eastAsia"/>
        </w:rPr>
        <w:t>只能</w:t>
      </w:r>
      <w:r w:rsidR="008A2340" w:rsidRPr="00C3146C">
        <w:rPr>
          <w:rFonts w:ascii="Times New Roman" w:hAnsi="Times New Roman" w:cs="Times New Roman" w:hint="eastAsia"/>
        </w:rPr>
        <w:t>依赖</w:t>
      </w:r>
      <w:r w:rsidR="005E01D8" w:rsidRPr="00C3146C">
        <w:rPr>
          <w:rFonts w:ascii="Times New Roman" w:hAnsi="Times New Roman" w:cs="Times New Roman" w:hint="eastAsia"/>
        </w:rPr>
        <w:t>发行</w:t>
      </w:r>
      <w:r w:rsidRPr="00C3146C">
        <w:rPr>
          <w:rFonts w:ascii="Times New Roman" w:hAnsi="Times New Roman" w:cs="Times New Roman" w:hint="eastAsia"/>
        </w:rPr>
        <w:t>债务解决了。</w:t>
      </w:r>
      <w:r w:rsidR="007B655D" w:rsidRPr="00C3146C">
        <w:rPr>
          <w:rFonts w:ascii="Times New Roman" w:hAnsi="Times New Roman" w:cs="Times New Roman" w:hint="eastAsia"/>
        </w:rPr>
        <w:t>这是美国医疗收支缺口扩张表外化的直接结果，也是美国无法解决的“制度之殇”。</w:t>
      </w:r>
    </w:p>
    <w:p w14:paraId="7E6EA948" w14:textId="77777777" w:rsidR="005462C3" w:rsidRDefault="005462C3" w:rsidP="005462C3">
      <w:pPr>
        <w:spacing w:line="360" w:lineRule="auto"/>
        <w:ind w:firstLine="480"/>
        <w:rPr>
          <w:rFonts w:ascii="Times New Roman" w:hAnsi="Times New Roman" w:cs="Times New Roman"/>
        </w:rPr>
      </w:pPr>
    </w:p>
    <w:p w14:paraId="63D8D62A" w14:textId="7CB639EB" w:rsidR="00243C21" w:rsidRPr="00C3146C" w:rsidRDefault="00DB7C10" w:rsidP="007762FF">
      <w:pPr>
        <w:spacing w:line="360" w:lineRule="auto"/>
        <w:rPr>
          <w:rFonts w:ascii="Times New Roman" w:hAnsi="Times New Roman" w:cs="Times New Roman"/>
          <w:b/>
          <w:bCs/>
        </w:rPr>
      </w:pPr>
      <w:r w:rsidRPr="00C3146C">
        <w:rPr>
          <w:rFonts w:ascii="Times New Roman" w:hAnsi="Times New Roman" w:cs="Times New Roman" w:hint="eastAsia"/>
          <w:b/>
          <w:bCs/>
        </w:rPr>
        <w:t>（二）</w:t>
      </w:r>
      <w:r w:rsidR="00573E59" w:rsidRPr="00C3146C">
        <w:rPr>
          <w:rFonts w:ascii="Times New Roman" w:hAnsi="Times New Roman" w:cs="Times New Roman" w:hint="eastAsia"/>
          <w:b/>
          <w:bCs/>
        </w:rPr>
        <w:t>增长路径二：</w:t>
      </w:r>
      <w:r w:rsidR="00BD58C1" w:rsidRPr="00C3146C">
        <w:rPr>
          <w:rFonts w:ascii="Times New Roman" w:hAnsi="Times New Roman" w:cs="Times New Roman" w:hint="eastAsia"/>
          <w:b/>
          <w:bCs/>
        </w:rPr>
        <w:t>表外收入与</w:t>
      </w:r>
      <w:r w:rsidR="00754402" w:rsidRPr="00C3146C">
        <w:rPr>
          <w:rFonts w:ascii="Times New Roman" w:hAnsi="Times New Roman" w:cs="Times New Roman" w:hint="eastAsia"/>
          <w:b/>
          <w:bCs/>
        </w:rPr>
        <w:t>家庭</w:t>
      </w:r>
      <w:r w:rsidR="007A679A" w:rsidRPr="00C3146C">
        <w:rPr>
          <w:rFonts w:ascii="Times New Roman" w:hAnsi="Times New Roman" w:cs="Times New Roman" w:hint="eastAsia"/>
          <w:b/>
          <w:bCs/>
        </w:rPr>
        <w:t>支出扩张</w:t>
      </w:r>
    </w:p>
    <w:p w14:paraId="554394A6" w14:textId="242DD33D" w:rsidR="00CF7C31" w:rsidRDefault="006D38D1" w:rsidP="00CF7C31">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在美国家庭收支中，</w:t>
      </w:r>
      <w:r w:rsidRPr="00C3146C">
        <w:rPr>
          <w:rFonts w:ascii="Times New Roman" w:hAnsi="Times New Roman" w:cs="Times New Roman" w:hint="eastAsia"/>
        </w:rPr>
        <w:t>65</w:t>
      </w:r>
      <w:r w:rsidRPr="00C3146C">
        <w:rPr>
          <w:rFonts w:ascii="Times New Roman" w:hAnsi="Times New Roman" w:cs="Times New Roman" w:hint="eastAsia"/>
        </w:rPr>
        <w:t>岁以上</w:t>
      </w:r>
      <w:r w:rsidR="009E6862">
        <w:rPr>
          <w:rFonts w:ascii="Times New Roman" w:hAnsi="Times New Roman" w:cs="Times New Roman" w:hint="eastAsia"/>
        </w:rPr>
        <w:t>退休</w:t>
      </w:r>
      <w:r w:rsidRPr="00C3146C">
        <w:rPr>
          <w:rFonts w:ascii="Times New Roman" w:hAnsi="Times New Roman" w:cs="Times New Roman" w:hint="eastAsia"/>
        </w:rPr>
        <w:t>人口的医疗开支主要由政府承担</w:t>
      </w:r>
      <w:r w:rsidR="00FC45A1">
        <w:rPr>
          <w:rFonts w:ascii="Times New Roman" w:hAnsi="Times New Roman" w:cs="Times New Roman" w:hint="eastAsia"/>
        </w:rPr>
        <w:t>，</w:t>
      </w:r>
      <w:r w:rsidRPr="00C3146C">
        <w:rPr>
          <w:rFonts w:ascii="Times New Roman" w:hAnsi="Times New Roman" w:cs="Times New Roman" w:hint="eastAsia"/>
        </w:rPr>
        <w:t>65</w:t>
      </w:r>
      <w:r w:rsidRPr="00C3146C">
        <w:rPr>
          <w:rFonts w:ascii="Times New Roman" w:hAnsi="Times New Roman" w:cs="Times New Roman" w:hint="eastAsia"/>
        </w:rPr>
        <w:t>岁以下工作人口由雇主医疗</w:t>
      </w:r>
      <w:r w:rsidR="00FC45A1">
        <w:rPr>
          <w:rFonts w:ascii="Times New Roman" w:hAnsi="Times New Roman" w:cs="Times New Roman" w:hint="eastAsia"/>
        </w:rPr>
        <w:t>险</w:t>
      </w:r>
      <w:r w:rsidRPr="00C3146C">
        <w:rPr>
          <w:rFonts w:ascii="Times New Roman" w:hAnsi="Times New Roman" w:cs="Times New Roman" w:hint="eastAsia"/>
        </w:rPr>
        <w:t>和家庭医保承担，有稳定工作的家庭真正用于医疗</w:t>
      </w:r>
      <w:r w:rsidRPr="00C3146C">
        <w:rPr>
          <w:rFonts w:ascii="Times New Roman" w:hAnsi="Times New Roman" w:cs="Times New Roman" w:hint="eastAsia"/>
        </w:rPr>
        <w:lastRenderedPageBreak/>
        <w:t>支出的货币化支出约</w:t>
      </w:r>
      <w:r w:rsidR="00A21A85" w:rsidRPr="00C3146C">
        <w:rPr>
          <w:rFonts w:ascii="Times New Roman" w:hAnsi="Times New Roman" w:cs="Times New Roman" w:hint="eastAsia"/>
        </w:rPr>
        <w:t>1.3</w:t>
      </w:r>
      <w:r w:rsidR="00A21A85" w:rsidRPr="00C3146C">
        <w:rPr>
          <w:rFonts w:ascii="Times New Roman" w:hAnsi="Times New Roman" w:cs="Times New Roman" w:hint="eastAsia"/>
        </w:rPr>
        <w:t>万亿美元</w:t>
      </w:r>
      <w:r w:rsidR="00FC45A1">
        <w:rPr>
          <w:rFonts w:ascii="Times New Roman" w:hAnsi="Times New Roman" w:cs="Times New Roman" w:hint="eastAsia"/>
        </w:rPr>
        <w:t>，</w:t>
      </w:r>
      <w:r w:rsidR="00A21A85" w:rsidRPr="00C3146C">
        <w:rPr>
          <w:rStyle w:val="a5"/>
          <w:rFonts w:ascii="Times New Roman" w:hAnsi="Times New Roman" w:cs="Times New Roman"/>
        </w:rPr>
        <w:footnoteReference w:id="22"/>
      </w:r>
      <w:r w:rsidR="00A21A85" w:rsidRPr="00C3146C">
        <w:rPr>
          <w:rFonts w:ascii="Times New Roman" w:hAnsi="Times New Roman" w:cs="Times New Roman" w:hint="eastAsia"/>
        </w:rPr>
        <w:t>占家庭支出的比例与</w:t>
      </w:r>
      <w:r w:rsidR="000A7158" w:rsidRPr="00C3146C">
        <w:rPr>
          <w:rFonts w:ascii="Times New Roman" w:hAnsi="Times New Roman" w:cs="Times New Roman" w:hint="eastAsia"/>
        </w:rPr>
        <w:t>支出表中的</w:t>
      </w:r>
      <w:r w:rsidR="00A21A85" w:rsidRPr="00C3146C">
        <w:rPr>
          <w:rFonts w:ascii="Times New Roman" w:hAnsi="Times New Roman" w:cs="Times New Roman" w:hint="eastAsia"/>
        </w:rPr>
        <w:t>金融服务支出相当。</w:t>
      </w:r>
      <w:r w:rsidR="004A19C0" w:rsidRPr="00C3146C">
        <w:rPr>
          <w:rFonts w:ascii="Times New Roman" w:hAnsi="Times New Roman" w:cs="Times New Roman" w:hint="eastAsia"/>
        </w:rPr>
        <w:t>从美国三类家庭的收支数据看，资产性收入是美国绝大多数家庭保持收支平衡的重要调节器，为获取这部分收入，他们在金融服务方面的支出贡献了</w:t>
      </w:r>
      <w:r w:rsidR="00FC45A1">
        <w:rPr>
          <w:rFonts w:ascii="Times New Roman" w:hAnsi="Times New Roman" w:cs="Times New Roman" w:hint="eastAsia"/>
        </w:rPr>
        <w:t>二</w:t>
      </w:r>
      <w:r w:rsidR="004A19C0" w:rsidRPr="00C3146C">
        <w:rPr>
          <w:rFonts w:ascii="Times New Roman" w:hAnsi="Times New Roman" w:cs="Times New Roman" w:hint="eastAsia"/>
        </w:rPr>
        <w:t>战后美国</w:t>
      </w:r>
      <w:r w:rsidR="004A19C0" w:rsidRPr="00C3146C">
        <w:rPr>
          <w:rFonts w:ascii="Times New Roman" w:hAnsi="Times New Roman" w:cs="Times New Roman" w:hint="eastAsia"/>
        </w:rPr>
        <w:t>GDP</w:t>
      </w:r>
      <w:r w:rsidR="004A19C0" w:rsidRPr="00C3146C">
        <w:rPr>
          <w:rFonts w:ascii="Times New Roman" w:hAnsi="Times New Roman" w:cs="Times New Roman" w:hint="eastAsia"/>
        </w:rPr>
        <w:t>增长的另外一个增量。</w:t>
      </w:r>
    </w:p>
    <w:p w14:paraId="63F1B89B" w14:textId="57EBC90E" w:rsidR="00092010" w:rsidRPr="00C3146C" w:rsidRDefault="00FC45A1" w:rsidP="00CF7C31">
      <w:pPr>
        <w:spacing w:line="360" w:lineRule="auto"/>
        <w:ind w:firstLineChars="200" w:firstLine="480"/>
        <w:rPr>
          <w:rFonts w:ascii="Times New Roman" w:hAnsi="Times New Roman" w:cs="Times New Roman"/>
        </w:rPr>
      </w:pPr>
      <w:r w:rsidRPr="00C3146C">
        <w:rPr>
          <w:rFonts w:ascii="Times New Roman" w:hAnsi="Times New Roman" w:cs="Times New Roman" w:hint="eastAsia"/>
        </w:rPr>
        <w:t>现有核算口径中，资产性收入主要统计利息收入和分红收入，不包含家庭存量资产交易的投资收益。利息收入是绝大多数家庭资产性收入的主要来源，而这笔利息的支付人是美国交易所存量债券的发行人或存款性金融机构。随着家庭资产中债务工具</w:t>
      </w:r>
      <w:r>
        <w:rPr>
          <w:rFonts w:ascii="Times New Roman" w:hAnsi="Times New Roman" w:cs="Times New Roman" w:hint="eastAsia"/>
        </w:rPr>
        <w:t>（</w:t>
      </w:r>
      <w:r w:rsidRPr="005D16AE">
        <w:rPr>
          <w:rFonts w:ascii="Times New Roman" w:hAnsi="Times New Roman" w:cs="Times New Roman"/>
        </w:rPr>
        <w:t>包括国债、市政债、</w:t>
      </w:r>
      <w:r w:rsidRPr="005D16AE">
        <w:rPr>
          <w:rFonts w:ascii="Times New Roman" w:hAnsi="Times New Roman" w:cs="Times New Roman"/>
        </w:rPr>
        <w:t>MBS</w:t>
      </w:r>
      <w:r w:rsidRPr="005D16AE">
        <w:rPr>
          <w:rFonts w:ascii="Times New Roman" w:hAnsi="Times New Roman" w:cs="Times New Roman"/>
        </w:rPr>
        <w:t>、公司</w:t>
      </w:r>
      <w:r>
        <w:rPr>
          <w:rFonts w:ascii="Times New Roman" w:hAnsi="Times New Roman" w:cs="Times New Roman" w:hint="eastAsia"/>
        </w:rPr>
        <w:t>债</w:t>
      </w:r>
      <w:r w:rsidRPr="005D16AE">
        <w:rPr>
          <w:rFonts w:ascii="Times New Roman" w:hAnsi="Times New Roman" w:cs="Times New Roman"/>
        </w:rPr>
        <w:t>和外国债券、贷款等</w:t>
      </w:r>
      <w:r>
        <w:rPr>
          <w:rFonts w:ascii="Times New Roman" w:hAnsi="Times New Roman" w:cs="Times New Roman" w:hint="eastAsia"/>
        </w:rPr>
        <w:t>）</w:t>
      </w:r>
      <w:r w:rsidRPr="00C3146C">
        <w:rPr>
          <w:rFonts w:ascii="Times New Roman" w:hAnsi="Times New Roman" w:cs="Times New Roman" w:hint="eastAsia"/>
        </w:rPr>
        <w:t>、存款</w:t>
      </w:r>
      <w:r>
        <w:rPr>
          <w:rFonts w:ascii="Times New Roman" w:hAnsi="Times New Roman" w:cs="Times New Roman" w:hint="eastAsia"/>
        </w:rPr>
        <w:t>（</w:t>
      </w:r>
      <w:r w:rsidRPr="005739E3">
        <w:rPr>
          <w:rFonts w:hint="eastAsia"/>
        </w:rPr>
        <w:t>包括定期存款和货币共同市场基金份额</w:t>
      </w:r>
      <w:r>
        <w:rPr>
          <w:rFonts w:ascii="Times New Roman" w:hAnsi="Times New Roman" w:cs="Times New Roman" w:hint="eastAsia"/>
        </w:rPr>
        <w:t>）</w:t>
      </w:r>
      <w:r w:rsidRPr="00C3146C">
        <w:rPr>
          <w:rFonts w:ascii="Times New Roman" w:hAnsi="Times New Roman" w:cs="Times New Roman" w:hint="eastAsia"/>
        </w:rPr>
        <w:t>等固</w:t>
      </w:r>
      <w:r>
        <w:rPr>
          <w:rFonts w:ascii="Times New Roman" w:hAnsi="Times New Roman" w:cs="Times New Roman" w:hint="eastAsia"/>
        </w:rPr>
        <w:t>定</w:t>
      </w:r>
      <w:r w:rsidRPr="00C3146C">
        <w:rPr>
          <w:rFonts w:ascii="Times New Roman" w:hAnsi="Times New Roman" w:cs="Times New Roman" w:hint="eastAsia"/>
        </w:rPr>
        <w:t>收</w:t>
      </w:r>
      <w:r>
        <w:rPr>
          <w:rFonts w:ascii="Times New Roman" w:hAnsi="Times New Roman" w:cs="Times New Roman" w:hint="eastAsia"/>
        </w:rPr>
        <w:t>益</w:t>
      </w:r>
      <w:r w:rsidRPr="00C3146C">
        <w:rPr>
          <w:rFonts w:ascii="Times New Roman" w:hAnsi="Times New Roman" w:cs="Times New Roman" w:hint="eastAsia"/>
        </w:rPr>
        <w:t>类金融资产规模的增长，美国家庭从固</w:t>
      </w:r>
      <w:r>
        <w:rPr>
          <w:rFonts w:ascii="Times New Roman" w:hAnsi="Times New Roman" w:cs="Times New Roman" w:hint="eastAsia"/>
        </w:rPr>
        <w:t>定</w:t>
      </w:r>
      <w:r w:rsidRPr="00C3146C">
        <w:rPr>
          <w:rFonts w:ascii="Times New Roman" w:hAnsi="Times New Roman" w:cs="Times New Roman" w:hint="eastAsia"/>
        </w:rPr>
        <w:t>收</w:t>
      </w:r>
      <w:r>
        <w:rPr>
          <w:rFonts w:ascii="Times New Roman" w:hAnsi="Times New Roman" w:cs="Times New Roman" w:hint="eastAsia"/>
        </w:rPr>
        <w:t>益</w:t>
      </w:r>
      <w:r w:rsidRPr="00C3146C">
        <w:rPr>
          <w:rFonts w:ascii="Times New Roman" w:hAnsi="Times New Roman" w:cs="Times New Roman" w:hint="eastAsia"/>
        </w:rPr>
        <w:t>类金融工具获取的利息收入总量持续增加</w:t>
      </w:r>
      <w:r>
        <w:rPr>
          <w:rFonts w:ascii="Times New Roman" w:hAnsi="Times New Roman" w:cs="Times New Roman" w:hint="eastAsia"/>
        </w:rPr>
        <w:t>（见图</w:t>
      </w:r>
      <w:r>
        <w:rPr>
          <w:rFonts w:ascii="Times New Roman" w:hAnsi="Times New Roman" w:cs="Times New Roman" w:hint="eastAsia"/>
        </w:rPr>
        <w:t>6</w:t>
      </w:r>
      <w:r>
        <w:rPr>
          <w:rFonts w:ascii="Times New Roman" w:hAnsi="Times New Roman" w:cs="Times New Roman" w:hint="eastAsia"/>
        </w:rPr>
        <w:t>）</w:t>
      </w:r>
      <w:r w:rsidRPr="00C3146C">
        <w:rPr>
          <w:rFonts w:ascii="Times New Roman" w:hAnsi="Times New Roman" w:cs="Times New Roman" w:hint="eastAsia"/>
        </w:rPr>
        <w:t>，</w:t>
      </w:r>
      <w:r>
        <w:rPr>
          <w:rFonts w:ascii="Times New Roman" w:hAnsi="Times New Roman" w:cs="Times New Roman" w:hint="eastAsia"/>
        </w:rPr>
        <w:t>在</w:t>
      </w:r>
      <w:r w:rsidRPr="00C3146C">
        <w:rPr>
          <w:rFonts w:ascii="Times New Roman" w:hAnsi="Times New Roman" w:cs="Times New Roman" w:hint="eastAsia"/>
        </w:rPr>
        <w:t>2023</w:t>
      </w:r>
      <w:r w:rsidRPr="00C3146C">
        <w:rPr>
          <w:rFonts w:ascii="Times New Roman" w:hAnsi="Times New Roman" w:cs="Times New Roman" w:hint="eastAsia"/>
        </w:rPr>
        <w:t>年美国家庭资产配置中，定期存款和债务类金融资产的总市值为</w:t>
      </w:r>
      <w:r w:rsidRPr="00C3146C">
        <w:rPr>
          <w:rFonts w:ascii="Times New Roman" w:hAnsi="Times New Roman" w:cs="Times New Roman" w:hint="eastAsia"/>
        </w:rPr>
        <w:t>30</w:t>
      </w:r>
      <w:r w:rsidRPr="00C3146C">
        <w:rPr>
          <w:rFonts w:ascii="Times New Roman" w:hAnsi="Times New Roman" w:cs="Times New Roman" w:hint="eastAsia"/>
        </w:rPr>
        <w:t>万亿</w:t>
      </w:r>
      <w:r>
        <w:rPr>
          <w:rFonts w:ascii="Times New Roman" w:hAnsi="Times New Roman" w:cs="Times New Roman" w:hint="eastAsia"/>
        </w:rPr>
        <w:t>美元</w:t>
      </w:r>
      <w:r w:rsidR="00CC413C" w:rsidRPr="00A818F8">
        <w:rPr>
          <w:rFonts w:ascii="Times New Roman" w:hAnsi="Times New Roman" w:cs="Times New Roman" w:hint="eastAsia"/>
        </w:rPr>
        <w:t>、</w:t>
      </w:r>
      <w:r w:rsidRPr="00A818F8">
        <w:rPr>
          <w:rStyle w:val="a5"/>
          <w:rFonts w:ascii="Times New Roman" w:hAnsi="Times New Roman" w:cs="Times New Roman"/>
        </w:rPr>
        <w:footnoteReference w:id="23"/>
      </w:r>
      <w:r w:rsidRPr="00A818F8">
        <w:rPr>
          <w:rFonts w:ascii="Times New Roman" w:hAnsi="Times New Roman" w:cs="Times New Roman" w:hint="eastAsia"/>
        </w:rPr>
        <w:t>获得利</w:t>
      </w:r>
      <w:r w:rsidRPr="00C3146C">
        <w:rPr>
          <w:rFonts w:ascii="Times New Roman" w:hAnsi="Times New Roman" w:cs="Times New Roman" w:hint="eastAsia"/>
        </w:rPr>
        <w:t>息</w:t>
      </w:r>
      <w:r w:rsidRPr="00C3146C">
        <w:rPr>
          <w:rFonts w:ascii="Times New Roman" w:hAnsi="Times New Roman" w:cs="Times New Roman" w:hint="eastAsia"/>
        </w:rPr>
        <w:t>1.77</w:t>
      </w:r>
      <w:r w:rsidRPr="00C3146C">
        <w:rPr>
          <w:rFonts w:ascii="Times New Roman" w:hAnsi="Times New Roman" w:cs="Times New Roman" w:hint="eastAsia"/>
        </w:rPr>
        <w:t>万亿</w:t>
      </w:r>
      <w:r>
        <w:rPr>
          <w:rFonts w:ascii="Times New Roman" w:hAnsi="Times New Roman" w:cs="Times New Roman" w:hint="eastAsia"/>
        </w:rPr>
        <w:t>美元</w:t>
      </w:r>
      <w:r w:rsidRPr="00C3146C">
        <w:rPr>
          <w:rFonts w:ascii="Times New Roman" w:hAnsi="Times New Roman" w:cs="Times New Roman" w:hint="eastAsia"/>
        </w:rPr>
        <w:t>。</w:t>
      </w:r>
    </w:p>
    <w:p w14:paraId="6267F224" w14:textId="7541E03E" w:rsidR="00AF169C" w:rsidRPr="00C3146C" w:rsidRDefault="00AF169C" w:rsidP="00092010">
      <w:pPr>
        <w:spacing w:line="360" w:lineRule="auto"/>
        <w:ind w:firstLineChars="200" w:firstLine="480"/>
        <w:rPr>
          <w:rFonts w:ascii="Times New Roman" w:hAnsi="Times New Roman" w:cs="Times New Roman"/>
        </w:rPr>
      </w:pPr>
      <w:r w:rsidRPr="00C3146C">
        <w:rPr>
          <w:noProof/>
          <w14:ligatures w14:val="standardContextual"/>
        </w:rPr>
        <w:drawing>
          <wp:inline distT="0" distB="0" distL="0" distR="0" wp14:anchorId="7B44A601" wp14:editId="285FBBD5">
            <wp:extent cx="4572000" cy="2041451"/>
            <wp:effectExtent l="0" t="0" r="12700" b="16510"/>
            <wp:docPr id="1280536241" name="图表 1">
              <a:extLst xmlns:a="http://schemas.openxmlformats.org/drawingml/2006/main">
                <a:ext uri="{FF2B5EF4-FFF2-40B4-BE49-F238E27FC236}">
                  <a16:creationId xmlns:a16="http://schemas.microsoft.com/office/drawing/2014/main" id="{DE78F440-7E86-9FCB-61DE-189ED7B39A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3981F4D" w14:textId="77777777" w:rsidR="00092010" w:rsidRPr="00C3146C" w:rsidRDefault="00092010" w:rsidP="00092010">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6 </w:t>
      </w:r>
      <w:r w:rsidRPr="00C3146C">
        <w:rPr>
          <w:rFonts w:ascii="Times New Roman" w:hAnsi="Times New Roman" w:cs="Times New Roman" w:hint="eastAsia"/>
        </w:rPr>
        <w:t>战后美国家庭资产配置与资产性收入情况</w:t>
      </w:r>
    </w:p>
    <w:p w14:paraId="35FE57B7" w14:textId="48E0A8AC" w:rsidR="00794693" w:rsidRPr="003B58AD" w:rsidRDefault="00092010" w:rsidP="00092010">
      <w:pPr>
        <w:rPr>
          <w:rFonts w:ascii="Times New Roman" w:hAnsi="Times New Roman" w:cs="Times New Roman"/>
          <w:sz w:val="21"/>
          <w:szCs w:val="21"/>
        </w:rPr>
      </w:pPr>
      <w:r w:rsidRPr="003B58AD">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00FC45A1" w:rsidRPr="00BF1FE6">
        <w:rPr>
          <w:rFonts w:ascii="Times New Roman" w:hAnsi="Times New Roman" w:cs="Times New Roman"/>
          <w:sz w:val="21"/>
          <w:szCs w:val="21"/>
        </w:rPr>
        <w:t xml:space="preserve">, </w:t>
      </w:r>
      <w:r w:rsidR="00FC45A1" w:rsidRPr="007243ED">
        <w:rPr>
          <w:rFonts w:ascii="Times New Roman" w:hAnsi="Times New Roman" w:cs="Times New Roman"/>
          <w:sz w:val="21"/>
          <w:szCs w:val="21"/>
        </w:rPr>
        <w:t>"</w:t>
      </w:r>
      <w:r w:rsidR="00FC45A1" w:rsidRPr="007243ED">
        <w:rPr>
          <w:rFonts w:ascii="Times New Roman" w:hAnsi="Times New Roman" w:cs="Times New Roman"/>
          <w:iCs/>
          <w:sz w:val="21"/>
          <w:szCs w:val="21"/>
        </w:rPr>
        <w:t>Table 1.10. Gross Domestic Income by Type of Income"</w:t>
      </w:r>
      <w:r>
        <w:rPr>
          <w:rFonts w:ascii="Times New Roman" w:hAnsi="Times New Roman" w:cs="Times New Roman" w:hint="eastAsia"/>
          <w:sz w:val="21"/>
          <w:szCs w:val="21"/>
        </w:rPr>
        <w:t xml:space="preserve">; Federal Reserve </w:t>
      </w:r>
      <w:r w:rsidR="00FC45A1" w:rsidRPr="00BF1FE6">
        <w:rPr>
          <w:rFonts w:ascii="Times New Roman" w:hAnsi="Times New Roman" w:cs="Times New Roman"/>
          <w:sz w:val="21"/>
          <w:szCs w:val="21"/>
        </w:rPr>
        <w:t>Statistical</w:t>
      </w:r>
      <w:r w:rsidR="00FC45A1" w:rsidRPr="00BF1FE6">
        <w:rPr>
          <w:rFonts w:ascii="Times New Roman" w:hAnsi="Times New Roman" w:cs="Times New Roman" w:hint="eastAsia"/>
          <w:sz w:val="21"/>
          <w:szCs w:val="21"/>
        </w:rPr>
        <w:t xml:space="preserve"> Release, </w:t>
      </w:r>
      <w:r w:rsidR="00FC45A1" w:rsidRPr="007243ED">
        <w:rPr>
          <w:rFonts w:ascii="Times New Roman" w:hAnsi="Times New Roman" w:cs="Times New Roman"/>
          <w:sz w:val="21"/>
          <w:szCs w:val="21"/>
        </w:rPr>
        <w:t>"</w:t>
      </w:r>
      <w:r w:rsidR="00FC45A1" w:rsidRPr="007243ED">
        <w:rPr>
          <w:rFonts w:ascii="Times New Roman" w:hAnsi="Times New Roman" w:cs="Times New Roman" w:hint="eastAsia"/>
          <w:iCs/>
          <w:sz w:val="21"/>
          <w:szCs w:val="21"/>
        </w:rPr>
        <w:t xml:space="preserve">Z.1 Financial Accounts of United States: </w:t>
      </w:r>
      <w:r w:rsidR="00FC45A1" w:rsidRPr="007243ED">
        <w:rPr>
          <w:rFonts w:ascii="Times New Roman" w:hAnsi="Times New Roman" w:cs="Times New Roman"/>
          <w:iCs/>
          <w:sz w:val="21"/>
          <w:szCs w:val="21"/>
        </w:rPr>
        <w:t>Flow of F</w:t>
      </w:r>
      <w:r w:rsidR="00FC45A1" w:rsidRPr="00A818F8">
        <w:rPr>
          <w:rFonts w:ascii="Times New Roman" w:hAnsi="Times New Roman" w:cs="Times New Roman"/>
          <w:iCs/>
          <w:sz w:val="21"/>
          <w:szCs w:val="21"/>
        </w:rPr>
        <w:t>unds, Balance Sheets,</w:t>
      </w:r>
      <w:r w:rsidR="00FC45A1" w:rsidRPr="00A818F8">
        <w:rPr>
          <w:rFonts w:ascii="Times New Roman" w:hAnsi="Times New Roman" w:cs="Times New Roman" w:hint="eastAsia"/>
          <w:iCs/>
          <w:sz w:val="21"/>
          <w:szCs w:val="21"/>
        </w:rPr>
        <w:t xml:space="preserve"> </w:t>
      </w:r>
      <w:r w:rsidR="00FC45A1" w:rsidRPr="00A818F8">
        <w:rPr>
          <w:rFonts w:ascii="Times New Roman" w:hAnsi="Times New Roman" w:cs="Times New Roman"/>
          <w:iCs/>
          <w:sz w:val="21"/>
          <w:szCs w:val="21"/>
        </w:rPr>
        <w:t>and Integrated Macroeconomic Accounts</w:t>
      </w:r>
      <w:r w:rsidR="00FC45A1" w:rsidRPr="00A818F8">
        <w:rPr>
          <w:rFonts w:ascii="Times New Roman" w:hAnsi="Times New Roman" w:cs="Times New Roman" w:hint="eastAsia"/>
          <w:iCs/>
          <w:sz w:val="21"/>
          <w:szCs w:val="21"/>
        </w:rPr>
        <w:t xml:space="preserve"> </w:t>
      </w:r>
      <w:r w:rsidR="00FC45A1" w:rsidRPr="00A818F8">
        <w:rPr>
          <w:rFonts w:ascii="Times New Roman" w:hAnsi="Times New Roman" w:cs="Times New Roman"/>
          <w:iCs/>
          <w:sz w:val="21"/>
          <w:szCs w:val="21"/>
        </w:rPr>
        <w:t>Historical Annual Tables</w:t>
      </w:r>
      <w:r w:rsidR="00FC45A1" w:rsidRPr="00A818F8">
        <w:rPr>
          <w:rFonts w:ascii="Times New Roman" w:hAnsi="Times New Roman" w:cs="Times New Roman"/>
          <w:sz w:val="21"/>
          <w:szCs w:val="21"/>
        </w:rPr>
        <w:t>"</w:t>
      </w:r>
      <w:r w:rsidR="00FC45A1" w:rsidRPr="00A818F8">
        <w:rPr>
          <w:rFonts w:ascii="Times New Roman" w:hAnsi="Times New Roman" w:cs="Times New Roman" w:hint="eastAsia"/>
          <w:sz w:val="21"/>
          <w:szCs w:val="21"/>
        </w:rPr>
        <w:t>；</w:t>
      </w:r>
      <w:r w:rsidRPr="00A818F8">
        <w:rPr>
          <w:rFonts w:ascii="Times New Roman" w:hAnsi="Times New Roman" w:cs="Times New Roman" w:hint="eastAsia"/>
          <w:sz w:val="21"/>
          <w:szCs w:val="21"/>
        </w:rPr>
        <w:t>资产配</w:t>
      </w:r>
      <w:r w:rsidR="00FC45A1" w:rsidRPr="00A818F8">
        <w:rPr>
          <w:rFonts w:ascii="Times New Roman" w:hAnsi="Times New Roman" w:cs="Times New Roman" w:hint="eastAsia"/>
          <w:sz w:val="21"/>
          <w:szCs w:val="21"/>
        </w:rPr>
        <w:t>置</w:t>
      </w:r>
      <w:r w:rsidRPr="00A818F8">
        <w:rPr>
          <w:rFonts w:ascii="Times New Roman" w:hAnsi="Times New Roman" w:cs="Times New Roman" w:hint="eastAsia"/>
          <w:sz w:val="21"/>
          <w:szCs w:val="21"/>
        </w:rPr>
        <w:t>比例数据系</w:t>
      </w:r>
      <w:r w:rsidRPr="003B58AD">
        <w:rPr>
          <w:rFonts w:ascii="Times New Roman" w:hAnsi="Times New Roman" w:cs="Times New Roman" w:hint="eastAsia"/>
          <w:sz w:val="21"/>
          <w:szCs w:val="21"/>
        </w:rPr>
        <w:t>笔者计算</w:t>
      </w:r>
      <w:r w:rsidR="00FC45A1">
        <w:rPr>
          <w:rFonts w:ascii="Times New Roman" w:hAnsi="Times New Roman" w:cs="Times New Roman" w:hint="eastAsia"/>
          <w:sz w:val="21"/>
          <w:szCs w:val="21"/>
        </w:rPr>
        <w:t>所得</w:t>
      </w:r>
      <w:r w:rsidRPr="003B58AD">
        <w:rPr>
          <w:rFonts w:ascii="Times New Roman" w:hAnsi="Times New Roman" w:cs="Times New Roman" w:hint="eastAsia"/>
          <w:sz w:val="21"/>
          <w:szCs w:val="21"/>
        </w:rPr>
        <w:t>。</w:t>
      </w:r>
    </w:p>
    <w:p w14:paraId="25D61D46" w14:textId="399DBC9F" w:rsidR="00015839" w:rsidRDefault="00015839" w:rsidP="00015839">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分红收入有两个来源</w:t>
      </w:r>
      <w:r w:rsidR="00FC45A1">
        <w:rPr>
          <w:rFonts w:ascii="Times New Roman" w:hAnsi="Times New Roman" w:cs="Times New Roman" w:hint="eastAsia"/>
        </w:rPr>
        <w:t>：</w:t>
      </w:r>
      <w:r w:rsidRPr="00C3146C">
        <w:rPr>
          <w:rFonts w:ascii="Times New Roman" w:hAnsi="Times New Roman" w:cs="Times New Roman" w:hint="eastAsia"/>
        </w:rPr>
        <w:t>因持有上市公司股票和基金公司基金份额</w:t>
      </w:r>
      <w:r w:rsidR="00222A54">
        <w:rPr>
          <w:rFonts w:ascii="Times New Roman" w:hAnsi="Times New Roman" w:cs="Times New Roman" w:hint="eastAsia"/>
        </w:rPr>
        <w:t>等公开交易工具</w:t>
      </w:r>
      <w:r w:rsidRPr="00C3146C">
        <w:rPr>
          <w:rFonts w:ascii="Times New Roman" w:hAnsi="Times New Roman" w:cs="Times New Roman" w:hint="eastAsia"/>
        </w:rPr>
        <w:t>而收到的</w:t>
      </w:r>
      <w:r w:rsidR="003E3305">
        <w:rPr>
          <w:rFonts w:ascii="Times New Roman" w:hAnsi="Times New Roman" w:cs="Times New Roman" w:hint="eastAsia"/>
        </w:rPr>
        <w:t>派息</w:t>
      </w:r>
      <w:r w:rsidR="00231E43">
        <w:rPr>
          <w:rFonts w:ascii="Times New Roman" w:hAnsi="Times New Roman" w:cs="Times New Roman" w:hint="eastAsia"/>
        </w:rPr>
        <w:t>；</w:t>
      </w:r>
      <w:r w:rsidRPr="00C3146C">
        <w:rPr>
          <w:rFonts w:ascii="Times New Roman" w:hAnsi="Times New Roman" w:cs="Times New Roman" w:hint="eastAsia"/>
          <w:color w:val="000000"/>
        </w:rPr>
        <w:t>未</w:t>
      </w:r>
      <w:r>
        <w:rPr>
          <w:rFonts w:ascii="Times New Roman" w:hAnsi="Times New Roman" w:cs="Times New Roman" w:hint="eastAsia"/>
        </w:rPr>
        <w:t>上市公司和私募基金的利润分红。根据美联储</w:t>
      </w:r>
      <w:r w:rsidRPr="00C3146C">
        <w:rPr>
          <w:rFonts w:ascii="Times New Roman" w:hAnsi="Times New Roman" w:cs="Times New Roman" w:hint="eastAsia"/>
        </w:rPr>
        <w:t>2024Q2</w:t>
      </w:r>
      <w:r w:rsidRPr="00C3146C">
        <w:rPr>
          <w:rFonts w:ascii="Times New Roman" w:hAnsi="Times New Roman" w:cs="Times New Roman" w:hint="eastAsia"/>
        </w:rPr>
        <w:lastRenderedPageBreak/>
        <w:t>公布的数据，美国金融部门的绝大多数企业是上市公司，境内非金融上市公司持有了非金融公司部门</w:t>
      </w:r>
      <w:r w:rsidRPr="00C3146C">
        <w:rPr>
          <w:rFonts w:ascii="Times New Roman" w:hAnsi="Times New Roman" w:cs="Times New Roman" w:hint="eastAsia"/>
        </w:rPr>
        <w:t>84.3%</w:t>
      </w:r>
      <w:r w:rsidRPr="00C3146C">
        <w:rPr>
          <w:rFonts w:ascii="Times New Roman" w:hAnsi="Times New Roman" w:cs="Times New Roman" w:hint="eastAsia"/>
        </w:rPr>
        <w:t>的资产规模，剩余部分分别以</w:t>
      </w:r>
      <w:r w:rsidRPr="00C3146C">
        <w:rPr>
          <w:rFonts w:ascii="Times New Roman" w:hAnsi="Times New Roman" w:cs="Times New Roman" w:hint="eastAsia"/>
        </w:rPr>
        <w:t>S</w:t>
      </w:r>
      <w:r w:rsidRPr="00C3146C">
        <w:rPr>
          <w:rFonts w:ascii="Times New Roman" w:hAnsi="Times New Roman" w:cs="Times New Roman" w:hint="eastAsia"/>
        </w:rPr>
        <w:t>、</w:t>
      </w:r>
      <w:r w:rsidRPr="00C3146C">
        <w:rPr>
          <w:rFonts w:ascii="Times New Roman" w:hAnsi="Times New Roman" w:cs="Times New Roman" w:hint="eastAsia"/>
        </w:rPr>
        <w:t>C</w:t>
      </w:r>
      <w:r w:rsidRPr="00C3146C">
        <w:rPr>
          <w:rFonts w:ascii="Times New Roman" w:hAnsi="Times New Roman" w:cs="Times New Roman" w:hint="eastAsia"/>
        </w:rPr>
        <w:t>两种类型私人持股公司存在。</w:t>
      </w:r>
      <w:r w:rsidR="00FC45A1" w:rsidRPr="00C3146C">
        <w:rPr>
          <w:rStyle w:val="a5"/>
          <w:rFonts w:ascii="Times New Roman" w:hAnsi="Times New Roman" w:cs="Times New Roman"/>
        </w:rPr>
        <w:footnoteReference w:id="24"/>
      </w:r>
      <w:r w:rsidRPr="00C3146C">
        <w:rPr>
          <w:rFonts w:ascii="Times New Roman" w:hAnsi="Times New Roman" w:cs="Times New Roman" w:hint="eastAsia"/>
        </w:rPr>
        <w:t>除境内上市外，美国资本市场还有外国企业以存托凭证（</w:t>
      </w:r>
      <w:r w:rsidRPr="00C3146C">
        <w:rPr>
          <w:rFonts w:ascii="Times New Roman" w:hAnsi="Times New Roman" w:cs="Times New Roman" w:hint="eastAsia"/>
        </w:rPr>
        <w:t>ADR</w:t>
      </w:r>
      <w:r w:rsidRPr="00C3146C">
        <w:rPr>
          <w:rFonts w:ascii="Times New Roman" w:hAnsi="Times New Roman" w:cs="Times New Roman" w:hint="eastAsia"/>
        </w:rPr>
        <w:t>）形式发行的股票，这部分股票的市值约占美国股票和基金市值的</w:t>
      </w:r>
      <w:r w:rsidRPr="00C3146C">
        <w:rPr>
          <w:rFonts w:ascii="Times New Roman" w:hAnsi="Times New Roman" w:cs="Times New Roman" w:hint="eastAsia"/>
        </w:rPr>
        <w:t>15.9%</w:t>
      </w:r>
      <w:r w:rsidRPr="00C3146C">
        <w:rPr>
          <w:rFonts w:ascii="Times New Roman" w:hAnsi="Times New Roman" w:cs="Times New Roman" w:hint="eastAsia"/>
        </w:rPr>
        <w:t>。从收入渠道看，美国家庭获得的分红收入来自国内、国外两部分，同样地，美国公司的部分利润流向了境外投资者。但是，这并不妨碍我们把美国家庭获取的分红收入近似地理解为主要来自投资二级市场</w:t>
      </w:r>
      <w:r w:rsidR="00DA25A3">
        <w:rPr>
          <w:rFonts w:ascii="Times New Roman" w:hAnsi="Times New Roman" w:cs="Times New Roman" w:hint="eastAsia"/>
        </w:rPr>
        <w:t>工具</w:t>
      </w:r>
      <w:r w:rsidRPr="00C3146C">
        <w:rPr>
          <w:rFonts w:ascii="Times New Roman" w:hAnsi="Times New Roman" w:cs="Times New Roman" w:hint="eastAsia"/>
        </w:rPr>
        <w:t>获得</w:t>
      </w:r>
      <w:r w:rsidR="00DA25A3">
        <w:rPr>
          <w:rFonts w:ascii="Times New Roman" w:hAnsi="Times New Roman" w:cs="Times New Roman" w:hint="eastAsia"/>
        </w:rPr>
        <w:t>的派息</w:t>
      </w:r>
      <w:r w:rsidRPr="00C3146C">
        <w:rPr>
          <w:rFonts w:ascii="Times New Roman" w:hAnsi="Times New Roman" w:cs="Times New Roman" w:hint="eastAsia"/>
        </w:rPr>
        <w:t>。</w:t>
      </w:r>
    </w:p>
    <w:p w14:paraId="656C6D8B" w14:textId="5F1F6B3A" w:rsidR="009A60AB" w:rsidRPr="00C3146C" w:rsidRDefault="00FC45A1" w:rsidP="00015839">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在美国家庭的资产性收入中，来自表内的部分逐渐稳定在</w:t>
      </w:r>
      <w:r w:rsidRPr="00C3146C">
        <w:rPr>
          <w:rFonts w:ascii="Times New Roman" w:hAnsi="Times New Roman" w:cs="Times New Roman" w:hint="eastAsia"/>
        </w:rPr>
        <w:t>50%</w:t>
      </w:r>
      <w:r w:rsidRPr="00C3146C">
        <w:rPr>
          <w:rFonts w:ascii="Times New Roman" w:hAnsi="Times New Roman" w:cs="Times New Roman" w:hint="eastAsia"/>
        </w:rPr>
        <w:t>左右</w:t>
      </w:r>
      <w:r>
        <w:rPr>
          <w:rFonts w:ascii="Times New Roman" w:hAnsi="Times New Roman" w:cs="Times New Roman" w:hint="eastAsia"/>
        </w:rPr>
        <w:t>（见图</w:t>
      </w:r>
      <w:r>
        <w:rPr>
          <w:rFonts w:ascii="Times New Roman" w:hAnsi="Times New Roman" w:cs="Times New Roman" w:hint="eastAsia"/>
        </w:rPr>
        <w:t>7</w:t>
      </w:r>
      <w:r>
        <w:rPr>
          <w:rFonts w:ascii="Times New Roman" w:hAnsi="Times New Roman" w:cs="Times New Roman" w:hint="eastAsia"/>
        </w:rPr>
        <w:t>）</w:t>
      </w:r>
      <w:r w:rsidRPr="00C3146C">
        <w:rPr>
          <w:rFonts w:ascii="Times New Roman" w:hAnsi="Times New Roman" w:cs="Times New Roman" w:hint="eastAsia"/>
        </w:rPr>
        <w:t>，差额部分则需要非生产性环节创造的利息和分红作为补充。以前述三类家庭收支为例，如果没有表外利息和分红收入的补充，美国绝大多数家庭的收支</w:t>
      </w:r>
      <w:r>
        <w:rPr>
          <w:rFonts w:ascii="Times New Roman" w:hAnsi="Times New Roman" w:cs="Times New Roman" w:hint="eastAsia"/>
        </w:rPr>
        <w:t>就会</w:t>
      </w:r>
      <w:r w:rsidRPr="00C3146C">
        <w:rPr>
          <w:rFonts w:ascii="Times New Roman" w:hAnsi="Times New Roman" w:cs="Times New Roman" w:hint="eastAsia"/>
        </w:rPr>
        <w:t>处于赤字状态。可以这样讲，为保持家庭开支正常运转，美国普通家庭迫切地需要金融市场创造更多能够产生</w:t>
      </w:r>
      <w:r>
        <w:rPr>
          <w:rFonts w:ascii="Times New Roman" w:hAnsi="Times New Roman" w:cs="Times New Roman" w:hint="eastAsia"/>
        </w:rPr>
        <w:t>高额收益</w:t>
      </w:r>
      <w:r w:rsidRPr="00C3146C">
        <w:rPr>
          <w:rFonts w:ascii="Times New Roman" w:hAnsi="Times New Roman" w:cs="Times New Roman" w:hint="eastAsia"/>
        </w:rPr>
        <w:t>的金融产品。在这种背景之下，美国金融市场部门在持续地扩张，金融产品的种类、规模日渐丰富，金融产品的衍生等级越走越高。直至今日，美国庞大金融市场规模已经足以影响国家政策，维持资产价格稳定甚至成了国家新的职能。在必要的时候，</w:t>
      </w:r>
      <w:r>
        <w:rPr>
          <w:rFonts w:ascii="Times New Roman" w:hAnsi="Times New Roman" w:cs="Times New Roman" w:hint="eastAsia"/>
        </w:rPr>
        <w:t>政策当局</w:t>
      </w:r>
      <w:r w:rsidRPr="00C3146C">
        <w:rPr>
          <w:rFonts w:ascii="Times New Roman" w:hAnsi="Times New Roman" w:cs="Times New Roman" w:hint="eastAsia"/>
        </w:rPr>
        <w:t>需要出面干预，直接向陷入困境的金融企业投入巨额货币，支持其渡过难关。</w:t>
      </w:r>
    </w:p>
    <w:p w14:paraId="21C796ED" w14:textId="77777777" w:rsidR="009A60AB" w:rsidRPr="00C3146C" w:rsidRDefault="009A60AB" w:rsidP="009A60AB">
      <w:pPr>
        <w:spacing w:line="360" w:lineRule="auto"/>
        <w:ind w:firstLineChars="200" w:firstLine="480"/>
        <w:rPr>
          <w:rFonts w:ascii="Times New Roman" w:hAnsi="Times New Roman" w:cs="Times New Roman"/>
        </w:rPr>
      </w:pPr>
      <w:r w:rsidRPr="00C3146C">
        <w:rPr>
          <w:noProof/>
          <w14:ligatures w14:val="standardContextual"/>
        </w:rPr>
        <w:drawing>
          <wp:inline distT="0" distB="0" distL="0" distR="0" wp14:anchorId="3964CE1E" wp14:editId="03D8C0F8">
            <wp:extent cx="4572000" cy="1818167"/>
            <wp:effectExtent l="0" t="0" r="12700" b="10795"/>
            <wp:docPr id="8519599" name="图表 1">
              <a:extLst xmlns:a="http://schemas.openxmlformats.org/drawingml/2006/main">
                <a:ext uri="{FF2B5EF4-FFF2-40B4-BE49-F238E27FC236}">
                  <a16:creationId xmlns:a16="http://schemas.microsoft.com/office/drawing/2014/main" id="{837EB93E-3B80-9703-B722-D5B995D532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F5CA42" w14:textId="7403C09B" w:rsidR="009A60AB" w:rsidRPr="00C3146C" w:rsidRDefault="009A60AB" w:rsidP="009A60AB">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7 </w:t>
      </w:r>
      <w:r w:rsidRPr="00C3146C">
        <w:rPr>
          <w:rFonts w:ascii="Times New Roman" w:hAnsi="Times New Roman" w:cs="Times New Roman" w:hint="eastAsia"/>
        </w:rPr>
        <w:t>美国家庭资产性收入的表内</w:t>
      </w:r>
      <w:r w:rsidR="00FC45A1">
        <w:rPr>
          <w:rFonts w:ascii="Times New Roman" w:hAnsi="Times New Roman" w:cs="Times New Roman" w:hint="eastAsia"/>
        </w:rPr>
        <w:t>/</w:t>
      </w:r>
      <w:r w:rsidRPr="00C3146C">
        <w:rPr>
          <w:rFonts w:ascii="Times New Roman" w:hAnsi="Times New Roman" w:cs="Times New Roman" w:hint="eastAsia"/>
        </w:rPr>
        <w:t>外结构</w:t>
      </w:r>
    </w:p>
    <w:p w14:paraId="705CF661" w14:textId="2124E021" w:rsidR="009A60AB" w:rsidRPr="00556459" w:rsidRDefault="009A60AB" w:rsidP="00C46339">
      <w:pPr>
        <w:rPr>
          <w:rFonts w:ascii="Times New Roman" w:hAnsi="Times New Roman" w:cs="Times New Roman"/>
        </w:rPr>
      </w:pPr>
      <w:r w:rsidRPr="00C3146C">
        <w:rPr>
          <w:rFonts w:ascii="Times New Roman" w:hAnsi="Times New Roman" w:cs="Times New Roman" w:hint="eastAsia"/>
        </w:rPr>
        <w:t>数据来源：</w:t>
      </w:r>
      <w:r w:rsidR="0065748A">
        <w:rPr>
          <w:rFonts w:ascii="Times New Roman" w:hAnsi="Times New Roman" w:cs="Times New Roman"/>
          <w:sz w:val="21"/>
          <w:szCs w:val="21"/>
        </w:rPr>
        <w:t>U.S. Bureau of Economic Analysis</w:t>
      </w:r>
      <w:r w:rsidR="00FC45A1" w:rsidRPr="00BF1FE6">
        <w:rPr>
          <w:rFonts w:ascii="Times New Roman" w:hAnsi="Times New Roman" w:cs="Times New Roman"/>
          <w:sz w:val="21"/>
          <w:szCs w:val="21"/>
        </w:rPr>
        <w:t xml:space="preserve">, </w:t>
      </w:r>
      <w:r w:rsidR="00FC45A1" w:rsidRPr="007243ED">
        <w:rPr>
          <w:rFonts w:ascii="Times New Roman" w:hAnsi="Times New Roman" w:cs="Times New Roman"/>
          <w:sz w:val="21"/>
          <w:szCs w:val="21"/>
        </w:rPr>
        <w:t>"</w:t>
      </w:r>
      <w:r w:rsidR="00FC45A1" w:rsidRPr="007243ED">
        <w:rPr>
          <w:rFonts w:ascii="Times New Roman" w:hAnsi="Times New Roman" w:cs="Times New Roman"/>
          <w:iCs/>
          <w:sz w:val="21"/>
          <w:szCs w:val="21"/>
        </w:rPr>
        <w:t>Table 1.10. Gross Domestic Income by Type of Income"</w:t>
      </w:r>
      <w:r>
        <w:rPr>
          <w:rFonts w:ascii="Times New Roman" w:hAnsi="Times New Roman" w:cs="Times New Roman" w:hint="eastAsia"/>
          <w:sz w:val="21"/>
          <w:szCs w:val="21"/>
        </w:rPr>
        <w:t xml:space="preserve">; Federal Reserve </w:t>
      </w:r>
      <w:r w:rsidR="00FC45A1" w:rsidRPr="00BF1FE6">
        <w:rPr>
          <w:rFonts w:ascii="Times New Roman" w:hAnsi="Times New Roman" w:cs="Times New Roman"/>
          <w:sz w:val="21"/>
          <w:szCs w:val="21"/>
        </w:rPr>
        <w:t>Statistical</w:t>
      </w:r>
      <w:r w:rsidR="00FC45A1" w:rsidRPr="00BF1FE6">
        <w:rPr>
          <w:rFonts w:ascii="Times New Roman" w:hAnsi="Times New Roman" w:cs="Times New Roman" w:hint="eastAsia"/>
          <w:sz w:val="21"/>
          <w:szCs w:val="21"/>
        </w:rPr>
        <w:t xml:space="preserve"> Release, </w:t>
      </w:r>
      <w:r w:rsidR="00FC45A1" w:rsidRPr="007243ED">
        <w:rPr>
          <w:rFonts w:ascii="Times New Roman" w:hAnsi="Times New Roman" w:cs="Times New Roman"/>
          <w:sz w:val="21"/>
          <w:szCs w:val="21"/>
        </w:rPr>
        <w:t>"</w:t>
      </w:r>
      <w:r w:rsidR="00FC45A1" w:rsidRPr="007243ED">
        <w:rPr>
          <w:rFonts w:ascii="Times New Roman" w:hAnsi="Times New Roman" w:cs="Times New Roman" w:hint="eastAsia"/>
          <w:iCs/>
          <w:sz w:val="21"/>
          <w:szCs w:val="21"/>
        </w:rPr>
        <w:t xml:space="preserve">Z.1 Financial Accounts of United States: </w:t>
      </w:r>
      <w:r w:rsidR="00FC45A1" w:rsidRPr="007243ED">
        <w:rPr>
          <w:rFonts w:ascii="Times New Roman" w:hAnsi="Times New Roman" w:cs="Times New Roman"/>
          <w:iCs/>
          <w:sz w:val="21"/>
          <w:szCs w:val="21"/>
        </w:rPr>
        <w:t>Flow of Funds</w:t>
      </w:r>
      <w:r w:rsidR="00FC45A1" w:rsidRPr="00556459">
        <w:rPr>
          <w:rFonts w:ascii="Times New Roman" w:hAnsi="Times New Roman" w:cs="Times New Roman"/>
          <w:iCs/>
          <w:sz w:val="21"/>
          <w:szCs w:val="21"/>
        </w:rPr>
        <w:t>, Balance Sheets,</w:t>
      </w:r>
      <w:r w:rsidR="00FC45A1" w:rsidRPr="00556459">
        <w:rPr>
          <w:rFonts w:ascii="Times New Roman" w:hAnsi="Times New Roman" w:cs="Times New Roman" w:hint="eastAsia"/>
          <w:iCs/>
          <w:sz w:val="21"/>
          <w:szCs w:val="21"/>
        </w:rPr>
        <w:t xml:space="preserve"> </w:t>
      </w:r>
      <w:r w:rsidR="00FC45A1" w:rsidRPr="00556459">
        <w:rPr>
          <w:rFonts w:ascii="Times New Roman" w:hAnsi="Times New Roman" w:cs="Times New Roman"/>
          <w:iCs/>
          <w:sz w:val="21"/>
          <w:szCs w:val="21"/>
        </w:rPr>
        <w:t>and Integrated Macroeconomic Accounts</w:t>
      </w:r>
      <w:r w:rsidR="00FC45A1" w:rsidRPr="00556459">
        <w:rPr>
          <w:rFonts w:ascii="Times New Roman" w:hAnsi="Times New Roman" w:cs="Times New Roman" w:hint="eastAsia"/>
          <w:iCs/>
          <w:sz w:val="21"/>
          <w:szCs w:val="21"/>
        </w:rPr>
        <w:t xml:space="preserve"> </w:t>
      </w:r>
      <w:r w:rsidR="00FC45A1" w:rsidRPr="00556459">
        <w:rPr>
          <w:rFonts w:ascii="Times New Roman" w:hAnsi="Times New Roman" w:cs="Times New Roman"/>
          <w:iCs/>
          <w:sz w:val="21"/>
          <w:szCs w:val="21"/>
        </w:rPr>
        <w:t>Historical Annual Tables</w:t>
      </w:r>
      <w:r w:rsidR="00FC45A1" w:rsidRPr="00556459">
        <w:rPr>
          <w:rFonts w:ascii="Times New Roman" w:hAnsi="Times New Roman" w:cs="Times New Roman"/>
          <w:sz w:val="21"/>
          <w:szCs w:val="21"/>
        </w:rPr>
        <w:t>"</w:t>
      </w:r>
      <w:r w:rsidR="00FC45A1" w:rsidRPr="00556459">
        <w:rPr>
          <w:rFonts w:ascii="Times New Roman" w:hAnsi="Times New Roman" w:cs="Times New Roman" w:hint="eastAsia"/>
          <w:sz w:val="21"/>
          <w:szCs w:val="21"/>
        </w:rPr>
        <w:t>；资产配置比例数据系笔者计算所得。</w:t>
      </w:r>
    </w:p>
    <w:p w14:paraId="5BACBFDF" w14:textId="2B87CE88" w:rsidR="00DE137B" w:rsidRPr="00C3146C" w:rsidRDefault="00537E1F" w:rsidP="00CF7C31">
      <w:pPr>
        <w:spacing w:line="360" w:lineRule="auto"/>
        <w:ind w:firstLineChars="200" w:firstLine="480"/>
        <w:rPr>
          <w:rFonts w:ascii="Times New Roman" w:hAnsi="Times New Roman" w:cs="Times New Roman"/>
        </w:rPr>
      </w:pPr>
      <w:r w:rsidRPr="00556459">
        <w:rPr>
          <w:rFonts w:ascii="Times New Roman" w:hAnsi="Times New Roman" w:cs="Times New Roman" w:hint="eastAsia"/>
        </w:rPr>
        <w:lastRenderedPageBreak/>
        <w:t>表</w:t>
      </w:r>
      <w:r w:rsidR="00DE137B" w:rsidRPr="00556459">
        <w:rPr>
          <w:rFonts w:ascii="Times New Roman" w:hAnsi="Times New Roman" w:cs="Times New Roman" w:hint="eastAsia"/>
        </w:rPr>
        <w:t>面看，美国家庭通过持有国债、股票换取了支出规模的扩张，推动了国家经济的发展。但是，</w:t>
      </w:r>
      <w:r w:rsidR="00C81092" w:rsidRPr="00556459">
        <w:rPr>
          <w:rFonts w:ascii="Times New Roman" w:hAnsi="Times New Roman" w:cs="Times New Roman" w:hint="eastAsia"/>
        </w:rPr>
        <w:t>真实</w:t>
      </w:r>
      <w:r w:rsidR="00DE137B" w:rsidRPr="00556459">
        <w:rPr>
          <w:rFonts w:ascii="Times New Roman" w:hAnsi="Times New Roman" w:cs="Times New Roman" w:hint="eastAsia"/>
        </w:rPr>
        <w:t>境</w:t>
      </w:r>
      <w:r w:rsidR="00DE137B" w:rsidRPr="00C3146C">
        <w:rPr>
          <w:rFonts w:ascii="Times New Roman" w:hAnsi="Times New Roman" w:cs="Times New Roman" w:hint="eastAsia"/>
        </w:rPr>
        <w:t>地如何？还是要结合美国金融资产的分布结构开展综合评估。</w:t>
      </w:r>
      <w:r w:rsidR="00336959" w:rsidRPr="00C3146C">
        <w:rPr>
          <w:rFonts w:ascii="Times New Roman" w:hAnsi="Times New Roman" w:cs="Times New Roman" w:hint="eastAsia"/>
        </w:rPr>
        <w:t>直观地看，美国家庭收入内部出现严重分化，收入和财富快速地向前</w:t>
      </w:r>
      <w:r w:rsidR="00C81092" w:rsidRPr="00C3146C">
        <w:rPr>
          <w:rFonts w:ascii="Times New Roman" w:hAnsi="Times New Roman" w:cs="Times New Roman" w:hint="eastAsia"/>
        </w:rPr>
        <w:t>20%</w:t>
      </w:r>
      <w:r w:rsidR="00C81092" w:rsidRPr="00C3146C">
        <w:rPr>
          <w:rFonts w:ascii="Times New Roman" w:hAnsi="Times New Roman" w:cs="Times New Roman" w:hint="eastAsia"/>
        </w:rPr>
        <w:t>的人口集聚</w:t>
      </w:r>
      <w:r w:rsidR="00FC45A1">
        <w:rPr>
          <w:rFonts w:ascii="Times New Roman" w:hAnsi="Times New Roman" w:cs="Times New Roman" w:hint="eastAsia"/>
        </w:rPr>
        <w:t>——</w:t>
      </w:r>
      <w:r w:rsidR="00C81092" w:rsidRPr="00C3146C">
        <w:rPr>
          <w:rFonts w:ascii="Times New Roman" w:hAnsi="Times New Roman" w:cs="Times New Roman" w:hint="eastAsia"/>
        </w:rPr>
        <w:t>198</w:t>
      </w:r>
      <w:r w:rsidR="00C81092" w:rsidRPr="00D255BE">
        <w:rPr>
          <w:rFonts w:ascii="Times New Roman" w:hAnsi="Times New Roman" w:cs="Times New Roman" w:hint="eastAsia"/>
        </w:rPr>
        <w:t>9</w:t>
      </w:r>
      <w:r w:rsidR="00C81092" w:rsidRPr="00D255BE">
        <w:rPr>
          <w:rFonts w:ascii="Times New Roman" w:hAnsi="Times New Roman" w:cs="Times New Roman" w:hint="eastAsia"/>
        </w:rPr>
        <w:t>年美国前</w:t>
      </w:r>
      <w:r w:rsidR="003A3AA9" w:rsidRPr="00D255BE">
        <w:rPr>
          <w:rFonts w:ascii="Times New Roman" w:hAnsi="Times New Roman" w:cs="Times New Roman" w:hint="eastAsia"/>
        </w:rPr>
        <w:t>1</w:t>
      </w:r>
      <w:r w:rsidR="00C81092" w:rsidRPr="00D255BE">
        <w:rPr>
          <w:rFonts w:ascii="Times New Roman" w:hAnsi="Times New Roman" w:cs="Times New Roman" w:hint="eastAsia"/>
        </w:rPr>
        <w:t>0%</w:t>
      </w:r>
      <w:r w:rsidR="00C81092" w:rsidRPr="00D255BE">
        <w:rPr>
          <w:rFonts w:ascii="Times New Roman" w:hAnsi="Times New Roman" w:cs="Times New Roman" w:hint="eastAsia"/>
        </w:rPr>
        <w:t>家庭的收入</w:t>
      </w:r>
      <w:r w:rsidR="00FC45A1" w:rsidRPr="00D255BE">
        <w:rPr>
          <w:rFonts w:ascii="Times New Roman" w:hAnsi="Times New Roman" w:cs="Times New Roman" w:hint="eastAsia"/>
        </w:rPr>
        <w:t>占</w:t>
      </w:r>
      <w:r w:rsidR="00230EB9" w:rsidRPr="00D255BE">
        <w:rPr>
          <w:rFonts w:ascii="Times New Roman" w:hAnsi="Times New Roman" w:cs="Times New Roman" w:hint="eastAsia"/>
        </w:rPr>
        <w:t>美国家庭全部收入的</w:t>
      </w:r>
      <w:r w:rsidR="00C81092" w:rsidRPr="00D255BE">
        <w:rPr>
          <w:rFonts w:ascii="Times New Roman" w:hAnsi="Times New Roman" w:cs="Times New Roman" w:hint="eastAsia"/>
        </w:rPr>
        <w:t>比例</w:t>
      </w:r>
      <w:r w:rsidR="00FC45A1" w:rsidRPr="00D255BE">
        <w:rPr>
          <w:rFonts w:ascii="Times New Roman" w:hAnsi="Times New Roman" w:cs="Times New Roman" w:hint="eastAsia"/>
        </w:rPr>
        <w:t>为</w:t>
      </w:r>
      <w:r w:rsidR="00C81092" w:rsidRPr="00D255BE">
        <w:rPr>
          <w:rFonts w:ascii="Times New Roman" w:hAnsi="Times New Roman" w:cs="Times New Roman" w:hint="eastAsia"/>
        </w:rPr>
        <w:t>60.5%</w:t>
      </w:r>
      <w:r w:rsidR="00C81092" w:rsidRPr="00D255BE">
        <w:rPr>
          <w:rFonts w:ascii="Times New Roman" w:hAnsi="Times New Roman" w:cs="Times New Roman" w:hint="eastAsia"/>
        </w:rPr>
        <w:t>、</w:t>
      </w:r>
      <w:r w:rsidR="00C81092" w:rsidRPr="00D255BE">
        <w:rPr>
          <w:rFonts w:ascii="Times New Roman" w:hAnsi="Times New Roman" w:cs="Times New Roman" w:hint="eastAsia"/>
        </w:rPr>
        <w:t>2024</w:t>
      </w:r>
      <w:r w:rsidR="00C81092" w:rsidRPr="00D255BE">
        <w:rPr>
          <w:rFonts w:ascii="Times New Roman" w:hAnsi="Times New Roman" w:cs="Times New Roman" w:hint="eastAsia"/>
        </w:rPr>
        <w:t>年为</w:t>
      </w:r>
      <w:r w:rsidR="00C81092" w:rsidRPr="00D255BE">
        <w:rPr>
          <w:rFonts w:ascii="Times New Roman" w:hAnsi="Times New Roman" w:cs="Times New Roman" w:hint="eastAsia"/>
        </w:rPr>
        <w:t>70.7%</w:t>
      </w:r>
      <w:r w:rsidR="00FC45A1" w:rsidRPr="00D255BE">
        <w:rPr>
          <w:rFonts w:ascii="Times New Roman" w:hAnsi="Times New Roman" w:cs="Times New Roman" w:hint="eastAsia"/>
        </w:rPr>
        <w:t>；</w:t>
      </w:r>
      <w:r w:rsidR="00C81092" w:rsidRPr="00D255BE">
        <w:rPr>
          <w:rFonts w:ascii="Times New Roman" w:hAnsi="Times New Roman" w:cs="Times New Roman" w:hint="eastAsia"/>
        </w:rPr>
        <w:t>相较收入的分化，财富分化</w:t>
      </w:r>
      <w:r w:rsidR="00FC45A1" w:rsidRPr="00D255BE">
        <w:rPr>
          <w:rFonts w:ascii="Times New Roman" w:hAnsi="Times New Roman" w:cs="Times New Roman" w:hint="eastAsia"/>
        </w:rPr>
        <w:t>得</w:t>
      </w:r>
      <w:r w:rsidR="00C81092" w:rsidRPr="00D255BE">
        <w:rPr>
          <w:rFonts w:ascii="Times New Roman" w:hAnsi="Times New Roman" w:cs="Times New Roman" w:hint="eastAsia"/>
        </w:rPr>
        <w:t>更为剧烈，</w:t>
      </w:r>
      <w:r w:rsidR="00C81092" w:rsidRPr="00D255BE">
        <w:rPr>
          <w:rFonts w:ascii="Times New Roman" w:hAnsi="Times New Roman" w:cs="Times New Roman" w:hint="eastAsia"/>
        </w:rPr>
        <w:t>1989</w:t>
      </w:r>
      <w:r w:rsidR="00C81092" w:rsidRPr="00D255BE">
        <w:rPr>
          <w:rFonts w:ascii="Times New Roman" w:hAnsi="Times New Roman" w:cs="Times New Roman" w:hint="eastAsia"/>
        </w:rPr>
        <w:t>年美国前</w:t>
      </w:r>
      <w:r w:rsidR="00C81092" w:rsidRPr="00D255BE">
        <w:rPr>
          <w:rFonts w:ascii="Times New Roman" w:hAnsi="Times New Roman" w:cs="Times New Roman" w:hint="eastAsia"/>
        </w:rPr>
        <w:t>0.1%</w:t>
      </w:r>
      <w:r w:rsidR="00C81092" w:rsidRPr="00D255BE">
        <w:rPr>
          <w:rFonts w:ascii="Times New Roman" w:hAnsi="Times New Roman" w:cs="Times New Roman" w:hint="eastAsia"/>
        </w:rPr>
        <w:t>人口的</w:t>
      </w:r>
      <w:r w:rsidR="00230EB9" w:rsidRPr="00D255BE">
        <w:rPr>
          <w:rFonts w:ascii="Times New Roman" w:hAnsi="Times New Roman" w:cs="Times New Roman" w:hint="eastAsia"/>
        </w:rPr>
        <w:t>财富</w:t>
      </w:r>
      <w:r w:rsidR="00FC45A1" w:rsidRPr="00D255BE">
        <w:rPr>
          <w:rFonts w:ascii="Times New Roman" w:hAnsi="Times New Roman" w:cs="Times New Roman" w:hint="eastAsia"/>
        </w:rPr>
        <w:t>占</w:t>
      </w:r>
      <w:r w:rsidR="00230EB9" w:rsidRPr="00D255BE">
        <w:rPr>
          <w:rFonts w:ascii="Times New Roman" w:hAnsi="Times New Roman" w:cs="Times New Roman" w:hint="eastAsia"/>
        </w:rPr>
        <w:t>全部美国家庭的财富</w:t>
      </w:r>
      <w:r w:rsidR="00C81092" w:rsidRPr="00D255BE">
        <w:rPr>
          <w:rFonts w:ascii="Times New Roman" w:hAnsi="Times New Roman" w:cs="Times New Roman" w:hint="eastAsia"/>
        </w:rPr>
        <w:t>比例为</w:t>
      </w:r>
      <w:r w:rsidR="007F6563" w:rsidRPr="00D255BE">
        <w:rPr>
          <w:rFonts w:ascii="Times New Roman" w:hAnsi="Times New Roman" w:cs="Times New Roman" w:hint="eastAsia"/>
        </w:rPr>
        <w:t>7.6</w:t>
      </w:r>
      <w:r w:rsidR="00C81092" w:rsidRPr="00D255BE">
        <w:rPr>
          <w:rFonts w:ascii="Times New Roman" w:hAnsi="Times New Roman" w:cs="Times New Roman" w:hint="eastAsia"/>
        </w:rPr>
        <w:t>%</w:t>
      </w:r>
      <w:r w:rsidR="00C81092" w:rsidRPr="00D255BE">
        <w:rPr>
          <w:rFonts w:ascii="Times New Roman" w:hAnsi="Times New Roman" w:cs="Times New Roman" w:hint="eastAsia"/>
        </w:rPr>
        <w:t>、</w:t>
      </w:r>
      <w:r w:rsidR="00C81092" w:rsidRPr="00D255BE">
        <w:rPr>
          <w:rFonts w:ascii="Times New Roman" w:hAnsi="Times New Roman" w:cs="Times New Roman" w:hint="eastAsia"/>
        </w:rPr>
        <w:t>2024</w:t>
      </w:r>
      <w:r w:rsidR="00C81092" w:rsidRPr="00D255BE">
        <w:rPr>
          <w:rFonts w:ascii="Times New Roman" w:hAnsi="Times New Roman" w:cs="Times New Roman" w:hint="eastAsia"/>
        </w:rPr>
        <w:t>年为</w:t>
      </w:r>
      <w:r w:rsidR="007F6563" w:rsidRPr="00D255BE">
        <w:rPr>
          <w:rFonts w:ascii="Times New Roman" w:hAnsi="Times New Roman" w:cs="Times New Roman" w:hint="eastAsia"/>
        </w:rPr>
        <w:t>12.1</w:t>
      </w:r>
      <w:r w:rsidR="00C81092" w:rsidRPr="00D255BE">
        <w:rPr>
          <w:rFonts w:ascii="Times New Roman" w:hAnsi="Times New Roman" w:cs="Times New Roman" w:hint="eastAsia"/>
        </w:rPr>
        <w:t>%</w:t>
      </w:r>
      <w:r w:rsidR="00C81092" w:rsidRPr="00D255BE">
        <w:rPr>
          <w:rFonts w:ascii="Times New Roman" w:hAnsi="Times New Roman" w:cs="Times New Roman" w:hint="eastAsia"/>
        </w:rPr>
        <w:t>，</w:t>
      </w:r>
      <w:r w:rsidR="007F6563" w:rsidRPr="00D255BE">
        <w:rPr>
          <w:rFonts w:ascii="Times New Roman" w:hAnsi="Times New Roman" w:cs="Times New Roman" w:hint="eastAsia"/>
        </w:rPr>
        <w:t>后</w:t>
      </w:r>
      <w:r w:rsidR="007F6563" w:rsidRPr="00D255BE">
        <w:rPr>
          <w:rFonts w:ascii="Times New Roman" w:hAnsi="Times New Roman" w:cs="Times New Roman" w:hint="eastAsia"/>
        </w:rPr>
        <w:t>90%</w:t>
      </w:r>
      <w:r w:rsidR="007F6563" w:rsidRPr="00D255BE">
        <w:rPr>
          <w:rFonts w:ascii="Times New Roman" w:hAnsi="Times New Roman" w:cs="Times New Roman" w:hint="eastAsia"/>
        </w:rPr>
        <w:t>人口</w:t>
      </w:r>
      <w:r w:rsidR="00C81092" w:rsidRPr="00D255BE">
        <w:rPr>
          <w:rFonts w:ascii="Times New Roman" w:hAnsi="Times New Roman" w:cs="Times New Roman" w:hint="eastAsia"/>
        </w:rPr>
        <w:t>的财富从</w:t>
      </w:r>
      <w:r w:rsidR="007F6563" w:rsidRPr="00D255BE">
        <w:rPr>
          <w:rFonts w:ascii="Times New Roman" w:hAnsi="Times New Roman" w:cs="Times New Roman" w:hint="eastAsia"/>
        </w:rPr>
        <w:t>44.7</w:t>
      </w:r>
      <w:r w:rsidR="00C81092" w:rsidRPr="00D255BE">
        <w:rPr>
          <w:rFonts w:ascii="Times New Roman" w:hAnsi="Times New Roman" w:cs="Times New Roman" w:hint="eastAsia"/>
        </w:rPr>
        <w:t>%</w:t>
      </w:r>
      <w:r w:rsidR="00C81092" w:rsidRPr="00D255BE">
        <w:rPr>
          <w:rFonts w:ascii="Times New Roman" w:hAnsi="Times New Roman" w:cs="Times New Roman" w:hint="eastAsia"/>
        </w:rPr>
        <w:t>下降至</w:t>
      </w:r>
      <w:r w:rsidR="007F6563" w:rsidRPr="00D255BE">
        <w:rPr>
          <w:rFonts w:ascii="Times New Roman" w:hAnsi="Times New Roman" w:cs="Times New Roman" w:hint="eastAsia"/>
        </w:rPr>
        <w:t>38</w:t>
      </w:r>
      <w:r w:rsidR="00C81092" w:rsidRPr="00D255BE">
        <w:rPr>
          <w:rFonts w:ascii="Times New Roman" w:hAnsi="Times New Roman" w:cs="Times New Roman" w:hint="eastAsia"/>
        </w:rPr>
        <w:t>%</w:t>
      </w:r>
      <w:r w:rsidR="00C81092" w:rsidRPr="00D255BE">
        <w:rPr>
          <w:rFonts w:ascii="Times New Roman" w:hAnsi="Times New Roman" w:cs="Times New Roman" w:hint="eastAsia"/>
        </w:rPr>
        <w:t>。</w:t>
      </w:r>
      <w:r w:rsidR="007F6563" w:rsidRPr="00D255BE">
        <w:rPr>
          <w:rFonts w:ascii="Times New Roman" w:hAnsi="Times New Roman" w:cs="Times New Roman" w:hint="eastAsia"/>
        </w:rPr>
        <w:t>这种变化并不难理解，富裕阶层的资产配置以股票等金融资产为主，</w:t>
      </w:r>
      <w:r w:rsidR="007F6563" w:rsidRPr="00D255BE">
        <w:rPr>
          <w:rFonts w:ascii="Times New Roman" w:hAnsi="Times New Roman" w:cs="Times New Roman" w:hint="eastAsia"/>
        </w:rPr>
        <w:t>2024</w:t>
      </w:r>
      <w:r w:rsidR="007F6563" w:rsidRPr="00D255BE">
        <w:rPr>
          <w:rFonts w:ascii="Times New Roman" w:hAnsi="Times New Roman" w:cs="Times New Roman" w:hint="eastAsia"/>
        </w:rPr>
        <w:t>年</w:t>
      </w:r>
      <w:r w:rsidR="00FC45A1" w:rsidRPr="00D255BE">
        <w:rPr>
          <w:rFonts w:ascii="Times New Roman" w:hAnsi="Times New Roman" w:cs="Times New Roman" w:hint="eastAsia"/>
        </w:rPr>
        <w:t>，</w:t>
      </w:r>
      <w:r w:rsidR="007F6563" w:rsidRPr="00D255BE">
        <w:rPr>
          <w:rFonts w:ascii="Times New Roman" w:hAnsi="Times New Roman" w:cs="Times New Roman" w:hint="eastAsia"/>
        </w:rPr>
        <w:t>前</w:t>
      </w:r>
      <w:r w:rsidR="007F6563" w:rsidRPr="00D255BE">
        <w:rPr>
          <w:rFonts w:ascii="Times New Roman" w:hAnsi="Times New Roman" w:cs="Times New Roman" w:hint="eastAsia"/>
        </w:rPr>
        <w:t>10%</w:t>
      </w:r>
      <w:r w:rsidR="007F6563" w:rsidRPr="00D255BE">
        <w:rPr>
          <w:rFonts w:ascii="Times New Roman" w:hAnsi="Times New Roman" w:cs="Times New Roman" w:hint="eastAsia"/>
        </w:rPr>
        <w:t>人口持有的股票比例为</w:t>
      </w:r>
      <w:r w:rsidR="007F6563" w:rsidRPr="00D255BE">
        <w:rPr>
          <w:rFonts w:ascii="Times New Roman" w:hAnsi="Times New Roman" w:cs="Times New Roman" w:hint="eastAsia"/>
        </w:rPr>
        <w:t>87.1%</w:t>
      </w:r>
      <w:r w:rsidR="007F6563" w:rsidRPr="00D255BE">
        <w:rPr>
          <w:rFonts w:ascii="Times New Roman" w:hAnsi="Times New Roman" w:cs="Times New Roman" w:hint="eastAsia"/>
        </w:rPr>
        <w:t>，后</w:t>
      </w:r>
      <w:r w:rsidR="007F6563" w:rsidRPr="00D255BE">
        <w:rPr>
          <w:rFonts w:ascii="Times New Roman" w:hAnsi="Times New Roman" w:cs="Times New Roman" w:hint="eastAsia"/>
        </w:rPr>
        <w:t>90%</w:t>
      </w:r>
      <w:r w:rsidR="007F6563" w:rsidRPr="00D255BE">
        <w:rPr>
          <w:rFonts w:ascii="Times New Roman" w:hAnsi="Times New Roman" w:cs="Times New Roman" w:hint="eastAsia"/>
        </w:rPr>
        <w:t>人口持有</w:t>
      </w:r>
      <w:r w:rsidR="00FC45A1" w:rsidRPr="00D255BE">
        <w:rPr>
          <w:rFonts w:ascii="Times New Roman" w:hAnsi="Times New Roman" w:cs="Times New Roman" w:hint="eastAsia"/>
        </w:rPr>
        <w:t>股票比例为</w:t>
      </w:r>
      <w:r w:rsidR="007F6563" w:rsidRPr="00D255BE">
        <w:rPr>
          <w:rFonts w:ascii="Times New Roman" w:hAnsi="Times New Roman" w:cs="Times New Roman" w:hint="eastAsia"/>
        </w:rPr>
        <w:t>12.9%</w:t>
      </w:r>
      <w:r w:rsidR="007F6563" w:rsidRPr="00D255BE">
        <w:rPr>
          <w:rFonts w:ascii="Times New Roman" w:hAnsi="Times New Roman" w:cs="Times New Roman" w:hint="eastAsia"/>
        </w:rPr>
        <w:t>，随着金融资产价格的上涨，优质权益向真正的富人聚集</w:t>
      </w:r>
      <w:r w:rsidR="00FC45A1" w:rsidRPr="00D255BE">
        <w:rPr>
          <w:rFonts w:ascii="Times New Roman" w:hAnsi="Times New Roman" w:cs="Times New Roman" w:hint="eastAsia"/>
        </w:rPr>
        <w:t>，</w:t>
      </w:r>
      <w:r w:rsidR="007F6563" w:rsidRPr="00D255BE">
        <w:rPr>
          <w:rFonts w:ascii="Times New Roman" w:hAnsi="Times New Roman" w:cs="Times New Roman" w:hint="eastAsia"/>
        </w:rPr>
        <w:t>他们凭借较高的持股比获得了绝大多数的公司利润分红，由此造成了资产性收入的极端分布。相比富人，中低收入人口的资产以房产为主，</w:t>
      </w:r>
      <w:r w:rsidR="007A7E25" w:rsidRPr="00D255BE">
        <w:rPr>
          <w:rFonts w:ascii="Times New Roman" w:hAnsi="Times New Roman" w:cs="Times New Roman" w:hint="eastAsia"/>
        </w:rPr>
        <w:t>2024</w:t>
      </w:r>
      <w:r w:rsidR="007A7E25" w:rsidRPr="00D255BE">
        <w:rPr>
          <w:rFonts w:ascii="Times New Roman" w:hAnsi="Times New Roman" w:cs="Times New Roman" w:hint="eastAsia"/>
        </w:rPr>
        <w:t>年</w:t>
      </w:r>
      <w:r w:rsidR="00FC45A1" w:rsidRPr="00D255BE">
        <w:rPr>
          <w:rFonts w:ascii="Times New Roman" w:hAnsi="Times New Roman" w:cs="Times New Roman" w:hint="eastAsia"/>
        </w:rPr>
        <w:t>，</w:t>
      </w:r>
      <w:r w:rsidR="007A7E25" w:rsidRPr="00D255BE">
        <w:rPr>
          <w:rFonts w:ascii="Times New Roman" w:hAnsi="Times New Roman" w:cs="Times New Roman" w:hint="eastAsia"/>
        </w:rPr>
        <w:t>美国后</w:t>
      </w:r>
      <w:r w:rsidR="007A7E25" w:rsidRPr="00D255BE">
        <w:rPr>
          <w:rFonts w:ascii="Times New Roman" w:hAnsi="Times New Roman" w:cs="Times New Roman" w:hint="eastAsia"/>
        </w:rPr>
        <w:t>90%</w:t>
      </w:r>
      <w:r w:rsidR="007A7E25" w:rsidRPr="00D255BE">
        <w:rPr>
          <w:rFonts w:ascii="Times New Roman" w:hAnsi="Times New Roman" w:cs="Times New Roman" w:hint="eastAsia"/>
        </w:rPr>
        <w:t>的人口持有的房产价值</w:t>
      </w:r>
      <w:r w:rsidR="00FC45A1" w:rsidRPr="00D255BE">
        <w:rPr>
          <w:rFonts w:ascii="Times New Roman" w:hAnsi="Times New Roman" w:cs="Times New Roman" w:hint="eastAsia"/>
        </w:rPr>
        <w:t>占</w:t>
      </w:r>
      <w:r w:rsidR="00230EB9" w:rsidRPr="00D255BE">
        <w:rPr>
          <w:rFonts w:ascii="Times New Roman" w:hAnsi="Times New Roman" w:cs="Times New Roman" w:hint="eastAsia"/>
        </w:rPr>
        <w:t>全部美国家庭的房产价值</w:t>
      </w:r>
      <w:r w:rsidR="007A7E25" w:rsidRPr="00D255BE">
        <w:rPr>
          <w:rFonts w:ascii="Times New Roman" w:hAnsi="Times New Roman" w:cs="Times New Roman" w:hint="eastAsia"/>
        </w:rPr>
        <w:t>比例为</w:t>
      </w:r>
      <w:r w:rsidR="007A7E25" w:rsidRPr="00D255BE">
        <w:rPr>
          <w:rFonts w:ascii="Times New Roman" w:hAnsi="Times New Roman" w:cs="Times New Roman" w:hint="eastAsia"/>
        </w:rPr>
        <w:t>56.1%</w:t>
      </w:r>
      <w:r w:rsidR="007A7E25" w:rsidRPr="00D255BE">
        <w:rPr>
          <w:rFonts w:ascii="Times New Roman" w:hAnsi="Times New Roman" w:cs="Times New Roman" w:hint="eastAsia"/>
        </w:rPr>
        <w:t>，</w:t>
      </w:r>
      <w:r w:rsidR="00D255BE" w:rsidRPr="00D255BE">
        <w:rPr>
          <w:rFonts w:ascii="Times New Roman" w:hAnsi="Times New Roman" w:cs="Times New Roman" w:hint="eastAsia"/>
        </w:rPr>
        <w:t>背负的住房贷款占全部美国家庭住房贷款</w:t>
      </w:r>
      <w:r w:rsidR="007A7E25" w:rsidRPr="00D255BE">
        <w:rPr>
          <w:rFonts w:ascii="Times New Roman" w:hAnsi="Times New Roman" w:cs="Times New Roman" w:hint="eastAsia"/>
        </w:rPr>
        <w:t>比例为</w:t>
      </w:r>
      <w:r w:rsidR="007A7E25" w:rsidRPr="00D255BE">
        <w:rPr>
          <w:rFonts w:ascii="Times New Roman" w:hAnsi="Times New Roman" w:cs="Times New Roman" w:hint="eastAsia"/>
        </w:rPr>
        <w:t>73.1%</w:t>
      </w:r>
      <w:r w:rsidR="00FC45A1" w:rsidRPr="00D255BE">
        <w:rPr>
          <w:rFonts w:ascii="Times New Roman" w:hAnsi="Times New Roman" w:cs="Times New Roman" w:hint="eastAsia"/>
        </w:rPr>
        <w:t>。</w:t>
      </w:r>
      <w:r w:rsidR="000940B1" w:rsidRPr="00D255BE">
        <w:rPr>
          <w:rStyle w:val="a5"/>
          <w:rFonts w:ascii="Times New Roman" w:hAnsi="Times New Roman" w:cs="Times New Roman"/>
        </w:rPr>
        <w:footnoteReference w:id="25"/>
      </w:r>
      <w:r w:rsidR="007A7E25" w:rsidRPr="00D255BE">
        <w:rPr>
          <w:rFonts w:ascii="Times New Roman" w:hAnsi="Times New Roman" w:cs="Times New Roman" w:hint="eastAsia"/>
        </w:rPr>
        <w:t>这种资产分布变相地造成了另外一种局面，即政府同时被迫承担了中低</w:t>
      </w:r>
      <w:r w:rsidR="007A7E25" w:rsidRPr="00C3146C">
        <w:rPr>
          <w:rFonts w:ascii="Times New Roman" w:hAnsi="Times New Roman" w:cs="Times New Roman" w:hint="eastAsia"/>
        </w:rPr>
        <w:t>收入家庭房产保值增值的任务，一旦房产价值下跌或房贷利率上升，绝大多数家庭的资产与收支状况将显著恶化。</w:t>
      </w:r>
    </w:p>
    <w:p w14:paraId="24A97F2C" w14:textId="3C601CE4" w:rsidR="00C3593B" w:rsidRPr="00C3146C" w:rsidRDefault="008D19FD" w:rsidP="00CF7C31">
      <w:pPr>
        <w:spacing w:line="360" w:lineRule="auto"/>
        <w:ind w:firstLineChars="200" w:firstLine="480"/>
        <w:rPr>
          <w:rFonts w:ascii="Times New Roman" w:hAnsi="Times New Roman" w:cs="Times New Roman"/>
        </w:rPr>
      </w:pPr>
      <w:r w:rsidRPr="00C3146C">
        <w:rPr>
          <w:rFonts w:ascii="Times New Roman" w:hAnsi="Times New Roman" w:cs="Times New Roman" w:hint="eastAsia"/>
        </w:rPr>
        <w:t>资产性收入持续上涨是美国家庭表内支出来源表外化的直观印象，这种平均化的统计数据掩盖了绝大多数美国家庭的真实状况。想想美</w:t>
      </w:r>
      <w:r w:rsidRPr="00230EB9">
        <w:rPr>
          <w:rFonts w:ascii="Times New Roman" w:hAnsi="Times New Roman" w:cs="Times New Roman" w:hint="eastAsia"/>
        </w:rPr>
        <w:t>国黑人、西班牙裔和其他少数族裔中不足</w:t>
      </w:r>
      <w:r w:rsidRPr="00230EB9">
        <w:rPr>
          <w:rFonts w:ascii="Times New Roman" w:hAnsi="Times New Roman" w:cs="Times New Roman" w:hint="eastAsia"/>
        </w:rPr>
        <w:t>50%</w:t>
      </w:r>
      <w:r w:rsidRPr="00230EB9">
        <w:rPr>
          <w:rFonts w:ascii="Times New Roman" w:hAnsi="Times New Roman" w:cs="Times New Roman" w:hint="eastAsia"/>
        </w:rPr>
        <w:t>的雇主医疗</w:t>
      </w:r>
      <w:r w:rsidR="00FC45A1" w:rsidRPr="00230EB9">
        <w:rPr>
          <w:rFonts w:ascii="Times New Roman" w:hAnsi="Times New Roman" w:cs="Times New Roman" w:hint="eastAsia"/>
        </w:rPr>
        <w:t>险</w:t>
      </w:r>
      <w:r w:rsidRPr="00230EB9">
        <w:rPr>
          <w:rFonts w:ascii="Times New Roman" w:hAnsi="Times New Roman" w:cs="Times New Roman" w:hint="eastAsia"/>
        </w:rPr>
        <w:t>覆盖比例，他们哪里来的额外收入投资于金融资产。</w:t>
      </w:r>
      <w:r w:rsidR="001802C6" w:rsidRPr="00230EB9">
        <w:rPr>
          <w:rFonts w:ascii="Times New Roman" w:hAnsi="Times New Roman" w:cs="Times New Roman" w:hint="eastAsia"/>
        </w:rPr>
        <w:t>以资产性收入等表外收入的增长补足美国家庭表内收支的</w:t>
      </w:r>
      <w:r w:rsidR="001802C6" w:rsidRPr="00C3146C">
        <w:rPr>
          <w:rFonts w:ascii="Times New Roman" w:hAnsi="Times New Roman" w:cs="Times New Roman" w:hint="eastAsia"/>
        </w:rPr>
        <w:t>赤字，这不过是一种“掩耳盗铃”的统计假象罢了。</w:t>
      </w:r>
    </w:p>
    <w:p w14:paraId="6E4DE16A" w14:textId="77777777" w:rsidR="00856BDF" w:rsidRPr="00C3146C" w:rsidRDefault="00856BDF" w:rsidP="007762FF">
      <w:pPr>
        <w:spacing w:line="360" w:lineRule="auto"/>
        <w:rPr>
          <w:rFonts w:ascii="Times New Roman" w:hAnsi="Times New Roman" w:cs="Times New Roman"/>
        </w:rPr>
      </w:pPr>
    </w:p>
    <w:p w14:paraId="3CCD9525" w14:textId="361C62D9" w:rsidR="00856BDF" w:rsidRPr="00C3146C" w:rsidRDefault="00DB7C10" w:rsidP="007762FF">
      <w:pPr>
        <w:spacing w:line="360" w:lineRule="auto"/>
        <w:rPr>
          <w:rFonts w:ascii="Times New Roman" w:hAnsi="Times New Roman" w:cs="Times New Roman"/>
          <w:b/>
          <w:bCs/>
        </w:rPr>
      </w:pPr>
      <w:r w:rsidRPr="00C3146C">
        <w:rPr>
          <w:rFonts w:ascii="Times New Roman" w:hAnsi="Times New Roman" w:cs="Times New Roman" w:hint="eastAsia"/>
          <w:b/>
          <w:bCs/>
        </w:rPr>
        <w:t>（三）</w:t>
      </w:r>
      <w:r w:rsidR="00856BDF" w:rsidRPr="00C3146C">
        <w:rPr>
          <w:rFonts w:ascii="Times New Roman" w:hAnsi="Times New Roman" w:cs="Times New Roman" w:hint="eastAsia"/>
          <w:b/>
          <w:bCs/>
        </w:rPr>
        <w:t>增长路径三：</w:t>
      </w:r>
      <w:r w:rsidR="007E6D74" w:rsidRPr="00C3146C">
        <w:rPr>
          <w:rFonts w:ascii="Times New Roman" w:hAnsi="Times New Roman" w:cs="Times New Roman" w:hint="eastAsia"/>
          <w:b/>
          <w:bCs/>
        </w:rPr>
        <w:t>表外利润与公司业务金融化</w:t>
      </w:r>
    </w:p>
    <w:p w14:paraId="4F42C7E1" w14:textId="3707AAA5" w:rsidR="00A0747A" w:rsidRPr="00C3146C" w:rsidRDefault="00A0747A" w:rsidP="00A0747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撇开美国家庭资产性收入的极端分布，私营公司营业盈余的增长确实是美国经济增长最</w:t>
      </w:r>
      <w:r w:rsidR="00AB0CA8" w:rsidRPr="00C3146C">
        <w:rPr>
          <w:rFonts w:ascii="Times New Roman" w:hAnsi="Times New Roman" w:cs="Times New Roman" w:hint="eastAsia"/>
        </w:rPr>
        <w:t>核心</w:t>
      </w:r>
      <w:r w:rsidRPr="00C3146C">
        <w:rPr>
          <w:rFonts w:ascii="Times New Roman" w:hAnsi="Times New Roman" w:cs="Times New Roman" w:hint="eastAsia"/>
        </w:rPr>
        <w:t>的发动机</w:t>
      </w:r>
      <w:r w:rsidR="0075173F" w:rsidRPr="00C3146C">
        <w:rPr>
          <w:rFonts w:ascii="Times New Roman" w:hAnsi="Times New Roman" w:cs="Times New Roman" w:hint="eastAsia"/>
        </w:rPr>
        <w:t>，它为美国经济贡献了超过</w:t>
      </w:r>
      <w:r w:rsidR="0075173F" w:rsidRPr="00C3146C">
        <w:rPr>
          <w:rFonts w:ascii="Times New Roman" w:hAnsi="Times New Roman" w:cs="Times New Roman" w:hint="eastAsia"/>
        </w:rPr>
        <w:t>2</w:t>
      </w:r>
      <w:r w:rsidR="004C100D" w:rsidRPr="00C3146C">
        <w:rPr>
          <w:rFonts w:ascii="Times New Roman" w:hAnsi="Times New Roman" w:cs="Times New Roman" w:hint="eastAsia"/>
        </w:rPr>
        <w:t>3</w:t>
      </w:r>
      <w:r w:rsidR="0075173F" w:rsidRPr="00C3146C">
        <w:rPr>
          <w:rFonts w:ascii="Times New Roman" w:hAnsi="Times New Roman" w:cs="Times New Roman" w:hint="eastAsia"/>
        </w:rPr>
        <w:t>万亿</w:t>
      </w:r>
      <w:r w:rsidR="008C6AE1">
        <w:rPr>
          <w:rFonts w:ascii="Times New Roman" w:hAnsi="Times New Roman" w:cs="Times New Roman" w:hint="eastAsia"/>
        </w:rPr>
        <w:t>美元</w:t>
      </w:r>
      <w:r w:rsidR="0075173F" w:rsidRPr="00C3146C">
        <w:rPr>
          <w:rFonts w:ascii="Times New Roman" w:hAnsi="Times New Roman" w:cs="Times New Roman" w:hint="eastAsia"/>
        </w:rPr>
        <w:t>的表内收入</w:t>
      </w:r>
      <w:r w:rsidR="004C100D" w:rsidRPr="00C3146C">
        <w:rPr>
          <w:rFonts w:ascii="Times New Roman" w:hAnsi="Times New Roman" w:cs="Times New Roman" w:hint="eastAsia"/>
        </w:rPr>
        <w:t>，占美国</w:t>
      </w:r>
      <w:r w:rsidR="004C100D" w:rsidRPr="00230EB9">
        <w:rPr>
          <w:rFonts w:ascii="Times New Roman" w:hAnsi="Times New Roman" w:cs="Times New Roman" w:hint="eastAsia"/>
        </w:rPr>
        <w:t>国民总收入</w:t>
      </w:r>
      <w:r w:rsidR="004C100D" w:rsidRPr="00C3146C">
        <w:rPr>
          <w:rFonts w:ascii="Times New Roman" w:hAnsi="Times New Roman" w:cs="Times New Roman" w:hint="eastAsia"/>
        </w:rPr>
        <w:t>的</w:t>
      </w:r>
      <w:r w:rsidR="004C100D" w:rsidRPr="00C3146C">
        <w:rPr>
          <w:rFonts w:ascii="Times New Roman" w:hAnsi="Times New Roman" w:cs="Times New Roman" w:hint="eastAsia"/>
        </w:rPr>
        <w:t>85%</w:t>
      </w:r>
      <w:r w:rsidR="004C100D" w:rsidRPr="00C3146C">
        <w:rPr>
          <w:rFonts w:ascii="Times New Roman" w:hAnsi="Times New Roman" w:cs="Times New Roman" w:hint="eastAsia"/>
        </w:rPr>
        <w:t>以上。</w:t>
      </w:r>
      <w:r w:rsidR="006E5792" w:rsidRPr="00C3146C">
        <w:rPr>
          <w:rFonts w:ascii="Times New Roman" w:hAnsi="Times New Roman" w:cs="Times New Roman" w:hint="eastAsia"/>
        </w:rPr>
        <w:t>在传统经济理论中，私营公司部门的扩张可以带动更多的就业、更大规模的企业投资和更多的折旧收入，但美国私营公司部门的扩张似乎偏离了传统的理论</w:t>
      </w:r>
      <w:r w:rsidR="009143B4" w:rsidRPr="00C3146C">
        <w:rPr>
          <w:rFonts w:ascii="Times New Roman" w:hAnsi="Times New Roman" w:cs="Times New Roman" w:hint="eastAsia"/>
        </w:rPr>
        <w:t>演化</w:t>
      </w:r>
      <w:r w:rsidR="006E5792" w:rsidRPr="00C3146C">
        <w:rPr>
          <w:rFonts w:ascii="Times New Roman" w:hAnsi="Times New Roman" w:cs="Times New Roman" w:hint="eastAsia"/>
        </w:rPr>
        <w:t>路径。</w:t>
      </w:r>
    </w:p>
    <w:p w14:paraId="3E41D17B" w14:textId="334020F6" w:rsidR="009A60AB" w:rsidRDefault="005838D6" w:rsidP="00A0747A">
      <w:pPr>
        <w:spacing w:line="360" w:lineRule="auto"/>
        <w:ind w:firstLineChars="200" w:firstLine="480"/>
        <w:rPr>
          <w:rFonts w:ascii="Times New Roman" w:hAnsi="Times New Roman" w:cs="Times New Roman"/>
        </w:rPr>
      </w:pPr>
      <w:r w:rsidRPr="00C3146C">
        <w:rPr>
          <w:rFonts w:ascii="Times New Roman" w:hAnsi="Times New Roman" w:cs="Times New Roman" w:hint="eastAsia"/>
        </w:rPr>
        <w:lastRenderedPageBreak/>
        <w:t>私营部门总量的扩张带来了劳动者报酬、营业盈余和私营部门折旧的规模扩张，这是毋庸置疑的结果。我们在大多数时间只看到了总量的增量，对结构变化的动因重视不够，比如公司未分配利润，它的使用才是私营公司部门扩张的真实体现。</w:t>
      </w:r>
      <w:r w:rsidR="000240FE" w:rsidRPr="00C3146C">
        <w:rPr>
          <w:rFonts w:ascii="Times New Roman" w:hAnsi="Times New Roman" w:cs="Times New Roman" w:hint="eastAsia"/>
        </w:rPr>
        <w:t>在报表体系中，未分配利润不是一笔闲置的资金，而是体现为总资产扣除总负债、股东投入股本和永续债等其他权益工具后的余额。如果私营部门用未分配利润增加投资，则总资产科目中的现金、应收款、存货、固定资产、在建工程等实体科目总和占比应持续增长，</w:t>
      </w:r>
      <w:r w:rsidR="003B13E3" w:rsidRPr="00C3146C">
        <w:rPr>
          <w:rFonts w:ascii="Times New Roman" w:hAnsi="Times New Roman" w:cs="Times New Roman" w:hint="eastAsia"/>
        </w:rPr>
        <w:t>但美国非金融公司的资产配置情况并非如此。</w:t>
      </w:r>
    </w:p>
    <w:p w14:paraId="4EB9036E" w14:textId="4692AEED" w:rsidR="009A60AB" w:rsidRDefault="008C6AE1" w:rsidP="004B3A7A">
      <w:pPr>
        <w:spacing w:line="360" w:lineRule="auto"/>
        <w:ind w:firstLineChars="200" w:firstLine="480"/>
        <w:rPr>
          <w:rFonts w:ascii="Times New Roman" w:hAnsi="Times New Roman" w:cs="Times New Roman"/>
        </w:rPr>
      </w:pPr>
      <w:r>
        <w:rPr>
          <w:rFonts w:ascii="Times New Roman" w:hAnsi="Times New Roman" w:cs="Times New Roman" w:hint="eastAsia"/>
        </w:rPr>
        <w:t>二</w:t>
      </w:r>
      <w:r w:rsidRPr="00C3146C">
        <w:rPr>
          <w:rFonts w:ascii="Times New Roman" w:hAnsi="Times New Roman" w:cs="Times New Roman" w:hint="eastAsia"/>
        </w:rPr>
        <w:t>战后至布雷顿森林体系崩溃前夕，美国非金融公司的实体资产配置持续攀升、持有的现金占比持续下降，这一时期私营部门的折旧保持了年均</w:t>
      </w:r>
      <w:r w:rsidRPr="00C3146C">
        <w:rPr>
          <w:rFonts w:ascii="Times New Roman" w:hAnsi="Times New Roman" w:cs="Times New Roman" w:hint="eastAsia"/>
        </w:rPr>
        <w:t>10%</w:t>
      </w:r>
      <w:r w:rsidRPr="00C3146C">
        <w:rPr>
          <w:rFonts w:ascii="Times New Roman" w:hAnsi="Times New Roman" w:cs="Times New Roman" w:hint="eastAsia"/>
        </w:rPr>
        <w:t>以上</w:t>
      </w:r>
      <w:r w:rsidRPr="00556459">
        <w:rPr>
          <w:rFonts w:ascii="Times New Roman" w:hAnsi="Times New Roman" w:cs="Times New Roman" w:hint="eastAsia"/>
        </w:rPr>
        <w:t>的增长。但在</w:t>
      </w:r>
      <w:r w:rsidRPr="00556459">
        <w:rPr>
          <w:rFonts w:ascii="Times New Roman" w:hAnsi="Times New Roman" w:cs="Times New Roman" w:hint="eastAsia"/>
        </w:rPr>
        <w:t>1980</w:t>
      </w:r>
      <w:r w:rsidRPr="00556459">
        <w:rPr>
          <w:rFonts w:ascii="Times New Roman" w:hAnsi="Times New Roman" w:cs="Times New Roman" w:hint="eastAsia"/>
        </w:rPr>
        <w:t>年后，非金融公司持有的资金比例持续增加（见图</w:t>
      </w:r>
      <w:r w:rsidRPr="00556459">
        <w:rPr>
          <w:rFonts w:ascii="Times New Roman" w:hAnsi="Times New Roman" w:cs="Times New Roman" w:hint="eastAsia"/>
        </w:rPr>
        <w:t>8</w:t>
      </w:r>
      <w:r w:rsidRPr="00556459">
        <w:rPr>
          <w:rFonts w:ascii="Times New Roman" w:hAnsi="Times New Roman" w:cs="Times New Roman" w:hint="eastAsia"/>
        </w:rPr>
        <w:t>），艾伦·格林斯潘（</w:t>
      </w:r>
      <w:r w:rsidRPr="00556459">
        <w:rPr>
          <w:rFonts w:ascii="Times New Roman" w:hAnsi="Times New Roman" w:cs="Times New Roman"/>
        </w:rPr>
        <w:t>Alan Greenspan</w:t>
      </w:r>
      <w:r w:rsidRPr="00556459">
        <w:rPr>
          <w:rFonts w:ascii="Times New Roman" w:hAnsi="Times New Roman" w:cs="Times New Roman"/>
        </w:rPr>
        <w:t>）</w:t>
      </w:r>
      <w:r w:rsidRPr="00556459">
        <w:rPr>
          <w:rFonts w:ascii="Times New Roman" w:hAnsi="Times New Roman" w:cs="Times New Roman" w:hint="eastAsia"/>
        </w:rPr>
        <w:t>接任美联储主席后的货币政策看似是非金融公司现金持有比例增长的主要原因，但这种变化早在</w:t>
      </w:r>
      <w:r w:rsidR="00230EB9" w:rsidRPr="00556459">
        <w:rPr>
          <w:rFonts w:ascii="Times New Roman" w:hAnsi="Times New Roman" w:cs="Times New Roman"/>
        </w:rPr>
        <w:t>保罗</w:t>
      </w:r>
      <w:r w:rsidR="00230EB9" w:rsidRPr="00556459">
        <w:rPr>
          <w:rFonts w:ascii="Times New Roman" w:hAnsi="Times New Roman" w:cs="Times New Roman" w:hint="eastAsia"/>
        </w:rPr>
        <w:t>·</w:t>
      </w:r>
      <w:r w:rsidR="00230EB9" w:rsidRPr="00556459">
        <w:rPr>
          <w:rFonts w:ascii="Times New Roman" w:hAnsi="Times New Roman" w:cs="Times New Roman"/>
        </w:rPr>
        <w:t>沃克（</w:t>
      </w:r>
      <w:r w:rsidR="00230EB9" w:rsidRPr="00556459">
        <w:rPr>
          <w:rFonts w:ascii="Times New Roman" w:hAnsi="Times New Roman" w:cs="Times New Roman"/>
        </w:rPr>
        <w:t>Paul Volcker</w:t>
      </w:r>
      <w:r w:rsidR="00230EB9" w:rsidRPr="00556459">
        <w:rPr>
          <w:rFonts w:ascii="Times New Roman" w:hAnsi="Times New Roman" w:cs="Times New Roman" w:hint="eastAsia"/>
        </w:rPr>
        <w:t>）</w:t>
      </w:r>
      <w:r w:rsidRPr="00556459">
        <w:rPr>
          <w:rFonts w:ascii="Times New Roman" w:hAnsi="Times New Roman" w:cs="Times New Roman" w:hint="eastAsia"/>
        </w:rPr>
        <w:t>任职期间就已发生。互联网经济兴起后，美国非金融公司实体资产配置比例进一步下降，这或许与互联网经济轻资产运营的行业特征相关，但我们无法排除非金融公司利用参与金融活动获取资产交易收益的可能性，这部分收益并不体现在国民经济账户</w:t>
      </w:r>
      <w:r w:rsidR="006A0148" w:rsidRPr="00556459">
        <w:rPr>
          <w:rFonts w:ascii="Times New Roman" w:hAnsi="Times New Roman" w:cs="Times New Roman" w:hint="eastAsia"/>
        </w:rPr>
        <w:t>体系</w:t>
      </w:r>
      <w:r w:rsidRPr="00556459">
        <w:rPr>
          <w:rFonts w:ascii="Times New Roman" w:hAnsi="Times New Roman" w:cs="Times New Roman" w:hint="eastAsia"/>
        </w:rPr>
        <w:t>内，但却是家庭分</w:t>
      </w:r>
      <w:r w:rsidRPr="00C3146C">
        <w:rPr>
          <w:rFonts w:ascii="Times New Roman" w:hAnsi="Times New Roman" w:cs="Times New Roman" w:hint="eastAsia"/>
        </w:rPr>
        <w:t>红收入的重要来源。</w:t>
      </w:r>
    </w:p>
    <w:p w14:paraId="2DA3CAC2" w14:textId="7FA636A2" w:rsidR="004B3A7A" w:rsidRPr="00C3146C" w:rsidRDefault="004B3A7A" w:rsidP="009A60AB">
      <w:pPr>
        <w:spacing w:line="360" w:lineRule="auto"/>
        <w:rPr>
          <w:rFonts w:ascii="Times New Roman" w:hAnsi="Times New Roman" w:cs="Times New Roman"/>
        </w:rPr>
      </w:pPr>
      <w:r w:rsidRPr="00C3146C">
        <w:rPr>
          <w:noProof/>
          <w14:ligatures w14:val="standardContextual"/>
        </w:rPr>
        <w:drawing>
          <wp:inline distT="0" distB="0" distL="0" distR="0" wp14:anchorId="268AF3F7" wp14:editId="3F4236CD">
            <wp:extent cx="5241290" cy="2052083"/>
            <wp:effectExtent l="0" t="0" r="16510" b="18415"/>
            <wp:docPr id="554987945" name="图表 1">
              <a:extLst xmlns:a="http://schemas.openxmlformats.org/drawingml/2006/main">
                <a:ext uri="{FF2B5EF4-FFF2-40B4-BE49-F238E27FC236}">
                  <a16:creationId xmlns:a16="http://schemas.microsoft.com/office/drawing/2014/main" id="{2A8CFF73-2AC2-623F-2321-58AFB47F9E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AC56203" w14:textId="77777777" w:rsidR="009A60AB" w:rsidRPr="00C3146C" w:rsidRDefault="009A60AB" w:rsidP="009A60AB">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8 </w:t>
      </w:r>
      <w:r w:rsidRPr="00C3146C">
        <w:rPr>
          <w:rFonts w:ascii="Times New Roman" w:hAnsi="Times New Roman" w:cs="Times New Roman" w:hint="eastAsia"/>
        </w:rPr>
        <w:t>美国非金融公司资产配置</w:t>
      </w:r>
    </w:p>
    <w:p w14:paraId="714DD8C4" w14:textId="3E3D527C" w:rsidR="009A60AB" w:rsidRPr="001E326B" w:rsidRDefault="009A60AB" w:rsidP="009A60AB">
      <w:pPr>
        <w:rPr>
          <w:rFonts w:ascii="Times New Roman" w:hAnsi="Times New Roman" w:cs="Times New Roman"/>
          <w:sz w:val="21"/>
          <w:szCs w:val="21"/>
        </w:rPr>
      </w:pPr>
      <w:r w:rsidRPr="001E326B">
        <w:rPr>
          <w:rFonts w:ascii="Times New Roman" w:hAnsi="Times New Roman" w:cs="Times New Roman" w:hint="eastAsia"/>
          <w:sz w:val="21"/>
          <w:szCs w:val="21"/>
        </w:rPr>
        <w:t>数据来源：</w:t>
      </w:r>
      <w:r w:rsidRPr="001E326B">
        <w:rPr>
          <w:rFonts w:ascii="Times New Roman" w:hAnsi="Times New Roman" w:cs="Times New Roman" w:hint="eastAsia"/>
          <w:sz w:val="21"/>
          <w:szCs w:val="21"/>
        </w:rPr>
        <w:t xml:space="preserve">Federal Reserve </w:t>
      </w:r>
      <w:r w:rsidRPr="001E326B">
        <w:rPr>
          <w:rFonts w:ascii="Times New Roman" w:hAnsi="Times New Roman" w:cs="Times New Roman"/>
          <w:sz w:val="21"/>
          <w:szCs w:val="21"/>
        </w:rPr>
        <w:t>Statistical</w:t>
      </w:r>
      <w:r w:rsidRPr="001E326B">
        <w:rPr>
          <w:rFonts w:ascii="Times New Roman" w:hAnsi="Times New Roman" w:cs="Times New Roman" w:hint="eastAsia"/>
          <w:sz w:val="21"/>
          <w:szCs w:val="21"/>
        </w:rPr>
        <w:t xml:space="preserve"> Release, </w:t>
      </w:r>
      <w:r w:rsidRPr="008C6AE1">
        <w:rPr>
          <w:rFonts w:ascii="Times New Roman" w:hAnsi="Times New Roman" w:cs="Times New Roman"/>
          <w:sz w:val="21"/>
          <w:szCs w:val="21"/>
        </w:rPr>
        <w:t>"</w:t>
      </w:r>
      <w:r w:rsidRPr="00BE517C">
        <w:rPr>
          <w:rFonts w:ascii="Times New Roman" w:hAnsi="Times New Roman" w:cs="Times New Roman"/>
          <w:iCs/>
          <w:sz w:val="21"/>
          <w:szCs w:val="21"/>
        </w:rPr>
        <w:t>Z.1 Financial Accounts of United States: Flow of Funds, Balance Sheets, and Integrated Macroeconomic Accounts Historical Annual Tables</w:t>
      </w:r>
      <w:r w:rsidRPr="008C6AE1">
        <w:rPr>
          <w:rFonts w:ascii="Times New Roman" w:hAnsi="Times New Roman" w:cs="Times New Roman"/>
          <w:sz w:val="21"/>
          <w:szCs w:val="21"/>
        </w:rPr>
        <w:t>".</w:t>
      </w:r>
      <w:r w:rsidRPr="001E326B">
        <w:rPr>
          <w:rFonts w:ascii="Times New Roman" w:hAnsi="Times New Roman" w:cs="Times New Roman" w:hint="eastAsia"/>
          <w:sz w:val="21"/>
          <w:szCs w:val="21"/>
        </w:rPr>
        <w:t>资产配比例数据系笔者计算</w:t>
      </w:r>
      <w:r w:rsidR="008C6AE1">
        <w:rPr>
          <w:rFonts w:ascii="Times New Roman" w:hAnsi="Times New Roman" w:cs="Times New Roman" w:hint="eastAsia"/>
          <w:sz w:val="21"/>
          <w:szCs w:val="21"/>
        </w:rPr>
        <w:t>所得</w:t>
      </w:r>
      <w:r w:rsidRPr="001E326B">
        <w:rPr>
          <w:rFonts w:ascii="Times New Roman" w:hAnsi="Times New Roman" w:cs="Times New Roman" w:hint="eastAsia"/>
          <w:sz w:val="21"/>
          <w:szCs w:val="21"/>
        </w:rPr>
        <w:t>。</w:t>
      </w:r>
    </w:p>
    <w:p w14:paraId="67A3FCCE" w14:textId="5697485F" w:rsidR="001438F4" w:rsidRPr="00C3146C" w:rsidRDefault="001438F4" w:rsidP="001438F4">
      <w:pPr>
        <w:spacing w:line="360" w:lineRule="auto"/>
        <w:ind w:firstLineChars="200" w:firstLine="480"/>
        <w:rPr>
          <w:rFonts w:ascii="Times New Roman" w:hAnsi="Times New Roman" w:cs="Times New Roman"/>
        </w:rPr>
      </w:pPr>
      <w:r w:rsidRPr="00C3146C">
        <w:rPr>
          <w:rFonts w:ascii="Times New Roman" w:hAnsi="Times New Roman" w:cs="Times New Roman" w:hint="eastAsia"/>
        </w:rPr>
        <w:lastRenderedPageBreak/>
        <w:t>并购是非金融公司参与金融活动的重要方式之一。</w:t>
      </w:r>
      <w:r w:rsidR="008C6AE1" w:rsidRPr="00C3146C">
        <w:rPr>
          <w:rStyle w:val="a5"/>
          <w:rFonts w:ascii="Times New Roman" w:hAnsi="Times New Roman" w:cs="Times New Roman"/>
        </w:rPr>
        <w:footnoteReference w:id="26"/>
      </w:r>
      <w:r w:rsidR="00A403E4" w:rsidRPr="00C3146C">
        <w:rPr>
          <w:rFonts w:ascii="Times New Roman" w:hAnsi="Times New Roman" w:cs="Times New Roman" w:hint="eastAsia"/>
        </w:rPr>
        <w:t>通过并购，主持并购的企业或许可以获得规模经济效应。我们可以从两个角度理解规模经济效应：</w:t>
      </w:r>
      <w:r w:rsidR="008C6AE1">
        <w:rPr>
          <w:rFonts w:ascii="Times New Roman" w:hAnsi="Times New Roman" w:cs="Times New Roman" w:hint="eastAsia"/>
        </w:rPr>
        <w:t>一是</w:t>
      </w:r>
      <w:r w:rsidR="00A403E4" w:rsidRPr="00C3146C">
        <w:rPr>
          <w:rFonts w:ascii="Times New Roman" w:hAnsi="Times New Roman" w:cs="Times New Roman" w:hint="eastAsia"/>
        </w:rPr>
        <w:t>增量投资</w:t>
      </w:r>
      <w:r w:rsidR="008C6AE1">
        <w:rPr>
          <w:rFonts w:ascii="Times New Roman" w:hAnsi="Times New Roman" w:cs="Times New Roman" w:hint="eastAsia"/>
        </w:rPr>
        <w:t>，二是</w:t>
      </w:r>
      <w:r w:rsidR="00A403E4" w:rsidRPr="00C3146C">
        <w:rPr>
          <w:rFonts w:ascii="Times New Roman" w:hAnsi="Times New Roman" w:cs="Times New Roman" w:hint="eastAsia"/>
        </w:rPr>
        <w:t>存量资产盘活。</w:t>
      </w:r>
      <w:r w:rsidR="00A95D22" w:rsidRPr="00C3146C">
        <w:rPr>
          <w:rFonts w:ascii="Times New Roman" w:hAnsi="Times New Roman" w:cs="Times New Roman" w:hint="eastAsia"/>
        </w:rPr>
        <w:t>并购确实带来了增量投资，但增量流向了世界，</w:t>
      </w:r>
      <w:r w:rsidR="002D5B43" w:rsidRPr="00C3146C">
        <w:rPr>
          <w:rFonts w:ascii="Times New Roman" w:hAnsi="Times New Roman" w:cs="Times New Roman" w:hint="eastAsia"/>
        </w:rPr>
        <w:t>美国对外直接投资数据显示</w:t>
      </w:r>
      <w:r w:rsidR="008C6AE1">
        <w:rPr>
          <w:rFonts w:ascii="Times New Roman" w:hAnsi="Times New Roman" w:cs="Times New Roman" w:hint="eastAsia"/>
        </w:rPr>
        <w:t>，</w:t>
      </w:r>
      <w:r w:rsidR="002D5B43" w:rsidRPr="00C3146C">
        <w:rPr>
          <w:rFonts w:ascii="Times New Roman" w:hAnsi="Times New Roman" w:cs="Times New Roman" w:hint="eastAsia"/>
        </w:rPr>
        <w:t>1985</w:t>
      </w:r>
      <w:r w:rsidR="002D5B43" w:rsidRPr="00C3146C">
        <w:rPr>
          <w:rFonts w:ascii="Times New Roman" w:hAnsi="Times New Roman" w:cs="Times New Roman" w:hint="eastAsia"/>
        </w:rPr>
        <w:t>年后美国对外投资增速显著增长，这种增势一直持续到了</w:t>
      </w:r>
      <w:r w:rsidR="002D5B43" w:rsidRPr="00C3146C">
        <w:rPr>
          <w:rFonts w:ascii="Times New Roman" w:hAnsi="Times New Roman" w:cs="Times New Roman" w:hint="eastAsia"/>
        </w:rPr>
        <w:t>2004</w:t>
      </w:r>
      <w:r w:rsidR="002D5B43" w:rsidRPr="00C3146C">
        <w:rPr>
          <w:rFonts w:ascii="Times New Roman" w:hAnsi="Times New Roman" w:cs="Times New Roman" w:hint="eastAsia"/>
        </w:rPr>
        <w:t>年，</w:t>
      </w:r>
      <w:r w:rsidR="002D5B43" w:rsidRPr="00C3146C">
        <w:rPr>
          <w:rFonts w:ascii="Times New Roman" w:hAnsi="Times New Roman" w:cs="Times New Roman" w:hint="eastAsia"/>
        </w:rPr>
        <w:t>1982</w:t>
      </w:r>
      <w:r w:rsidR="008C6AE1">
        <w:rPr>
          <w:rFonts w:ascii="Times New Roman" w:hAnsi="Times New Roman" w:cs="Times New Roman" w:hint="eastAsia"/>
        </w:rPr>
        <w:t>—</w:t>
      </w:r>
      <w:r w:rsidR="002D5B43" w:rsidRPr="00C3146C">
        <w:rPr>
          <w:rFonts w:ascii="Times New Roman" w:hAnsi="Times New Roman" w:cs="Times New Roman" w:hint="eastAsia"/>
        </w:rPr>
        <w:t>2024</w:t>
      </w:r>
      <w:r w:rsidR="002D5B43" w:rsidRPr="00C3146C">
        <w:rPr>
          <w:rFonts w:ascii="Times New Roman" w:hAnsi="Times New Roman" w:cs="Times New Roman" w:hint="eastAsia"/>
        </w:rPr>
        <w:t>年</w:t>
      </w:r>
      <w:r w:rsidR="008C6AE1">
        <w:rPr>
          <w:rFonts w:ascii="Times New Roman" w:hAnsi="Times New Roman" w:cs="Times New Roman" w:hint="eastAsia"/>
        </w:rPr>
        <w:t>，</w:t>
      </w:r>
      <w:r w:rsidR="002D5B43" w:rsidRPr="00C3146C">
        <w:rPr>
          <w:rFonts w:ascii="Times New Roman" w:hAnsi="Times New Roman" w:cs="Times New Roman" w:hint="eastAsia"/>
        </w:rPr>
        <w:t>美国公司对内投资</w:t>
      </w:r>
      <w:r w:rsidR="002D5B43" w:rsidRPr="00C3146C">
        <w:rPr>
          <w:rFonts w:ascii="Times New Roman" w:hAnsi="Times New Roman" w:cs="Times New Roman" w:hint="eastAsia"/>
        </w:rPr>
        <w:t>67</w:t>
      </w:r>
      <w:r w:rsidR="002D5B43" w:rsidRPr="00C3146C">
        <w:rPr>
          <w:rFonts w:ascii="Times New Roman" w:hAnsi="Times New Roman" w:cs="Times New Roman" w:hint="eastAsia"/>
        </w:rPr>
        <w:t>万亿</w:t>
      </w:r>
      <w:r w:rsidR="008C6AE1">
        <w:rPr>
          <w:rFonts w:ascii="Times New Roman" w:hAnsi="Times New Roman" w:cs="Times New Roman" w:hint="eastAsia"/>
        </w:rPr>
        <w:t>美元</w:t>
      </w:r>
      <w:r w:rsidR="002D5B43" w:rsidRPr="00C3146C">
        <w:rPr>
          <w:rFonts w:ascii="Times New Roman" w:hAnsi="Times New Roman" w:cs="Times New Roman" w:hint="eastAsia"/>
        </w:rPr>
        <w:t>、对外投资</w:t>
      </w:r>
      <w:r w:rsidR="002D5B43" w:rsidRPr="00C3146C">
        <w:rPr>
          <w:rFonts w:ascii="Times New Roman" w:hAnsi="Times New Roman" w:cs="Times New Roman" w:hint="eastAsia"/>
        </w:rPr>
        <w:t>108</w:t>
      </w:r>
      <w:r w:rsidR="002D5B43" w:rsidRPr="00C3146C">
        <w:rPr>
          <w:rFonts w:ascii="Times New Roman" w:hAnsi="Times New Roman" w:cs="Times New Roman" w:hint="eastAsia"/>
        </w:rPr>
        <w:t>万亿</w:t>
      </w:r>
      <w:r w:rsidR="008C6AE1">
        <w:rPr>
          <w:rFonts w:ascii="Times New Roman" w:hAnsi="Times New Roman" w:cs="Times New Roman" w:hint="eastAsia"/>
        </w:rPr>
        <w:t>美元</w:t>
      </w:r>
      <w:r w:rsidR="002D5B43" w:rsidRPr="00C3146C">
        <w:rPr>
          <w:rFonts w:ascii="Times New Roman" w:hAnsi="Times New Roman" w:cs="Times New Roman" w:hint="eastAsia"/>
        </w:rPr>
        <w:t>，美国生产资本大量转向国外。</w:t>
      </w:r>
      <w:r w:rsidR="00B81936" w:rsidRPr="00C3146C">
        <w:rPr>
          <w:rFonts w:ascii="Times New Roman" w:hAnsi="Times New Roman" w:cs="Times New Roman" w:hint="eastAsia"/>
        </w:rPr>
        <w:t>海外投资给美国母公司带来了丰厚的利润，</w:t>
      </w:r>
      <w:r w:rsidR="005A76D9" w:rsidRPr="00C3146C">
        <w:rPr>
          <w:rFonts w:ascii="Times New Roman" w:hAnsi="Times New Roman" w:cs="Times New Roman" w:hint="eastAsia"/>
        </w:rPr>
        <w:t>通过分红平衡了家庭收支平衡，</w:t>
      </w:r>
      <w:r w:rsidR="00100366" w:rsidRPr="00C3146C">
        <w:rPr>
          <w:rFonts w:ascii="Times New Roman" w:hAnsi="Times New Roman" w:cs="Times New Roman" w:hint="eastAsia"/>
        </w:rPr>
        <w:t>同时也给母国带来了巨额的贸易赤字。</w:t>
      </w:r>
      <w:r w:rsidR="005A76D9" w:rsidRPr="00C3146C">
        <w:rPr>
          <w:rFonts w:ascii="Times New Roman" w:hAnsi="Times New Roman" w:cs="Times New Roman" w:hint="eastAsia"/>
        </w:rPr>
        <w:t>在存货资产盘活方面，并购确实带来了直观的经济效果，</w:t>
      </w:r>
      <w:r w:rsidR="005A76D9" w:rsidRPr="00C3146C">
        <w:rPr>
          <w:rFonts w:ascii="Times New Roman" w:hAnsi="Times New Roman" w:cs="Times New Roman" w:hint="eastAsia"/>
        </w:rPr>
        <w:t>1982</w:t>
      </w:r>
      <w:r w:rsidR="005A76D9" w:rsidRPr="00C3146C">
        <w:rPr>
          <w:rFonts w:ascii="Times New Roman" w:hAnsi="Times New Roman" w:cs="Times New Roman" w:hint="eastAsia"/>
        </w:rPr>
        <w:t>年后美国非金融公司部门税前利润与实体资产的比例持续改善，企业资本收益率提升。但是，多数情况下并购并不会带来直接的固定资产投资，</w:t>
      </w:r>
      <w:r w:rsidR="005A76D9" w:rsidRPr="00556459">
        <w:rPr>
          <w:rFonts w:ascii="Times New Roman" w:hAnsi="Times New Roman" w:cs="Times New Roman" w:hint="eastAsia"/>
        </w:rPr>
        <w:t>而是存量</w:t>
      </w:r>
      <w:r w:rsidR="00556459" w:rsidRPr="00556459">
        <w:rPr>
          <w:rFonts w:ascii="Times New Roman" w:hAnsi="Times New Roman" w:cs="Times New Roman" w:hint="eastAsia"/>
        </w:rPr>
        <w:t>资产</w:t>
      </w:r>
      <w:r w:rsidR="005A76D9" w:rsidRPr="00556459">
        <w:rPr>
          <w:rFonts w:ascii="Times New Roman" w:hAnsi="Times New Roman" w:cs="Times New Roman" w:hint="eastAsia"/>
        </w:rPr>
        <w:t>的再利用：其一，并购方通过并购融资获取被并购方股权，被并购方股东获得投资回报，这笔资金</w:t>
      </w:r>
      <w:r w:rsidR="00396456" w:rsidRPr="00556459">
        <w:rPr>
          <w:rFonts w:ascii="Times New Roman" w:hAnsi="Times New Roman" w:cs="Times New Roman" w:hint="eastAsia"/>
        </w:rPr>
        <w:t>属于再分配，它</w:t>
      </w:r>
      <w:r w:rsidR="005A76D9" w:rsidRPr="00556459">
        <w:rPr>
          <w:rFonts w:ascii="Times New Roman" w:hAnsi="Times New Roman" w:cs="Times New Roman" w:hint="eastAsia"/>
        </w:rPr>
        <w:t>是否会通过二次创业</w:t>
      </w:r>
      <w:r w:rsidR="00396456" w:rsidRPr="00556459">
        <w:rPr>
          <w:rFonts w:ascii="Times New Roman" w:hAnsi="Times New Roman" w:cs="Times New Roman" w:hint="eastAsia"/>
        </w:rPr>
        <w:t>投入再生产，</w:t>
      </w:r>
      <w:r w:rsidR="00F8663F" w:rsidRPr="00556459">
        <w:rPr>
          <w:rFonts w:ascii="Times New Roman" w:hAnsi="Times New Roman" w:cs="Times New Roman" w:hint="eastAsia"/>
        </w:rPr>
        <w:t>这是</w:t>
      </w:r>
      <w:r w:rsidR="00396456" w:rsidRPr="00556459">
        <w:rPr>
          <w:rFonts w:ascii="Times New Roman" w:hAnsi="Times New Roman" w:cs="Times New Roman" w:hint="eastAsia"/>
        </w:rPr>
        <w:t>不</w:t>
      </w:r>
      <w:r w:rsidR="00396456" w:rsidRPr="00C3146C">
        <w:rPr>
          <w:rFonts w:ascii="Times New Roman" w:hAnsi="Times New Roman" w:cs="Times New Roman" w:hint="eastAsia"/>
        </w:rPr>
        <w:t>确定性</w:t>
      </w:r>
      <w:r w:rsidR="00F8663F" w:rsidRPr="00C3146C">
        <w:rPr>
          <w:rFonts w:ascii="Times New Roman" w:hAnsi="Times New Roman" w:cs="Times New Roman" w:hint="eastAsia"/>
        </w:rPr>
        <w:t>事件</w:t>
      </w:r>
      <w:r w:rsidR="00396456" w:rsidRPr="00C3146C">
        <w:rPr>
          <w:rFonts w:ascii="Times New Roman" w:hAnsi="Times New Roman" w:cs="Times New Roman" w:hint="eastAsia"/>
        </w:rPr>
        <w:t>，如美国联合保险集团</w:t>
      </w:r>
      <w:r w:rsidR="00F8663F" w:rsidRPr="00C3146C">
        <w:rPr>
          <w:rFonts w:ascii="Times New Roman" w:hAnsi="Times New Roman" w:cs="Times New Roman" w:hint="eastAsia"/>
        </w:rPr>
        <w:t>（</w:t>
      </w:r>
      <w:r w:rsidR="005B4896" w:rsidRPr="00BE517C">
        <w:rPr>
          <w:rFonts w:ascii="Times New Roman" w:hAnsi="Times New Roman" w:cs="Times New Roman"/>
          <w:iCs/>
        </w:rPr>
        <w:t>UnitedHealthcare</w:t>
      </w:r>
      <w:r w:rsidR="00F8663F" w:rsidRPr="00BE517C">
        <w:rPr>
          <w:rFonts w:ascii="Times New Roman" w:hAnsi="Times New Roman" w:cs="Times New Roman"/>
          <w:iCs/>
        </w:rPr>
        <w:t xml:space="preserve"> Group</w:t>
      </w:r>
      <w:r w:rsidR="00F8663F" w:rsidRPr="00C3146C">
        <w:rPr>
          <w:rFonts w:ascii="Times New Roman" w:hAnsi="Times New Roman" w:cs="Times New Roman" w:hint="eastAsia"/>
        </w:rPr>
        <w:t>）</w:t>
      </w:r>
      <w:r w:rsidR="00396456" w:rsidRPr="00C3146C">
        <w:rPr>
          <w:rFonts w:ascii="Times New Roman" w:hAnsi="Times New Roman" w:cs="Times New Roman" w:hint="eastAsia"/>
        </w:rPr>
        <w:t>持有</w:t>
      </w:r>
      <w:r w:rsidR="00396456" w:rsidRPr="00C3146C">
        <w:rPr>
          <w:rFonts w:ascii="Times New Roman" w:hAnsi="Times New Roman" w:cs="Times New Roman" w:hint="eastAsia"/>
        </w:rPr>
        <w:t>1037</w:t>
      </w:r>
      <w:r w:rsidR="00396456" w:rsidRPr="00C3146C">
        <w:rPr>
          <w:rFonts w:ascii="Times New Roman" w:hAnsi="Times New Roman" w:cs="Times New Roman" w:hint="eastAsia"/>
        </w:rPr>
        <w:t>亿</w:t>
      </w:r>
      <w:r w:rsidR="008C6AE1">
        <w:rPr>
          <w:rFonts w:ascii="Times New Roman" w:hAnsi="Times New Roman" w:cs="Times New Roman" w:hint="eastAsia"/>
        </w:rPr>
        <w:t>美元</w:t>
      </w:r>
      <w:r w:rsidR="00396456" w:rsidRPr="00C3146C">
        <w:rPr>
          <w:rFonts w:ascii="Times New Roman" w:hAnsi="Times New Roman" w:cs="Times New Roman" w:hint="eastAsia"/>
        </w:rPr>
        <w:t>的商誉、占总资产比例</w:t>
      </w:r>
      <w:r w:rsidR="00396456" w:rsidRPr="00C3146C">
        <w:rPr>
          <w:rFonts w:ascii="Times New Roman" w:hAnsi="Times New Roman" w:cs="Times New Roman" w:hint="eastAsia"/>
        </w:rPr>
        <w:t>37.9%</w:t>
      </w:r>
      <w:r w:rsidR="00152806" w:rsidRPr="00C3146C">
        <w:rPr>
          <w:rFonts w:ascii="Times New Roman" w:hAnsi="Times New Roman" w:cs="Times New Roman" w:hint="eastAsia"/>
        </w:rPr>
        <w:t>，我们很难确认并购形成的</w:t>
      </w:r>
      <w:r w:rsidR="00152806" w:rsidRPr="00C3146C">
        <w:rPr>
          <w:rFonts w:ascii="Times New Roman" w:hAnsi="Times New Roman" w:cs="Times New Roman" w:hint="eastAsia"/>
        </w:rPr>
        <w:t>1000</w:t>
      </w:r>
      <w:r w:rsidR="00152806" w:rsidRPr="00C3146C">
        <w:rPr>
          <w:rFonts w:ascii="Times New Roman" w:hAnsi="Times New Roman" w:cs="Times New Roman" w:hint="eastAsia"/>
        </w:rPr>
        <w:t>亿股本溢价会全部投向再生产</w:t>
      </w:r>
      <w:r w:rsidR="005A76D9" w:rsidRPr="00C3146C">
        <w:rPr>
          <w:rFonts w:ascii="Times New Roman" w:hAnsi="Times New Roman" w:cs="Times New Roman" w:hint="eastAsia"/>
        </w:rPr>
        <w:t>；其二，多数并购是溢价并购，在并购方报表增加了商誉科目，这部分资本性开支没有任何对应的资产，不具有生产性特征，美国非金融公司</w:t>
      </w:r>
      <w:r w:rsidR="006B121C" w:rsidRPr="00C3146C">
        <w:rPr>
          <w:rFonts w:ascii="Times New Roman" w:hAnsi="Times New Roman" w:cs="Times New Roman" w:hint="eastAsia"/>
        </w:rPr>
        <w:t>2024</w:t>
      </w:r>
      <w:r w:rsidR="006B121C" w:rsidRPr="00C3146C">
        <w:rPr>
          <w:rFonts w:ascii="Times New Roman" w:hAnsi="Times New Roman" w:cs="Times New Roman" w:hint="eastAsia"/>
        </w:rPr>
        <w:t>年初的</w:t>
      </w:r>
      <w:r w:rsidR="005A76D9" w:rsidRPr="00C3146C">
        <w:rPr>
          <w:rFonts w:ascii="Times New Roman" w:hAnsi="Times New Roman" w:cs="Times New Roman" w:hint="eastAsia"/>
        </w:rPr>
        <w:t>商誉总额为</w:t>
      </w:r>
      <w:r w:rsidR="005A76D9" w:rsidRPr="00C3146C">
        <w:rPr>
          <w:rFonts w:ascii="Times New Roman" w:hAnsi="Times New Roman" w:cs="Times New Roman" w:hint="eastAsia"/>
        </w:rPr>
        <w:t>4</w:t>
      </w:r>
      <w:r w:rsidR="005A76D9" w:rsidRPr="00C3146C">
        <w:rPr>
          <w:rFonts w:ascii="Times New Roman" w:hAnsi="Times New Roman" w:cs="Times New Roman" w:hint="eastAsia"/>
        </w:rPr>
        <w:t>万亿</w:t>
      </w:r>
      <w:r w:rsidR="008C6AE1">
        <w:rPr>
          <w:rFonts w:ascii="Times New Roman" w:hAnsi="Times New Roman" w:cs="Times New Roman" w:hint="eastAsia"/>
        </w:rPr>
        <w:t>美元，</w:t>
      </w:r>
      <w:r w:rsidR="005A76D9" w:rsidRPr="00C3146C">
        <w:rPr>
          <w:rStyle w:val="a5"/>
          <w:rFonts w:ascii="Times New Roman" w:hAnsi="Times New Roman" w:cs="Times New Roman"/>
        </w:rPr>
        <w:footnoteReference w:id="27"/>
      </w:r>
      <w:r w:rsidR="005A76D9" w:rsidRPr="00C3146C">
        <w:rPr>
          <w:rFonts w:ascii="Times New Roman" w:hAnsi="Times New Roman" w:cs="Times New Roman" w:hint="eastAsia"/>
        </w:rPr>
        <w:t>占国内非金融上市公司市值的比例接近</w:t>
      </w:r>
      <w:r w:rsidR="005A76D9" w:rsidRPr="00C3146C">
        <w:rPr>
          <w:rFonts w:ascii="Times New Roman" w:hAnsi="Times New Roman" w:cs="Times New Roman" w:hint="eastAsia"/>
        </w:rPr>
        <w:t>10%</w:t>
      </w:r>
      <w:r w:rsidR="009C6898" w:rsidRPr="00C3146C">
        <w:rPr>
          <w:rFonts w:ascii="Times New Roman" w:hAnsi="Times New Roman" w:cs="Times New Roman" w:hint="eastAsia"/>
        </w:rPr>
        <w:t>，且相当比例的商誉会</w:t>
      </w:r>
      <w:r w:rsidR="009C6898" w:rsidRPr="00D30568">
        <w:rPr>
          <w:rFonts w:ascii="Times New Roman" w:hAnsi="Times New Roman" w:cs="Times New Roman" w:hint="eastAsia"/>
        </w:rPr>
        <w:t>通过调整项冲减</w:t>
      </w:r>
      <w:r w:rsidR="008C6AE1" w:rsidRPr="00D30568">
        <w:rPr>
          <w:rFonts w:ascii="Times New Roman" w:hAnsi="Times New Roman" w:cs="Times New Roman" w:hint="eastAsia"/>
        </w:rPr>
        <w:t>，</w:t>
      </w:r>
      <w:r w:rsidR="009C6898" w:rsidRPr="00D30568">
        <w:rPr>
          <w:rFonts w:ascii="Times New Roman" w:hAnsi="Times New Roman" w:cs="Times New Roman" w:hint="eastAsia"/>
        </w:rPr>
        <w:t>相当于并购信用的凭空消失，</w:t>
      </w:r>
      <w:r w:rsidR="009C6898" w:rsidRPr="00D30568">
        <w:rPr>
          <w:rFonts w:ascii="Times New Roman" w:hAnsi="Times New Roman" w:cs="Times New Roman" w:hint="eastAsia"/>
        </w:rPr>
        <w:t>2020</w:t>
      </w:r>
      <w:r w:rsidR="009C6898" w:rsidRPr="00D30568">
        <w:rPr>
          <w:rFonts w:ascii="Times New Roman" w:hAnsi="Times New Roman" w:cs="Times New Roman" w:hint="eastAsia"/>
        </w:rPr>
        <w:t>年美国公司商誉修正额为</w:t>
      </w:r>
      <w:r w:rsidR="009C6898" w:rsidRPr="00D30568">
        <w:rPr>
          <w:rFonts w:ascii="Times New Roman" w:hAnsi="Times New Roman" w:cs="Times New Roman" w:hint="eastAsia"/>
        </w:rPr>
        <w:t>1425</w:t>
      </w:r>
      <w:r w:rsidR="009C6898" w:rsidRPr="00D30568">
        <w:rPr>
          <w:rFonts w:ascii="Times New Roman" w:hAnsi="Times New Roman" w:cs="Times New Roman" w:hint="eastAsia"/>
        </w:rPr>
        <w:t>亿</w:t>
      </w:r>
      <w:r w:rsidR="008C6AE1" w:rsidRPr="00D30568">
        <w:rPr>
          <w:rFonts w:ascii="Times New Roman" w:hAnsi="Times New Roman" w:cs="Times New Roman" w:hint="eastAsia"/>
        </w:rPr>
        <w:t>美元；</w:t>
      </w:r>
      <w:r w:rsidR="001603DE" w:rsidRPr="00D30568">
        <w:rPr>
          <w:rStyle w:val="a5"/>
          <w:rFonts w:ascii="Times New Roman" w:hAnsi="Times New Roman" w:cs="Times New Roman"/>
        </w:rPr>
        <w:footnoteReference w:id="28"/>
      </w:r>
      <w:r w:rsidR="00152806" w:rsidRPr="00D30568">
        <w:rPr>
          <w:rFonts w:ascii="Times New Roman" w:hAnsi="Times New Roman" w:cs="Times New Roman" w:hint="eastAsia"/>
        </w:rPr>
        <w:t>其三，</w:t>
      </w:r>
      <w:r w:rsidR="00736BD7" w:rsidRPr="00D30568">
        <w:rPr>
          <w:rFonts w:ascii="Times New Roman" w:hAnsi="Times New Roman" w:cs="Times New Roman" w:hint="eastAsia"/>
        </w:rPr>
        <w:t>并购以利润最大化为导向，它会否利用</w:t>
      </w:r>
      <w:r w:rsidR="00D30568" w:rsidRPr="00D30568">
        <w:rPr>
          <w:rFonts w:ascii="Times New Roman" w:hAnsi="Times New Roman" w:cs="Times New Roman" w:hint="eastAsia"/>
        </w:rPr>
        <w:t>资产</w:t>
      </w:r>
      <w:r w:rsidR="00736BD7" w:rsidRPr="00D30568">
        <w:rPr>
          <w:rFonts w:ascii="Times New Roman" w:hAnsi="Times New Roman" w:cs="Times New Roman" w:hint="eastAsia"/>
        </w:rPr>
        <w:t>扩大生产出更多的产</w:t>
      </w:r>
      <w:r w:rsidR="00736BD7" w:rsidRPr="00C3146C">
        <w:rPr>
          <w:rFonts w:ascii="Times New Roman" w:hAnsi="Times New Roman" w:cs="Times New Roman" w:hint="eastAsia"/>
        </w:rPr>
        <w:t>品或提供更多的服务，</w:t>
      </w:r>
      <w:r w:rsidR="008C6AE1">
        <w:rPr>
          <w:rFonts w:ascii="Times New Roman" w:hAnsi="Times New Roman" w:cs="Times New Roman" w:hint="eastAsia"/>
        </w:rPr>
        <w:t>这是</w:t>
      </w:r>
      <w:r w:rsidR="00736BD7" w:rsidRPr="00C3146C">
        <w:rPr>
          <w:rFonts w:ascii="Times New Roman" w:hAnsi="Times New Roman" w:cs="Times New Roman" w:hint="eastAsia"/>
        </w:rPr>
        <w:t>我们很难确定</w:t>
      </w:r>
      <w:r w:rsidR="008C6AE1">
        <w:rPr>
          <w:rFonts w:ascii="Times New Roman" w:hAnsi="Times New Roman" w:cs="Times New Roman" w:hint="eastAsia"/>
        </w:rPr>
        <w:t>的</w:t>
      </w:r>
      <w:r w:rsidR="00736BD7" w:rsidRPr="00C3146C">
        <w:rPr>
          <w:rFonts w:ascii="Times New Roman" w:hAnsi="Times New Roman" w:cs="Times New Roman" w:hint="eastAsia"/>
        </w:rPr>
        <w:t>，但并购浪潮利用并购后的集中优势，以提升产品或服务价格的方式获取更大规模利润</w:t>
      </w:r>
      <w:r w:rsidR="000E0CAF" w:rsidRPr="00C3146C">
        <w:rPr>
          <w:rFonts w:ascii="Times New Roman" w:hAnsi="Times New Roman" w:cs="Times New Roman" w:hint="eastAsia"/>
        </w:rPr>
        <w:t>，</w:t>
      </w:r>
      <w:r w:rsidR="008C6AE1">
        <w:rPr>
          <w:rFonts w:ascii="Times New Roman" w:hAnsi="Times New Roman" w:cs="Times New Roman" w:hint="eastAsia"/>
        </w:rPr>
        <w:t>这</w:t>
      </w:r>
      <w:r w:rsidR="00736BD7" w:rsidRPr="00C3146C">
        <w:rPr>
          <w:rFonts w:ascii="Times New Roman" w:hAnsi="Times New Roman" w:cs="Times New Roman" w:hint="eastAsia"/>
        </w:rPr>
        <w:t>却是大概率事件。</w:t>
      </w:r>
    </w:p>
    <w:p w14:paraId="54986B25" w14:textId="73DB1BC5" w:rsidR="005C6617" w:rsidRPr="00C3146C" w:rsidRDefault="005C6617" w:rsidP="001438F4">
      <w:pPr>
        <w:spacing w:line="360" w:lineRule="auto"/>
        <w:ind w:firstLineChars="200" w:firstLine="480"/>
        <w:rPr>
          <w:rFonts w:ascii="Times New Roman" w:hAnsi="Times New Roman" w:cs="Times New Roman"/>
        </w:rPr>
      </w:pPr>
      <w:r w:rsidRPr="00C3146C">
        <w:rPr>
          <w:rFonts w:ascii="Times New Roman" w:hAnsi="Times New Roman" w:cs="Times New Roman" w:hint="eastAsia"/>
        </w:rPr>
        <w:lastRenderedPageBreak/>
        <w:t>不论是增加金融资产配置、海外投资转移生产，还是通过并购提升价格获取更大规模利润，都是企业开展金融化活动的手段之一</w:t>
      </w:r>
      <w:r w:rsidR="008C6AE1">
        <w:rPr>
          <w:rFonts w:ascii="Times New Roman" w:hAnsi="Times New Roman" w:cs="Times New Roman" w:hint="eastAsia"/>
        </w:rPr>
        <w:t>，</w:t>
      </w:r>
      <w:r w:rsidRPr="00C3146C">
        <w:rPr>
          <w:rStyle w:val="a5"/>
          <w:rFonts w:ascii="Times New Roman" w:hAnsi="Times New Roman" w:cs="Times New Roman"/>
        </w:rPr>
        <w:footnoteReference w:id="29"/>
      </w:r>
      <w:r w:rsidRPr="00C3146C">
        <w:rPr>
          <w:rFonts w:ascii="Times New Roman" w:hAnsi="Times New Roman" w:cs="Times New Roman" w:hint="eastAsia"/>
        </w:rPr>
        <w:t>且金融化活动形成的利润并不进入国民经济报表，这就造成了金融化背景下国民经济账户</w:t>
      </w:r>
      <w:r w:rsidR="006A0148">
        <w:rPr>
          <w:rFonts w:ascii="Times New Roman" w:hAnsi="Times New Roman" w:cs="Times New Roman" w:hint="eastAsia"/>
        </w:rPr>
        <w:t>体系</w:t>
      </w:r>
      <w:r w:rsidRPr="00C3146C">
        <w:rPr>
          <w:rFonts w:ascii="Times New Roman" w:hAnsi="Times New Roman" w:cs="Times New Roman" w:hint="eastAsia"/>
        </w:rPr>
        <w:t>统计漏项的增加，</w:t>
      </w:r>
      <w:r w:rsidR="000E0CAF" w:rsidRPr="00C3146C">
        <w:rPr>
          <w:rFonts w:ascii="Times New Roman" w:hAnsi="Times New Roman" w:cs="Times New Roman" w:hint="eastAsia"/>
        </w:rPr>
        <w:t>削弱</w:t>
      </w:r>
      <w:r w:rsidRPr="00C3146C">
        <w:rPr>
          <w:rFonts w:ascii="Times New Roman" w:hAnsi="Times New Roman" w:cs="Times New Roman" w:hint="eastAsia"/>
        </w:rPr>
        <w:t>了其用于指导宏观决策的有效性。</w:t>
      </w:r>
      <w:r w:rsidR="00904945" w:rsidRPr="00C3146C">
        <w:rPr>
          <w:rFonts w:ascii="Times New Roman" w:hAnsi="Times New Roman" w:cs="Times New Roman" w:hint="eastAsia"/>
        </w:rPr>
        <w:t>如果给表外利润增长一个直观的测度指标，我们或</w:t>
      </w:r>
      <w:r w:rsidR="002120D8" w:rsidRPr="00C3146C">
        <w:rPr>
          <w:rFonts w:ascii="Times New Roman" w:hAnsi="Times New Roman" w:cs="Times New Roman" w:hint="eastAsia"/>
        </w:rPr>
        <w:t>可</w:t>
      </w:r>
      <w:r w:rsidR="00904945" w:rsidRPr="00C3146C">
        <w:rPr>
          <w:rFonts w:ascii="Times New Roman" w:hAnsi="Times New Roman" w:cs="Times New Roman" w:hint="eastAsia"/>
        </w:rPr>
        <w:t>用家庭部门实际得到的分红收入</w:t>
      </w:r>
      <w:r w:rsidR="002120D8" w:rsidRPr="00C3146C">
        <w:rPr>
          <w:rFonts w:ascii="Times New Roman" w:hAnsi="Times New Roman" w:cs="Times New Roman" w:hint="eastAsia"/>
        </w:rPr>
        <w:t>中来自表内、表外</w:t>
      </w:r>
      <w:r w:rsidR="008C6AE1">
        <w:rPr>
          <w:rFonts w:ascii="Times New Roman" w:hAnsi="Times New Roman" w:cs="Times New Roman" w:hint="eastAsia"/>
        </w:rPr>
        <w:t>的</w:t>
      </w:r>
      <w:r w:rsidR="002120D8" w:rsidRPr="00C3146C">
        <w:rPr>
          <w:rFonts w:ascii="Times New Roman" w:hAnsi="Times New Roman" w:cs="Times New Roman" w:hint="eastAsia"/>
        </w:rPr>
        <w:t>部分作为粗略的代理变量</w:t>
      </w:r>
      <w:r w:rsidR="007C3803" w:rsidRPr="00C3146C">
        <w:rPr>
          <w:rFonts w:ascii="Times New Roman" w:hAnsi="Times New Roman" w:cs="Times New Roman" w:hint="eastAsia"/>
        </w:rPr>
        <w:t>（</w:t>
      </w:r>
      <w:r w:rsidR="008C6AE1">
        <w:rPr>
          <w:rFonts w:ascii="Times New Roman" w:hAnsi="Times New Roman" w:cs="Times New Roman" w:hint="eastAsia"/>
        </w:rPr>
        <w:t>见</w:t>
      </w:r>
      <w:r w:rsidR="007C3803" w:rsidRPr="00C3146C">
        <w:rPr>
          <w:rFonts w:ascii="Times New Roman" w:hAnsi="Times New Roman" w:cs="Times New Roman" w:hint="eastAsia"/>
        </w:rPr>
        <w:t>图</w:t>
      </w:r>
      <w:r w:rsidR="007C3803" w:rsidRPr="00C3146C">
        <w:rPr>
          <w:rFonts w:ascii="Times New Roman" w:hAnsi="Times New Roman" w:cs="Times New Roman" w:hint="eastAsia"/>
        </w:rPr>
        <w:t>6</w:t>
      </w:r>
      <w:r w:rsidR="007C3803" w:rsidRPr="00C3146C">
        <w:rPr>
          <w:rFonts w:ascii="Times New Roman" w:hAnsi="Times New Roman" w:cs="Times New Roman" w:hint="eastAsia"/>
        </w:rPr>
        <w:t>）</w:t>
      </w:r>
      <w:r w:rsidR="009A1DA2" w:rsidRPr="00C3146C">
        <w:rPr>
          <w:rFonts w:ascii="Times New Roman" w:hAnsi="Times New Roman" w:cs="Times New Roman" w:hint="eastAsia"/>
        </w:rPr>
        <w:t>，它反映了美国公司表外利润增长的趋势</w:t>
      </w:r>
      <w:r w:rsidR="007C3803" w:rsidRPr="00C3146C">
        <w:rPr>
          <w:rFonts w:ascii="Times New Roman" w:hAnsi="Times New Roman" w:cs="Times New Roman" w:hint="eastAsia"/>
        </w:rPr>
        <w:t>。</w:t>
      </w:r>
    </w:p>
    <w:p w14:paraId="7B534553" w14:textId="77777777" w:rsidR="00794693" w:rsidRPr="00C3146C" w:rsidRDefault="00794693" w:rsidP="007762FF">
      <w:pPr>
        <w:spacing w:line="360" w:lineRule="auto"/>
        <w:rPr>
          <w:rFonts w:ascii="Times New Roman" w:hAnsi="Times New Roman" w:cs="Times New Roman"/>
        </w:rPr>
      </w:pPr>
    </w:p>
    <w:p w14:paraId="50534944" w14:textId="2041537B" w:rsidR="003E4DA9" w:rsidRPr="00C3146C" w:rsidRDefault="00DB7C10" w:rsidP="007762FF">
      <w:pPr>
        <w:spacing w:line="360" w:lineRule="auto"/>
        <w:rPr>
          <w:rFonts w:ascii="Times New Roman" w:hAnsi="Times New Roman" w:cs="Times New Roman"/>
          <w:b/>
          <w:bCs/>
        </w:rPr>
      </w:pPr>
      <w:r w:rsidRPr="00C3146C">
        <w:rPr>
          <w:rFonts w:ascii="Times New Roman" w:hAnsi="Times New Roman" w:cs="Times New Roman" w:hint="eastAsia"/>
          <w:b/>
          <w:bCs/>
        </w:rPr>
        <w:t>（四）</w:t>
      </w:r>
      <w:r w:rsidR="003E4DA9" w:rsidRPr="00C3146C">
        <w:rPr>
          <w:rFonts w:ascii="Times New Roman" w:hAnsi="Times New Roman" w:cs="Times New Roman" w:hint="eastAsia"/>
          <w:b/>
          <w:bCs/>
        </w:rPr>
        <w:t>增长路径四：</w:t>
      </w:r>
      <w:r w:rsidR="00ED1A71" w:rsidRPr="00C3146C">
        <w:rPr>
          <w:rFonts w:ascii="Times New Roman" w:hAnsi="Times New Roman" w:cs="Times New Roman" w:hint="eastAsia"/>
          <w:b/>
          <w:bCs/>
        </w:rPr>
        <w:t>表外化债务</w:t>
      </w:r>
      <w:r w:rsidR="003E4DA9" w:rsidRPr="00C3146C">
        <w:rPr>
          <w:rFonts w:ascii="Times New Roman" w:hAnsi="Times New Roman" w:cs="Times New Roman" w:hint="eastAsia"/>
          <w:b/>
          <w:bCs/>
        </w:rPr>
        <w:t>与</w:t>
      </w:r>
      <w:r w:rsidR="00CB654C" w:rsidRPr="00C3146C">
        <w:rPr>
          <w:rFonts w:ascii="Times New Roman" w:hAnsi="Times New Roman" w:cs="Times New Roman" w:hint="eastAsia"/>
          <w:b/>
          <w:bCs/>
        </w:rPr>
        <w:t>经济问题的修补</w:t>
      </w:r>
    </w:p>
    <w:p w14:paraId="4E63D95B" w14:textId="1A422EE2" w:rsidR="003E4DA9" w:rsidRPr="00190F89" w:rsidRDefault="002E02B4" w:rsidP="00317656">
      <w:pPr>
        <w:spacing w:line="360" w:lineRule="auto"/>
        <w:ind w:firstLineChars="200" w:firstLine="480"/>
        <w:rPr>
          <w:rFonts w:ascii="Times New Roman" w:hAnsi="Times New Roman" w:cs="Times New Roman"/>
        </w:rPr>
      </w:pPr>
      <w:r w:rsidRPr="00C3146C">
        <w:rPr>
          <w:rFonts w:ascii="Times New Roman" w:hAnsi="Times New Roman" w:cs="Times New Roman" w:hint="eastAsia"/>
        </w:rPr>
        <w:t>美国以市场经济自居，美国政府动辄用“政府干预市场”的帽子制裁他国</w:t>
      </w:r>
      <w:r w:rsidR="00DC4131" w:rsidRPr="00C3146C">
        <w:rPr>
          <w:rFonts w:ascii="Times New Roman" w:hAnsi="Times New Roman" w:cs="Times New Roman" w:hint="eastAsia"/>
        </w:rPr>
        <w:t>，但却不自知，自己已经成为全世界最大的经济干预者。从家庭两部门表外化增长的趋势看，美国政策当局正在承担越来越多的政策</w:t>
      </w:r>
      <w:r w:rsidR="00EF6798" w:rsidRPr="00C3146C">
        <w:rPr>
          <w:rFonts w:ascii="Times New Roman" w:hAnsi="Times New Roman" w:cs="Times New Roman" w:hint="eastAsia"/>
        </w:rPr>
        <w:t>任务</w:t>
      </w:r>
      <w:r w:rsidR="00DC4131" w:rsidRPr="00C3146C">
        <w:rPr>
          <w:rFonts w:ascii="Times New Roman" w:hAnsi="Times New Roman" w:cs="Times New Roman" w:hint="eastAsia"/>
        </w:rPr>
        <w:t>，它不仅要通过转移支付解决医保体系日渐扩大的收支漏洞、为金融资产价格和绝大多数家庭的房产保值增值兜底，还要同时为金融资产价格上涨而不断缩减企业所得税、优化上市公司的金融估值，执行这些政策目标带来的支出增量只能通过追加债务的方式解决。在解决一个又一个制度漏洞</w:t>
      </w:r>
      <w:r w:rsidR="00DC3585">
        <w:rPr>
          <w:rFonts w:ascii="Times New Roman" w:hAnsi="Times New Roman" w:cs="Times New Roman" w:hint="eastAsia"/>
        </w:rPr>
        <w:t>的过程</w:t>
      </w:r>
      <w:r w:rsidR="00DC4131" w:rsidRPr="00C3146C">
        <w:rPr>
          <w:rFonts w:ascii="Times New Roman" w:hAnsi="Times New Roman" w:cs="Times New Roman" w:hint="eastAsia"/>
        </w:rPr>
        <w:t>中，美国政府逐渐把自己变成</w:t>
      </w:r>
      <w:r w:rsidR="00DC4131" w:rsidRPr="00190F89">
        <w:rPr>
          <w:rFonts w:ascii="Times New Roman" w:hAnsi="Times New Roman" w:cs="Times New Roman" w:hint="eastAsia"/>
        </w:rPr>
        <w:t>最大的制度漏洞。</w:t>
      </w:r>
    </w:p>
    <w:p w14:paraId="30A48964" w14:textId="437726B9" w:rsidR="003E0022" w:rsidRPr="00190F89" w:rsidRDefault="00F24EE4" w:rsidP="00317656">
      <w:pPr>
        <w:spacing w:line="360" w:lineRule="auto"/>
        <w:ind w:firstLineChars="200" w:firstLine="480"/>
        <w:rPr>
          <w:rFonts w:ascii="Times New Roman" w:hAnsi="Times New Roman" w:cs="Times New Roman"/>
        </w:rPr>
      </w:pPr>
      <w:r w:rsidRPr="00190F89">
        <w:rPr>
          <w:rFonts w:ascii="Times New Roman" w:hAnsi="Times New Roman" w:cs="Times New Roman" w:hint="eastAsia"/>
        </w:rPr>
        <w:t>美国存量债务来自</w:t>
      </w:r>
      <w:r w:rsidR="00DD0DBA" w:rsidRPr="00190F89">
        <w:rPr>
          <w:rFonts w:ascii="Times New Roman" w:hAnsi="Times New Roman" w:cs="Times New Roman" w:hint="eastAsia"/>
        </w:rPr>
        <w:t>三</w:t>
      </w:r>
      <w:r w:rsidRPr="00190F89">
        <w:rPr>
          <w:rFonts w:ascii="Times New Roman" w:hAnsi="Times New Roman" w:cs="Times New Roman" w:hint="eastAsia"/>
        </w:rPr>
        <w:t>大类：</w:t>
      </w:r>
      <w:r w:rsidR="00DD0DBA" w:rsidRPr="00190F89">
        <w:rPr>
          <w:rFonts w:ascii="Times New Roman" w:hAnsi="Times New Roman" w:cs="Times New Roman" w:hint="eastAsia"/>
        </w:rPr>
        <w:t>第</w:t>
      </w:r>
      <w:r w:rsidRPr="00190F89">
        <w:rPr>
          <w:rFonts w:ascii="Times New Roman" w:hAnsi="Times New Roman" w:cs="Times New Roman" w:hint="eastAsia"/>
        </w:rPr>
        <w:t>一类</w:t>
      </w:r>
      <w:r w:rsidR="00D30568" w:rsidRPr="00190F89">
        <w:rPr>
          <w:rFonts w:ascii="Times New Roman" w:hAnsi="Times New Roman" w:cs="Times New Roman" w:hint="eastAsia"/>
        </w:rPr>
        <w:t>债务</w:t>
      </w:r>
      <w:r w:rsidRPr="00190F89">
        <w:rPr>
          <w:rFonts w:ascii="Times New Roman" w:hAnsi="Times New Roman" w:cs="Times New Roman" w:hint="eastAsia"/>
        </w:rPr>
        <w:t>是</w:t>
      </w:r>
      <w:r w:rsidR="003E0022" w:rsidRPr="00190F89">
        <w:rPr>
          <w:rFonts w:ascii="Times New Roman" w:hAnsi="Times New Roman" w:cs="Times New Roman" w:hint="eastAsia"/>
        </w:rPr>
        <w:t>非资本性</w:t>
      </w:r>
      <w:r w:rsidRPr="00190F89">
        <w:rPr>
          <w:rFonts w:ascii="Times New Roman" w:hAnsi="Times New Roman" w:cs="Times New Roman" w:hint="eastAsia"/>
        </w:rPr>
        <w:t>赤字积累</w:t>
      </w:r>
      <w:r w:rsidR="00DC3585" w:rsidRPr="00190F89">
        <w:rPr>
          <w:rFonts w:ascii="Times New Roman" w:hAnsi="Times New Roman" w:cs="Times New Roman" w:hint="eastAsia"/>
        </w:rPr>
        <w:t>，</w:t>
      </w:r>
      <w:r w:rsidR="00DD0DBA" w:rsidRPr="00190F89">
        <w:rPr>
          <w:rFonts w:ascii="Times New Roman" w:hAnsi="Times New Roman" w:cs="Times New Roman" w:hint="eastAsia"/>
        </w:rPr>
        <w:t>第二类</w:t>
      </w:r>
      <w:r w:rsidR="00D30568" w:rsidRPr="00190F89">
        <w:rPr>
          <w:rFonts w:ascii="Times New Roman" w:hAnsi="Times New Roman" w:cs="Times New Roman" w:hint="eastAsia"/>
        </w:rPr>
        <w:t>债务</w:t>
      </w:r>
      <w:r w:rsidR="00DD0DBA" w:rsidRPr="00190F89">
        <w:rPr>
          <w:rFonts w:ascii="Times New Roman" w:hAnsi="Times New Roman" w:cs="Times New Roman" w:hint="eastAsia"/>
        </w:rPr>
        <w:t>是存量债务利息</w:t>
      </w:r>
      <w:r w:rsidR="00167E5B">
        <w:rPr>
          <w:rFonts w:ascii="Times New Roman" w:hAnsi="Times New Roman" w:cs="Times New Roman" w:hint="eastAsia"/>
        </w:rPr>
        <w:t>的本金</w:t>
      </w:r>
      <w:r w:rsidR="002E29B2" w:rsidRPr="00190F89">
        <w:rPr>
          <w:rFonts w:ascii="Times New Roman" w:hAnsi="Times New Roman" w:cs="Times New Roman" w:hint="eastAsia"/>
        </w:rPr>
        <w:t>化开支</w:t>
      </w:r>
      <w:r w:rsidR="00167E5B">
        <w:rPr>
          <w:rFonts w:ascii="Times New Roman" w:hAnsi="Times New Roman" w:cs="Times New Roman" w:hint="eastAsia"/>
        </w:rPr>
        <w:t>（复利性质）</w:t>
      </w:r>
      <w:r w:rsidR="00DC3585" w:rsidRPr="00190F89">
        <w:rPr>
          <w:rFonts w:ascii="Times New Roman" w:hAnsi="Times New Roman" w:cs="Times New Roman" w:hint="eastAsia"/>
        </w:rPr>
        <w:t>，</w:t>
      </w:r>
      <w:r w:rsidR="00DD0DBA" w:rsidRPr="00190F89">
        <w:rPr>
          <w:rFonts w:ascii="Times New Roman" w:hAnsi="Times New Roman" w:cs="Times New Roman" w:hint="eastAsia"/>
        </w:rPr>
        <w:t>第三类</w:t>
      </w:r>
      <w:r w:rsidR="00D30568" w:rsidRPr="00190F89">
        <w:rPr>
          <w:rFonts w:ascii="Times New Roman" w:hAnsi="Times New Roman" w:cs="Times New Roman" w:hint="eastAsia"/>
        </w:rPr>
        <w:t>债务</w:t>
      </w:r>
      <w:r w:rsidRPr="00190F89">
        <w:rPr>
          <w:rFonts w:ascii="Times New Roman" w:hAnsi="Times New Roman" w:cs="Times New Roman" w:hint="eastAsia"/>
        </w:rPr>
        <w:t>是</w:t>
      </w:r>
      <w:r w:rsidR="00BC6BB2" w:rsidRPr="00190F89">
        <w:rPr>
          <w:rFonts w:ascii="Times New Roman" w:hAnsi="Times New Roman" w:cs="Times New Roman" w:hint="eastAsia"/>
        </w:rPr>
        <w:t>非赤字债务</w:t>
      </w:r>
      <w:r w:rsidR="00DC3585" w:rsidRPr="00190F89">
        <w:rPr>
          <w:rFonts w:ascii="Times New Roman" w:hAnsi="Times New Roman" w:cs="Times New Roman" w:hint="eastAsia"/>
        </w:rPr>
        <w:t>。</w:t>
      </w:r>
      <w:r w:rsidR="005F3B15" w:rsidRPr="00190F89">
        <w:rPr>
          <w:rFonts w:ascii="Times New Roman" w:hAnsi="Times New Roman" w:cs="Times New Roman"/>
          <w:color w:val="000000"/>
        </w:rPr>
        <w:t>1929</w:t>
      </w:r>
      <w:r w:rsidR="00244BD5" w:rsidRPr="00190F89">
        <w:rPr>
          <w:rFonts w:ascii="Times New Roman" w:hAnsi="Times New Roman" w:cs="Times New Roman" w:hint="eastAsia"/>
          <w:color w:val="000000"/>
        </w:rPr>
        <w:t>年</w:t>
      </w:r>
      <w:r w:rsidR="00190F89" w:rsidRPr="00190F89">
        <w:rPr>
          <w:rFonts w:ascii="Times New Roman" w:hAnsi="Times New Roman" w:cs="Times New Roman" w:hint="eastAsia"/>
          <w:color w:val="000000"/>
        </w:rPr>
        <w:t>到</w:t>
      </w:r>
      <w:r w:rsidR="00244BD5" w:rsidRPr="00190F89">
        <w:rPr>
          <w:rFonts w:ascii="Times New Roman" w:hAnsi="Times New Roman" w:cs="Times New Roman"/>
          <w:color w:val="000000"/>
        </w:rPr>
        <w:t>2023</w:t>
      </w:r>
      <w:r w:rsidR="00244BD5" w:rsidRPr="00190F89">
        <w:rPr>
          <w:rFonts w:ascii="Times New Roman" w:hAnsi="Times New Roman" w:cs="Times New Roman" w:hint="eastAsia"/>
          <w:color w:val="000000"/>
        </w:rPr>
        <w:t>年</w:t>
      </w:r>
      <w:r w:rsidR="00244BD5" w:rsidRPr="00190F89">
        <w:rPr>
          <w:rFonts w:ascii="Times New Roman" w:hAnsi="Times New Roman" w:cs="Times New Roman" w:hint="eastAsia"/>
        </w:rPr>
        <w:t>美国政府债务增量中，</w:t>
      </w:r>
      <w:r w:rsidR="00781E68" w:rsidRPr="00190F89">
        <w:rPr>
          <w:rFonts w:ascii="Times New Roman" w:hAnsi="Times New Roman" w:cs="Times New Roman" w:hint="eastAsia"/>
        </w:rPr>
        <w:t>三类来源的规模分别是</w:t>
      </w:r>
      <w:r w:rsidR="00244BD5" w:rsidRPr="00190F89">
        <w:rPr>
          <w:rFonts w:ascii="Times New Roman" w:hAnsi="Times New Roman" w:cs="Times New Roman" w:hint="eastAsia"/>
        </w:rPr>
        <w:t>9.</w:t>
      </w:r>
      <w:r w:rsidR="00A57A15" w:rsidRPr="00190F89">
        <w:rPr>
          <w:rFonts w:ascii="Times New Roman" w:hAnsi="Times New Roman" w:cs="Times New Roman" w:hint="eastAsia"/>
        </w:rPr>
        <w:t>75</w:t>
      </w:r>
      <w:r w:rsidR="00781E68" w:rsidRPr="00190F89">
        <w:rPr>
          <w:rFonts w:ascii="Times New Roman" w:hAnsi="Times New Roman" w:cs="Times New Roman" w:hint="eastAsia"/>
        </w:rPr>
        <w:t>万亿</w:t>
      </w:r>
      <w:r w:rsidR="00DC3585" w:rsidRPr="00190F89">
        <w:rPr>
          <w:rFonts w:ascii="Times New Roman" w:hAnsi="Times New Roman" w:cs="Times New Roman" w:hint="eastAsia"/>
        </w:rPr>
        <w:t>美元</w:t>
      </w:r>
      <w:r w:rsidR="00781E68" w:rsidRPr="00190F89">
        <w:rPr>
          <w:rFonts w:ascii="Times New Roman" w:hAnsi="Times New Roman" w:cs="Times New Roman" w:hint="eastAsia"/>
        </w:rPr>
        <w:t>、</w:t>
      </w:r>
      <w:r w:rsidR="00244BD5" w:rsidRPr="00190F89">
        <w:rPr>
          <w:rFonts w:ascii="Times New Roman" w:hAnsi="Times New Roman" w:cs="Times New Roman" w:hint="eastAsia"/>
        </w:rPr>
        <w:t>1</w:t>
      </w:r>
      <w:r w:rsidR="00A57A15" w:rsidRPr="00190F89">
        <w:rPr>
          <w:rFonts w:ascii="Times New Roman" w:hAnsi="Times New Roman" w:cs="Times New Roman" w:hint="eastAsia"/>
        </w:rPr>
        <w:t>9.8</w:t>
      </w:r>
      <w:r w:rsidR="00781E68" w:rsidRPr="00190F89">
        <w:rPr>
          <w:rFonts w:ascii="Times New Roman" w:hAnsi="Times New Roman" w:cs="Times New Roman" w:hint="eastAsia"/>
        </w:rPr>
        <w:t>万亿</w:t>
      </w:r>
      <w:r w:rsidR="00DC3585" w:rsidRPr="00190F89">
        <w:rPr>
          <w:rFonts w:ascii="Times New Roman" w:hAnsi="Times New Roman" w:cs="Times New Roman" w:hint="eastAsia"/>
        </w:rPr>
        <w:t>美元</w:t>
      </w:r>
      <w:r w:rsidR="00781E68" w:rsidRPr="00190F89">
        <w:rPr>
          <w:rFonts w:ascii="Times New Roman" w:hAnsi="Times New Roman" w:cs="Times New Roman" w:hint="eastAsia"/>
        </w:rPr>
        <w:t>和</w:t>
      </w:r>
      <w:r w:rsidR="00A57A15" w:rsidRPr="00190F89">
        <w:rPr>
          <w:rFonts w:ascii="Times New Roman" w:hAnsi="Times New Roman" w:cs="Times New Roman" w:hint="eastAsia"/>
        </w:rPr>
        <w:t>3.58</w:t>
      </w:r>
      <w:r w:rsidR="00781E68" w:rsidRPr="00190F89">
        <w:rPr>
          <w:rFonts w:ascii="Times New Roman" w:hAnsi="Times New Roman" w:cs="Times New Roman" w:hint="eastAsia"/>
        </w:rPr>
        <w:t>万亿</w:t>
      </w:r>
      <w:r w:rsidR="00DC3585" w:rsidRPr="00190F89">
        <w:rPr>
          <w:rFonts w:ascii="Times New Roman" w:hAnsi="Times New Roman" w:cs="Times New Roman" w:hint="eastAsia"/>
        </w:rPr>
        <w:t>美元</w:t>
      </w:r>
      <w:r w:rsidR="00781E68" w:rsidRPr="00190F89">
        <w:rPr>
          <w:rFonts w:ascii="Times New Roman" w:hAnsi="Times New Roman" w:cs="Times New Roman" w:hint="eastAsia"/>
        </w:rPr>
        <w:t>。</w:t>
      </w:r>
    </w:p>
    <w:p w14:paraId="742936E4" w14:textId="10ADB5CB" w:rsidR="003E0022" w:rsidRPr="00190F89" w:rsidRDefault="00743FA8" w:rsidP="00317656">
      <w:pPr>
        <w:spacing w:line="360" w:lineRule="auto"/>
        <w:ind w:firstLineChars="200" w:firstLine="480"/>
        <w:rPr>
          <w:rFonts w:ascii="Times New Roman" w:hAnsi="Times New Roman" w:cs="Times New Roman"/>
        </w:rPr>
      </w:pPr>
      <w:r w:rsidRPr="00190F89">
        <w:rPr>
          <w:rFonts w:ascii="Times New Roman" w:hAnsi="Times New Roman" w:cs="Times New Roman" w:hint="eastAsia"/>
        </w:rPr>
        <w:t>第一类</w:t>
      </w:r>
      <w:r w:rsidR="00D30568" w:rsidRPr="00190F89">
        <w:rPr>
          <w:rFonts w:ascii="Times New Roman" w:hAnsi="Times New Roman" w:cs="Times New Roman" w:hint="eastAsia"/>
        </w:rPr>
        <w:t>债务</w:t>
      </w:r>
      <w:r w:rsidRPr="00190F89">
        <w:rPr>
          <w:rFonts w:ascii="Times New Roman" w:hAnsi="Times New Roman" w:cs="Times New Roman" w:hint="eastAsia"/>
        </w:rPr>
        <w:t>的主要</w:t>
      </w:r>
      <w:r w:rsidR="003E0022" w:rsidRPr="00190F89">
        <w:rPr>
          <w:rFonts w:ascii="Times New Roman" w:hAnsi="Times New Roman" w:cs="Times New Roman" w:hint="eastAsia"/>
        </w:rPr>
        <w:t>原因是突发事件导致的收支恶化。美国政府支出具有刚性特征，遇战争、危机、衰退或通胀等特殊事项时，新增支出项目增加，如</w:t>
      </w:r>
      <w:r w:rsidR="003E0022" w:rsidRPr="00190F89">
        <w:rPr>
          <w:rFonts w:ascii="Times New Roman" w:hAnsi="Times New Roman" w:cs="Times New Roman" w:hint="eastAsia"/>
        </w:rPr>
        <w:t>200</w:t>
      </w:r>
      <w:r w:rsidR="00190F89" w:rsidRPr="00190F89">
        <w:rPr>
          <w:rFonts w:ascii="Times New Roman" w:hAnsi="Times New Roman" w:cs="Times New Roman" w:hint="eastAsia"/>
        </w:rPr>
        <w:t>3</w:t>
      </w:r>
      <w:r w:rsidR="00DC3585" w:rsidRPr="00190F89">
        <w:rPr>
          <w:rFonts w:ascii="Times New Roman" w:hAnsi="Times New Roman" w:cs="Times New Roman" w:hint="eastAsia"/>
        </w:rPr>
        <w:t>—</w:t>
      </w:r>
      <w:r w:rsidR="003E0022" w:rsidRPr="00190F89">
        <w:rPr>
          <w:rFonts w:ascii="Times New Roman" w:hAnsi="Times New Roman" w:cs="Times New Roman" w:hint="eastAsia"/>
        </w:rPr>
        <w:t>2004</w:t>
      </w:r>
      <w:r w:rsidR="003E0022" w:rsidRPr="00190F89">
        <w:rPr>
          <w:rFonts w:ascii="Times New Roman" w:hAnsi="Times New Roman" w:cs="Times New Roman" w:hint="eastAsia"/>
        </w:rPr>
        <w:t>年伊拉克战争</w:t>
      </w:r>
      <w:r w:rsidR="00190F89" w:rsidRPr="00190F89">
        <w:rPr>
          <w:rFonts w:ascii="Times New Roman" w:hAnsi="Times New Roman" w:cs="Times New Roman" w:hint="eastAsia"/>
        </w:rPr>
        <w:t>增加的</w:t>
      </w:r>
      <w:r w:rsidR="003E0022" w:rsidRPr="00190F89">
        <w:rPr>
          <w:rFonts w:ascii="Times New Roman" w:hAnsi="Times New Roman" w:cs="Times New Roman" w:hint="eastAsia"/>
        </w:rPr>
        <w:t>军费、</w:t>
      </w:r>
      <w:r w:rsidR="003E0022" w:rsidRPr="00190F89">
        <w:rPr>
          <w:rFonts w:ascii="Times New Roman" w:hAnsi="Times New Roman" w:cs="Times New Roman" w:hint="eastAsia"/>
        </w:rPr>
        <w:t>200</w:t>
      </w:r>
      <w:r w:rsidR="00711062" w:rsidRPr="00190F89">
        <w:rPr>
          <w:rFonts w:ascii="Times New Roman" w:hAnsi="Times New Roman" w:cs="Times New Roman" w:hint="eastAsia"/>
        </w:rPr>
        <w:t>8</w:t>
      </w:r>
      <w:r w:rsidR="00DC3585" w:rsidRPr="00190F89">
        <w:rPr>
          <w:rFonts w:ascii="Times New Roman" w:hAnsi="Times New Roman" w:cs="Times New Roman" w:hint="eastAsia"/>
        </w:rPr>
        <w:t>—</w:t>
      </w:r>
      <w:r w:rsidR="003E0022" w:rsidRPr="00190F89">
        <w:rPr>
          <w:rFonts w:ascii="Times New Roman" w:hAnsi="Times New Roman" w:cs="Times New Roman" w:hint="eastAsia"/>
        </w:rPr>
        <w:t>20</w:t>
      </w:r>
      <w:r w:rsidR="00711062" w:rsidRPr="00190F89">
        <w:rPr>
          <w:rFonts w:ascii="Times New Roman" w:hAnsi="Times New Roman" w:cs="Times New Roman" w:hint="eastAsia"/>
        </w:rPr>
        <w:t>09</w:t>
      </w:r>
      <w:r w:rsidR="003E0022" w:rsidRPr="00190F89">
        <w:rPr>
          <w:rFonts w:ascii="Times New Roman" w:hAnsi="Times New Roman" w:cs="Times New Roman" w:hint="eastAsia"/>
        </w:rPr>
        <w:t>因次贷危机</w:t>
      </w:r>
      <w:r w:rsidR="00711062" w:rsidRPr="00190F89">
        <w:rPr>
          <w:rFonts w:ascii="Times New Roman" w:hAnsi="Times New Roman" w:cs="Times New Roman" w:hint="eastAsia"/>
        </w:rPr>
        <w:t>新增向家庭的转移支付开支</w:t>
      </w:r>
      <w:r w:rsidR="003E0022" w:rsidRPr="00190F89">
        <w:rPr>
          <w:rFonts w:ascii="Times New Roman" w:hAnsi="Times New Roman" w:cs="Times New Roman" w:hint="eastAsia"/>
        </w:rPr>
        <w:t>、</w:t>
      </w:r>
      <w:r w:rsidR="003E0022" w:rsidRPr="00190F89">
        <w:rPr>
          <w:rFonts w:ascii="Times New Roman" w:hAnsi="Times New Roman" w:cs="Times New Roman" w:hint="eastAsia"/>
        </w:rPr>
        <w:t>2020</w:t>
      </w:r>
      <w:r w:rsidR="00DC3585" w:rsidRPr="00190F89">
        <w:rPr>
          <w:rFonts w:ascii="Times New Roman" w:hAnsi="Times New Roman" w:cs="Times New Roman" w:hint="eastAsia"/>
        </w:rPr>
        <w:t>—</w:t>
      </w:r>
      <w:r w:rsidR="003E0022" w:rsidRPr="00190F89">
        <w:rPr>
          <w:rFonts w:ascii="Times New Roman" w:hAnsi="Times New Roman" w:cs="Times New Roman" w:hint="eastAsia"/>
        </w:rPr>
        <w:t>2021</w:t>
      </w:r>
      <w:r w:rsidR="00711062" w:rsidRPr="00190F89">
        <w:rPr>
          <w:rFonts w:ascii="Times New Roman" w:hAnsi="Times New Roman" w:cs="Times New Roman" w:hint="eastAsia"/>
        </w:rPr>
        <w:t>因</w:t>
      </w:r>
      <w:r w:rsidR="003E0022" w:rsidRPr="00190F89">
        <w:rPr>
          <w:rFonts w:ascii="Times New Roman" w:hAnsi="Times New Roman" w:cs="Times New Roman" w:hint="eastAsia"/>
        </w:rPr>
        <w:t>新冠冲击</w:t>
      </w:r>
      <w:r w:rsidR="00711062" w:rsidRPr="00190F89">
        <w:rPr>
          <w:rFonts w:ascii="Times New Roman" w:hAnsi="Times New Roman" w:cs="Times New Roman" w:hint="eastAsia"/>
        </w:rPr>
        <w:t>向家庭增加转移支付</w:t>
      </w:r>
      <w:r w:rsidR="003E0022" w:rsidRPr="00190F89">
        <w:rPr>
          <w:rFonts w:ascii="Times New Roman" w:hAnsi="Times New Roman" w:cs="Times New Roman" w:hint="eastAsia"/>
        </w:rPr>
        <w:t>、</w:t>
      </w:r>
      <w:r w:rsidR="003E0022" w:rsidRPr="00190F89">
        <w:rPr>
          <w:rFonts w:ascii="Times New Roman" w:hAnsi="Times New Roman" w:cs="Times New Roman" w:hint="eastAsia"/>
        </w:rPr>
        <w:t>2023</w:t>
      </w:r>
      <w:r w:rsidR="003E0022" w:rsidRPr="00190F89">
        <w:rPr>
          <w:rFonts w:ascii="Times New Roman" w:hAnsi="Times New Roman" w:cs="Times New Roman" w:hint="eastAsia"/>
        </w:rPr>
        <w:t>年</w:t>
      </w:r>
      <w:r w:rsidR="00711062" w:rsidRPr="00190F89">
        <w:rPr>
          <w:rFonts w:ascii="Times New Roman" w:hAnsi="Times New Roman" w:cs="Times New Roman" w:hint="eastAsia"/>
        </w:rPr>
        <w:t>因通胀向家庭增加转移支付</w:t>
      </w:r>
      <w:r w:rsidR="003E0022" w:rsidRPr="00190F89">
        <w:rPr>
          <w:rFonts w:ascii="Times New Roman" w:hAnsi="Times New Roman" w:cs="Times New Roman" w:hint="eastAsia"/>
        </w:rPr>
        <w:t>等。但</w:t>
      </w:r>
      <w:r w:rsidR="00C10569" w:rsidRPr="00190F89">
        <w:rPr>
          <w:rFonts w:ascii="Times New Roman" w:hAnsi="Times New Roman" w:cs="Times New Roman" w:hint="eastAsia"/>
        </w:rPr>
        <w:t>是，</w:t>
      </w:r>
      <w:r w:rsidR="00190F89" w:rsidRPr="00190F89">
        <w:rPr>
          <w:rFonts w:ascii="Times New Roman" w:hAnsi="Times New Roman" w:cs="Times New Roman" w:hint="eastAsia"/>
        </w:rPr>
        <w:t>财政</w:t>
      </w:r>
      <w:r w:rsidR="003E0022" w:rsidRPr="00190F89">
        <w:rPr>
          <w:rFonts w:ascii="Times New Roman" w:hAnsi="Times New Roman" w:cs="Times New Roman" w:hint="eastAsia"/>
        </w:rPr>
        <w:t>收入随经济形势和税收政策波动，危机或衰退时收入严重下滑，</w:t>
      </w:r>
      <w:r w:rsidR="00711062" w:rsidRPr="00190F89">
        <w:rPr>
          <w:rFonts w:ascii="Times New Roman" w:hAnsi="Times New Roman" w:cs="Times New Roman" w:hint="eastAsia"/>
        </w:rPr>
        <w:t>如</w:t>
      </w:r>
      <w:r w:rsidR="00711062" w:rsidRPr="00190F89">
        <w:rPr>
          <w:rFonts w:ascii="Times New Roman" w:hAnsi="Times New Roman" w:cs="Times New Roman" w:hint="eastAsia"/>
        </w:rPr>
        <w:t>2009</w:t>
      </w:r>
      <w:r w:rsidR="00DC3585" w:rsidRPr="00190F89">
        <w:rPr>
          <w:rFonts w:ascii="Times New Roman" w:hAnsi="Times New Roman" w:cs="Times New Roman" w:hint="eastAsia"/>
        </w:rPr>
        <w:t>—</w:t>
      </w:r>
      <w:r w:rsidR="00711062" w:rsidRPr="00190F89">
        <w:rPr>
          <w:rFonts w:ascii="Times New Roman" w:hAnsi="Times New Roman" w:cs="Times New Roman" w:hint="eastAsia"/>
        </w:rPr>
        <w:t>2012</w:t>
      </w:r>
      <w:r w:rsidR="00711062" w:rsidRPr="00190F89">
        <w:rPr>
          <w:rFonts w:ascii="Times New Roman" w:hAnsi="Times New Roman" w:cs="Times New Roman" w:hint="eastAsia"/>
        </w:rPr>
        <w:t>年因次贷危机收入下降、</w:t>
      </w:r>
      <w:r w:rsidR="00711062" w:rsidRPr="00190F89">
        <w:rPr>
          <w:rFonts w:ascii="Times New Roman" w:hAnsi="Times New Roman" w:cs="Times New Roman" w:hint="eastAsia"/>
        </w:rPr>
        <w:t>2016</w:t>
      </w:r>
      <w:r w:rsidR="00DC3585" w:rsidRPr="00190F89">
        <w:rPr>
          <w:rFonts w:ascii="Times New Roman" w:hAnsi="Times New Roman" w:cs="Times New Roman" w:hint="eastAsia"/>
        </w:rPr>
        <w:t>—</w:t>
      </w:r>
      <w:r w:rsidR="00711062" w:rsidRPr="00190F89">
        <w:rPr>
          <w:rFonts w:ascii="Times New Roman" w:hAnsi="Times New Roman" w:cs="Times New Roman" w:hint="eastAsia"/>
        </w:rPr>
        <w:t>2019</w:t>
      </w:r>
      <w:r w:rsidR="00711062" w:rsidRPr="00190F89">
        <w:rPr>
          <w:rFonts w:ascii="Times New Roman" w:hAnsi="Times New Roman" w:cs="Times New Roman" w:hint="eastAsia"/>
        </w:rPr>
        <w:t>年收入增速下滑等。</w:t>
      </w:r>
      <w:r w:rsidR="003E0022" w:rsidRPr="00190F89">
        <w:rPr>
          <w:rFonts w:ascii="Times New Roman" w:hAnsi="Times New Roman" w:cs="Times New Roman" w:hint="eastAsia"/>
        </w:rPr>
        <w:t>因此</w:t>
      </w:r>
      <w:r w:rsidR="00C10569" w:rsidRPr="00190F89">
        <w:rPr>
          <w:rFonts w:ascii="Times New Roman" w:hAnsi="Times New Roman" w:cs="Times New Roman" w:hint="eastAsia"/>
        </w:rPr>
        <w:t>，</w:t>
      </w:r>
      <w:r w:rsidR="003E0022" w:rsidRPr="00190F89">
        <w:rPr>
          <w:rFonts w:ascii="Times New Roman" w:hAnsi="Times New Roman" w:cs="Times New Roman" w:hint="eastAsia"/>
        </w:rPr>
        <w:t>每遇战争、危机或衰退，美国政府非资本性赤字规模会出</w:t>
      </w:r>
      <w:r w:rsidR="003E0022" w:rsidRPr="00190F89">
        <w:rPr>
          <w:rFonts w:ascii="Times New Roman" w:hAnsi="Times New Roman" w:cs="Times New Roman" w:hint="eastAsia"/>
        </w:rPr>
        <w:lastRenderedPageBreak/>
        <w:t>现猛增</w:t>
      </w:r>
      <w:r w:rsidR="00711062" w:rsidRPr="00190F89">
        <w:rPr>
          <w:rFonts w:ascii="Times New Roman" w:hAnsi="Times New Roman" w:cs="Times New Roman" w:hint="eastAsia"/>
        </w:rPr>
        <w:t>现象。</w:t>
      </w:r>
      <w:r w:rsidR="00F65AF1" w:rsidRPr="00190F89">
        <w:rPr>
          <w:rFonts w:ascii="Times New Roman" w:hAnsi="Times New Roman" w:cs="Times New Roman" w:hint="eastAsia"/>
        </w:rPr>
        <w:t>2008</w:t>
      </w:r>
      <w:r w:rsidR="00F65AF1" w:rsidRPr="00190F89">
        <w:rPr>
          <w:rFonts w:ascii="Times New Roman" w:hAnsi="Times New Roman" w:cs="Times New Roman" w:hint="eastAsia"/>
        </w:rPr>
        <w:t>年开始，非资本性赤字积累成为美国债务增长新的常态性增量。</w:t>
      </w:r>
    </w:p>
    <w:p w14:paraId="0F49B360" w14:textId="21566DB1" w:rsidR="005F3B15" w:rsidRPr="00D30568" w:rsidRDefault="005F3B15" w:rsidP="00317656">
      <w:pPr>
        <w:spacing w:line="360" w:lineRule="auto"/>
        <w:ind w:firstLineChars="200" w:firstLine="480"/>
        <w:rPr>
          <w:rFonts w:ascii="Times New Roman" w:hAnsi="Times New Roman" w:cs="Times New Roman"/>
        </w:rPr>
      </w:pPr>
      <w:r w:rsidRPr="00190F89">
        <w:rPr>
          <w:rFonts w:ascii="Times New Roman" w:hAnsi="Times New Roman" w:cs="Times New Roman" w:hint="eastAsia"/>
        </w:rPr>
        <w:t>第二类</w:t>
      </w:r>
      <w:r w:rsidR="00D30568" w:rsidRPr="00190F89">
        <w:rPr>
          <w:rFonts w:ascii="Times New Roman" w:hAnsi="Times New Roman" w:cs="Times New Roman" w:hint="eastAsia"/>
        </w:rPr>
        <w:t>债务</w:t>
      </w:r>
      <w:r w:rsidRPr="00190F89">
        <w:rPr>
          <w:rFonts w:ascii="Times New Roman" w:hAnsi="Times New Roman" w:cs="Times New Roman" w:hint="eastAsia"/>
        </w:rPr>
        <w:t>的主要原因是存量债务的复利性质，即债务利息滚动成为新的债务本金。</w:t>
      </w:r>
      <w:r w:rsidR="007C6EBC" w:rsidRPr="00190F89">
        <w:rPr>
          <w:rFonts w:ascii="Times New Roman" w:hAnsi="Times New Roman" w:cs="Times New Roman" w:hint="eastAsia"/>
        </w:rPr>
        <w:t>自</w:t>
      </w:r>
      <w:r w:rsidR="007C6EBC" w:rsidRPr="00190F89">
        <w:rPr>
          <w:rFonts w:ascii="Times New Roman" w:hAnsi="Times New Roman" w:cs="Times New Roman" w:hint="eastAsia"/>
        </w:rPr>
        <w:t>1965</w:t>
      </w:r>
      <w:r w:rsidR="007C6EBC" w:rsidRPr="00190F89">
        <w:rPr>
          <w:rFonts w:ascii="Times New Roman" w:hAnsi="Times New Roman" w:cs="Times New Roman" w:hint="eastAsia"/>
        </w:rPr>
        <w:t>年开始，美国开始出现持续性</w:t>
      </w:r>
      <w:r w:rsidR="007C6EBC" w:rsidRPr="00C3146C">
        <w:rPr>
          <w:rFonts w:ascii="Times New Roman" w:hAnsi="Times New Roman" w:cs="Times New Roman" w:hint="eastAsia"/>
        </w:rPr>
        <w:t>的利息</w:t>
      </w:r>
      <w:r w:rsidR="00167E5B">
        <w:rPr>
          <w:rFonts w:ascii="Times New Roman" w:hAnsi="Times New Roman" w:cs="Times New Roman" w:hint="eastAsia"/>
        </w:rPr>
        <w:t>本金化</w:t>
      </w:r>
      <w:r w:rsidR="007C6EBC" w:rsidRPr="00C3146C">
        <w:rPr>
          <w:rFonts w:ascii="Times New Roman" w:hAnsi="Times New Roman" w:cs="Times New Roman" w:hint="eastAsia"/>
        </w:rPr>
        <w:t>进程，其中</w:t>
      </w:r>
      <w:r w:rsidR="00DC3585">
        <w:rPr>
          <w:rFonts w:ascii="Times New Roman" w:hAnsi="Times New Roman" w:cs="Times New Roman" w:hint="eastAsia"/>
        </w:rPr>
        <w:t>，</w:t>
      </w:r>
      <w:r w:rsidR="007C6EBC" w:rsidRPr="00C3146C">
        <w:rPr>
          <w:rFonts w:ascii="Times New Roman" w:hAnsi="Times New Roman" w:cs="Times New Roman" w:hint="eastAsia"/>
        </w:rPr>
        <w:t>里根</w:t>
      </w:r>
      <w:r w:rsidR="00C10569" w:rsidRPr="00C3146C">
        <w:rPr>
          <w:rFonts w:ascii="Times New Roman" w:hAnsi="Times New Roman" w:cs="Times New Roman" w:hint="eastAsia"/>
        </w:rPr>
        <w:t>、</w:t>
      </w:r>
      <w:r w:rsidR="007C6EBC" w:rsidRPr="00C3146C">
        <w:rPr>
          <w:rFonts w:ascii="Times New Roman" w:hAnsi="Times New Roman" w:cs="Times New Roman" w:hint="eastAsia"/>
        </w:rPr>
        <w:t>老布什执</w:t>
      </w:r>
      <w:r w:rsidR="00DC3585">
        <w:rPr>
          <w:rFonts w:ascii="Times New Roman" w:hAnsi="Times New Roman" w:cs="Times New Roman" w:hint="eastAsia"/>
        </w:rPr>
        <w:t>政</w:t>
      </w:r>
      <w:r w:rsidR="007C6EBC" w:rsidRPr="00C3146C">
        <w:rPr>
          <w:rFonts w:ascii="Times New Roman" w:hAnsi="Times New Roman" w:cs="Times New Roman" w:hint="eastAsia"/>
        </w:rPr>
        <w:t>期间资本化进程加速</w:t>
      </w:r>
      <w:r w:rsidR="00DC3585">
        <w:rPr>
          <w:rFonts w:ascii="Times New Roman" w:hAnsi="Times New Roman" w:cs="Times New Roman" w:hint="eastAsia"/>
        </w:rPr>
        <w:t>，</w:t>
      </w:r>
      <w:r w:rsidR="007C6EBC" w:rsidRPr="00C3146C">
        <w:rPr>
          <w:rFonts w:ascii="Times New Roman" w:hAnsi="Times New Roman" w:cs="Times New Roman" w:hint="eastAsia"/>
        </w:rPr>
        <w:t>小布什启动伊拉克战争前后再次加速。单从债务本身来看，美国</w:t>
      </w:r>
      <w:r w:rsidR="0097475A" w:rsidRPr="00C3146C">
        <w:rPr>
          <w:rFonts w:ascii="Times New Roman" w:hAnsi="Times New Roman" w:cs="Times New Roman" w:hint="eastAsia"/>
        </w:rPr>
        <w:t>国债</w:t>
      </w:r>
      <w:r w:rsidR="007C6EBC" w:rsidRPr="00C3146C">
        <w:rPr>
          <w:rFonts w:ascii="Times New Roman" w:hAnsi="Times New Roman" w:cs="Times New Roman" w:hint="eastAsia"/>
        </w:rPr>
        <w:t>具有固定的期限，</w:t>
      </w:r>
      <w:r w:rsidR="0097475A" w:rsidRPr="00C3146C">
        <w:rPr>
          <w:rFonts w:ascii="Times New Roman" w:hAnsi="Times New Roman" w:cs="Times New Roman" w:hint="eastAsia"/>
        </w:rPr>
        <w:t>财政部承诺</w:t>
      </w:r>
      <w:r w:rsidR="003E52F6" w:rsidRPr="00C3146C">
        <w:rPr>
          <w:rFonts w:ascii="Times New Roman" w:hAnsi="Times New Roman" w:cs="Times New Roman" w:hint="eastAsia"/>
        </w:rPr>
        <w:t>按期</w:t>
      </w:r>
      <w:r w:rsidR="0097475A" w:rsidRPr="00C3146C">
        <w:rPr>
          <w:rFonts w:ascii="Times New Roman" w:hAnsi="Times New Roman" w:cs="Times New Roman" w:hint="eastAsia"/>
        </w:rPr>
        <w:t>偿还本金。但</w:t>
      </w:r>
      <w:r w:rsidR="00BB0B9F" w:rsidRPr="00C3146C">
        <w:rPr>
          <w:rFonts w:ascii="Times New Roman" w:hAnsi="Times New Roman" w:cs="Times New Roman" w:hint="eastAsia"/>
        </w:rPr>
        <w:t>是，</w:t>
      </w:r>
      <w:r w:rsidR="0097475A" w:rsidRPr="00C3146C">
        <w:rPr>
          <w:rFonts w:ascii="Times New Roman" w:hAnsi="Times New Roman" w:cs="Times New Roman" w:hint="eastAsia"/>
        </w:rPr>
        <w:t>从债务的发行主体看，美国国债已经成为实质性的永续债工具，即不以还本为约束的利息债工具。</w:t>
      </w:r>
      <w:r w:rsidR="003C378F" w:rsidRPr="00C3146C">
        <w:rPr>
          <w:rFonts w:ascii="Times New Roman" w:hAnsi="Times New Roman" w:cs="Times New Roman" w:hint="eastAsia"/>
        </w:rPr>
        <w:t>在美元作为全球主要结算货币结束之前，美国国债可以持续</w:t>
      </w:r>
      <w:r w:rsidR="003C378F" w:rsidRPr="00D30568">
        <w:rPr>
          <w:rFonts w:ascii="Times New Roman" w:hAnsi="Times New Roman" w:cs="Times New Roman" w:hint="eastAsia"/>
        </w:rPr>
        <w:t>保持永续债的实质性特征，它最大的成本是为不断提升债务上限而做的政治交易成本。</w:t>
      </w:r>
      <w:r w:rsidR="000B2D31" w:rsidRPr="00D30568">
        <w:rPr>
          <w:rFonts w:ascii="Times New Roman" w:hAnsi="Times New Roman" w:cs="Times New Roman" w:hint="eastAsia"/>
        </w:rPr>
        <w:t>作为利息</w:t>
      </w:r>
      <w:r w:rsidR="00167E5B">
        <w:rPr>
          <w:rFonts w:ascii="Times New Roman" w:hAnsi="Times New Roman" w:cs="Times New Roman" w:hint="eastAsia"/>
        </w:rPr>
        <w:t>本金</w:t>
      </w:r>
      <w:r w:rsidR="000B2D31" w:rsidRPr="00D30568">
        <w:rPr>
          <w:rFonts w:ascii="Times New Roman" w:hAnsi="Times New Roman" w:cs="Times New Roman" w:hint="eastAsia"/>
        </w:rPr>
        <w:t>化的结果，美国国债发行结构呈现出短期化趋势</w:t>
      </w:r>
      <w:r w:rsidR="00DC3585" w:rsidRPr="00D30568">
        <w:rPr>
          <w:rFonts w:ascii="Times New Roman" w:hAnsi="Times New Roman" w:cs="Times New Roman" w:hint="eastAsia"/>
        </w:rPr>
        <w:t>，</w:t>
      </w:r>
      <w:r w:rsidR="000B2D31" w:rsidRPr="00D30568">
        <w:rPr>
          <w:rFonts w:ascii="Times New Roman" w:hAnsi="Times New Roman" w:cs="Times New Roman" w:hint="eastAsia"/>
        </w:rPr>
        <w:t>财政部持有的</w:t>
      </w:r>
      <w:r w:rsidR="00D30568" w:rsidRPr="00D30568">
        <w:rPr>
          <w:rFonts w:ascii="Times New Roman" w:hAnsi="Times New Roman" w:cs="Times New Roman" w:hint="eastAsia"/>
        </w:rPr>
        <w:t>流动性资金</w:t>
      </w:r>
      <w:r w:rsidR="000B2D31" w:rsidRPr="00D30568">
        <w:rPr>
          <w:rFonts w:ascii="Times New Roman" w:hAnsi="Times New Roman" w:cs="Times New Roman" w:hint="eastAsia"/>
        </w:rPr>
        <w:t>比例</w:t>
      </w:r>
      <w:r w:rsidR="00DC3585" w:rsidRPr="00D30568">
        <w:rPr>
          <w:rFonts w:ascii="Times New Roman" w:hAnsi="Times New Roman" w:cs="Times New Roman" w:hint="eastAsia"/>
        </w:rPr>
        <w:t>也有所</w:t>
      </w:r>
      <w:r w:rsidR="000B2D31" w:rsidRPr="00D30568">
        <w:rPr>
          <w:rFonts w:ascii="Times New Roman" w:hAnsi="Times New Roman" w:cs="Times New Roman" w:hint="eastAsia"/>
        </w:rPr>
        <w:t>增加。美国</w:t>
      </w:r>
      <w:r w:rsidR="00DC3585" w:rsidRPr="00D30568">
        <w:rPr>
          <w:rFonts w:ascii="Times New Roman" w:hAnsi="Times New Roman" w:cs="Times New Roman" w:hint="eastAsia"/>
        </w:rPr>
        <w:t>债务</w:t>
      </w:r>
      <w:r w:rsidR="000B2D31" w:rsidRPr="00D30568">
        <w:rPr>
          <w:rFonts w:ascii="Times New Roman" w:hAnsi="Times New Roman" w:cs="Times New Roman" w:hint="eastAsia"/>
        </w:rPr>
        <w:t>利息</w:t>
      </w:r>
      <w:r w:rsidR="00167E5B">
        <w:rPr>
          <w:rFonts w:ascii="Times New Roman" w:hAnsi="Times New Roman" w:cs="Times New Roman" w:hint="eastAsia"/>
        </w:rPr>
        <w:t>本金</w:t>
      </w:r>
      <w:r w:rsidR="000B2D31" w:rsidRPr="00D30568">
        <w:rPr>
          <w:rFonts w:ascii="Times New Roman" w:hAnsi="Times New Roman" w:cs="Times New Roman" w:hint="eastAsia"/>
        </w:rPr>
        <w:t>化最大的风险不是偿还本金，而是财政部流动性</w:t>
      </w:r>
      <w:r w:rsidR="00D30568" w:rsidRPr="00D30568">
        <w:rPr>
          <w:rFonts w:ascii="Times New Roman" w:hAnsi="Times New Roman" w:cs="Times New Roman" w:hint="eastAsia"/>
        </w:rPr>
        <w:t>资金</w:t>
      </w:r>
      <w:r w:rsidR="000B2D31" w:rsidRPr="00D30568">
        <w:rPr>
          <w:rFonts w:ascii="Times New Roman" w:hAnsi="Times New Roman" w:cs="Times New Roman" w:hint="eastAsia"/>
        </w:rPr>
        <w:t>不足、短期债务发行不力导致的国债利息延期兑付，一旦</w:t>
      </w:r>
      <w:r w:rsidR="00BB0B9F" w:rsidRPr="00D30568">
        <w:rPr>
          <w:rFonts w:ascii="Times New Roman" w:hAnsi="Times New Roman" w:cs="Times New Roman" w:hint="eastAsia"/>
        </w:rPr>
        <w:t>延期兑付</w:t>
      </w:r>
      <w:r w:rsidR="00DC3585" w:rsidRPr="00D30568">
        <w:rPr>
          <w:rFonts w:ascii="Times New Roman" w:hAnsi="Times New Roman" w:cs="Times New Roman" w:hint="eastAsia"/>
        </w:rPr>
        <w:t>，</w:t>
      </w:r>
      <w:r w:rsidR="000B2D31" w:rsidRPr="00D30568">
        <w:rPr>
          <w:rFonts w:ascii="Times New Roman" w:hAnsi="Times New Roman" w:cs="Times New Roman" w:hint="eastAsia"/>
        </w:rPr>
        <w:t>美国</w:t>
      </w:r>
      <w:r w:rsidR="00BB0B9F" w:rsidRPr="00D30568">
        <w:rPr>
          <w:rFonts w:ascii="Times New Roman" w:hAnsi="Times New Roman" w:cs="Times New Roman" w:hint="eastAsia"/>
        </w:rPr>
        <w:t>主</w:t>
      </w:r>
      <w:r w:rsidR="00BB0B9F" w:rsidRPr="00C3146C">
        <w:rPr>
          <w:rFonts w:ascii="Times New Roman" w:hAnsi="Times New Roman" w:cs="Times New Roman" w:hint="eastAsia"/>
        </w:rPr>
        <w:t>权债务</w:t>
      </w:r>
      <w:r w:rsidR="000B2D31" w:rsidRPr="00C3146C">
        <w:rPr>
          <w:rFonts w:ascii="Times New Roman" w:hAnsi="Times New Roman" w:cs="Times New Roman" w:hint="eastAsia"/>
        </w:rPr>
        <w:t>危机会席卷全球，造成全球范围内的系统性金融危机。因此，美联储被迫成为美国财政部发行短期国债的做市</w:t>
      </w:r>
      <w:r w:rsidR="000B2D31" w:rsidRPr="00D30568">
        <w:rPr>
          <w:rFonts w:ascii="Times New Roman" w:hAnsi="Times New Roman" w:cs="Times New Roman" w:hint="eastAsia"/>
        </w:rPr>
        <w:t>商，</w:t>
      </w:r>
      <w:r w:rsidR="003D1759" w:rsidRPr="00D30568">
        <w:rPr>
          <w:rFonts w:ascii="Times New Roman" w:hAnsi="Times New Roman" w:cs="Times New Roman" w:hint="eastAsia"/>
        </w:rPr>
        <w:t>通过量化宽松的方式为美国财政部发行国债大开绿灯</w:t>
      </w:r>
      <w:r w:rsidR="00DC3585" w:rsidRPr="00D30568">
        <w:rPr>
          <w:rFonts w:ascii="Times New Roman" w:hAnsi="Times New Roman" w:cs="Times New Roman" w:hint="eastAsia"/>
        </w:rPr>
        <w:t>。</w:t>
      </w:r>
      <w:r w:rsidR="003D1759" w:rsidRPr="00D30568">
        <w:rPr>
          <w:rStyle w:val="a5"/>
          <w:rFonts w:ascii="Times New Roman" w:hAnsi="Times New Roman" w:cs="Times New Roman"/>
        </w:rPr>
        <w:footnoteReference w:id="30"/>
      </w:r>
    </w:p>
    <w:p w14:paraId="0623F3F1" w14:textId="40569676" w:rsidR="008E4AA8" w:rsidRDefault="00743FA8" w:rsidP="00281D9E">
      <w:pPr>
        <w:spacing w:line="360" w:lineRule="auto"/>
        <w:ind w:firstLineChars="200" w:firstLine="480"/>
        <w:rPr>
          <w:rFonts w:ascii="Times New Roman" w:hAnsi="Times New Roman" w:cs="Times New Roman"/>
        </w:rPr>
      </w:pPr>
      <w:r w:rsidRPr="00D30568">
        <w:rPr>
          <w:rFonts w:ascii="Times New Roman" w:hAnsi="Times New Roman" w:cs="Times New Roman" w:hint="eastAsia"/>
        </w:rPr>
        <w:t>第三类</w:t>
      </w:r>
      <w:r w:rsidR="00D30568" w:rsidRPr="00D30568">
        <w:rPr>
          <w:rFonts w:ascii="Times New Roman" w:hAnsi="Times New Roman" w:cs="Times New Roman" w:hint="eastAsia"/>
        </w:rPr>
        <w:t>债务</w:t>
      </w:r>
      <w:r w:rsidRPr="00D30568">
        <w:rPr>
          <w:rFonts w:ascii="Times New Roman" w:hAnsi="Times New Roman" w:cs="Times New Roman" w:hint="eastAsia"/>
        </w:rPr>
        <w:t>主要来自应对突发事件的表外支出，</w:t>
      </w:r>
      <w:r w:rsidR="00646961" w:rsidRPr="00D30568">
        <w:rPr>
          <w:rFonts w:ascii="Times New Roman" w:hAnsi="Times New Roman" w:cs="Times New Roman" w:hint="eastAsia"/>
        </w:rPr>
        <w:t>属于流动账户</w:t>
      </w:r>
      <w:r w:rsidR="00247B60" w:rsidRPr="00D30568">
        <w:rPr>
          <w:rFonts w:ascii="Times New Roman" w:hAnsi="Times New Roman" w:cs="Times New Roman" w:hint="eastAsia"/>
        </w:rPr>
        <w:t>。随着美国经济规模的扩张</w:t>
      </w:r>
      <w:r w:rsidR="00281D9E" w:rsidRPr="00D30568">
        <w:rPr>
          <w:rFonts w:ascii="Times New Roman" w:hAnsi="Times New Roman" w:cs="Times New Roman" w:hint="eastAsia"/>
        </w:rPr>
        <w:t>和经济问题的积累</w:t>
      </w:r>
      <w:r w:rsidR="00247B60" w:rsidRPr="00D30568">
        <w:rPr>
          <w:rFonts w:ascii="Times New Roman" w:hAnsi="Times New Roman" w:cs="Times New Roman" w:hint="eastAsia"/>
        </w:rPr>
        <w:t>，政府为应对突发性事件的</w:t>
      </w:r>
      <w:r w:rsidR="00A17AF8" w:rsidRPr="00D30568">
        <w:rPr>
          <w:rFonts w:ascii="Times New Roman" w:hAnsi="Times New Roman" w:cs="Times New Roman" w:hint="eastAsia"/>
        </w:rPr>
        <w:t>表外</w:t>
      </w:r>
      <w:r w:rsidR="00247B60" w:rsidRPr="00D30568">
        <w:rPr>
          <w:rFonts w:ascii="Times New Roman" w:hAnsi="Times New Roman" w:cs="Times New Roman" w:hint="eastAsia"/>
        </w:rPr>
        <w:t>开支规模越来越庞大，如</w:t>
      </w:r>
      <w:r w:rsidR="00A17AF8" w:rsidRPr="00D30568">
        <w:rPr>
          <w:rFonts w:ascii="Times New Roman" w:hAnsi="Times New Roman" w:cs="Times New Roman" w:hint="eastAsia"/>
        </w:rPr>
        <w:t>2008</w:t>
      </w:r>
      <w:r w:rsidR="00A17AF8" w:rsidRPr="00D30568">
        <w:rPr>
          <w:rFonts w:ascii="Times New Roman" w:hAnsi="Times New Roman" w:cs="Times New Roman" w:hint="eastAsia"/>
        </w:rPr>
        <w:t>年次贷危机的表外开支为</w:t>
      </w:r>
      <w:r w:rsidR="00A17AF8" w:rsidRPr="00D30568">
        <w:rPr>
          <w:rFonts w:ascii="Times New Roman" w:hAnsi="Times New Roman" w:cs="Times New Roman" w:hint="eastAsia"/>
        </w:rPr>
        <w:t>4750</w:t>
      </w:r>
      <w:r w:rsidR="00A17AF8" w:rsidRPr="00D30568">
        <w:rPr>
          <w:rFonts w:ascii="Times New Roman" w:hAnsi="Times New Roman" w:cs="Times New Roman" w:hint="eastAsia"/>
        </w:rPr>
        <w:t>亿</w:t>
      </w:r>
      <w:r w:rsidR="00DC3585" w:rsidRPr="00D30568">
        <w:rPr>
          <w:rFonts w:ascii="Times New Roman" w:hAnsi="Times New Roman" w:cs="Times New Roman" w:hint="eastAsia"/>
        </w:rPr>
        <w:t>美元</w:t>
      </w:r>
      <w:r w:rsidR="00A17AF8" w:rsidRPr="00D30568">
        <w:rPr>
          <w:rFonts w:ascii="Times New Roman" w:hAnsi="Times New Roman" w:cs="Times New Roman" w:hint="eastAsia"/>
        </w:rPr>
        <w:t>、</w:t>
      </w:r>
      <w:r w:rsidR="00A17AF8" w:rsidRPr="00D30568">
        <w:rPr>
          <w:rFonts w:ascii="Times New Roman" w:hAnsi="Times New Roman" w:cs="Times New Roman" w:hint="eastAsia"/>
        </w:rPr>
        <w:t>2020</w:t>
      </w:r>
      <w:r w:rsidR="00A17AF8" w:rsidRPr="00D30568">
        <w:rPr>
          <w:rFonts w:ascii="Times New Roman" w:hAnsi="Times New Roman" w:cs="Times New Roman" w:hint="eastAsia"/>
        </w:rPr>
        <w:t>年新冠疫情的表外开支为</w:t>
      </w:r>
      <w:r w:rsidR="00A17AF8" w:rsidRPr="00D30568">
        <w:rPr>
          <w:rFonts w:ascii="Times New Roman" w:hAnsi="Times New Roman" w:cs="Times New Roman" w:hint="eastAsia"/>
        </w:rPr>
        <w:t>1.28</w:t>
      </w:r>
      <w:r w:rsidR="00A17AF8" w:rsidRPr="00D30568">
        <w:rPr>
          <w:rFonts w:ascii="Times New Roman" w:hAnsi="Times New Roman" w:cs="Times New Roman" w:hint="eastAsia"/>
        </w:rPr>
        <w:t>万亿</w:t>
      </w:r>
      <w:r w:rsidR="00DC3585" w:rsidRPr="00D30568">
        <w:rPr>
          <w:rFonts w:ascii="Times New Roman" w:hAnsi="Times New Roman" w:cs="Times New Roman" w:hint="eastAsia"/>
        </w:rPr>
        <w:t>美元</w:t>
      </w:r>
      <w:r w:rsidR="00A17AF8" w:rsidRPr="00D30568">
        <w:rPr>
          <w:rFonts w:ascii="Times New Roman" w:hAnsi="Times New Roman" w:cs="Times New Roman" w:hint="eastAsia"/>
        </w:rPr>
        <w:t>、</w:t>
      </w:r>
      <w:r w:rsidR="00A17AF8" w:rsidRPr="00D30568">
        <w:rPr>
          <w:rFonts w:ascii="Times New Roman" w:hAnsi="Times New Roman" w:cs="Times New Roman" w:hint="eastAsia"/>
        </w:rPr>
        <w:t>2022</w:t>
      </w:r>
      <w:r w:rsidR="00A17AF8" w:rsidRPr="00D30568">
        <w:rPr>
          <w:rFonts w:ascii="Times New Roman" w:hAnsi="Times New Roman" w:cs="Times New Roman" w:hint="eastAsia"/>
        </w:rPr>
        <w:t>年至今通</w:t>
      </w:r>
      <w:r w:rsidR="00A17AF8" w:rsidRPr="00C3146C">
        <w:rPr>
          <w:rFonts w:ascii="Times New Roman" w:hAnsi="Times New Roman" w:cs="Times New Roman" w:hint="eastAsia"/>
        </w:rPr>
        <w:t>胀的表外开支为</w:t>
      </w:r>
      <w:r w:rsidR="00A17AF8" w:rsidRPr="00C3146C">
        <w:rPr>
          <w:rFonts w:ascii="Times New Roman" w:hAnsi="Times New Roman" w:cs="Times New Roman" w:hint="eastAsia"/>
        </w:rPr>
        <w:t>1.9</w:t>
      </w:r>
      <w:r w:rsidR="00A17AF8" w:rsidRPr="00C3146C">
        <w:rPr>
          <w:rFonts w:ascii="Times New Roman" w:hAnsi="Times New Roman" w:cs="Times New Roman" w:hint="eastAsia"/>
        </w:rPr>
        <w:t>万亿</w:t>
      </w:r>
      <w:r w:rsidR="00DC3585">
        <w:rPr>
          <w:rFonts w:ascii="Times New Roman" w:hAnsi="Times New Roman" w:cs="Times New Roman" w:hint="eastAsia"/>
        </w:rPr>
        <w:t>美元</w:t>
      </w:r>
      <w:r w:rsidR="00A17AF8" w:rsidRPr="00C3146C">
        <w:rPr>
          <w:rFonts w:ascii="Times New Roman" w:hAnsi="Times New Roman" w:cs="Times New Roman" w:hint="eastAsia"/>
        </w:rPr>
        <w:t>。</w:t>
      </w:r>
      <w:r w:rsidR="00F65AF1" w:rsidRPr="00C3146C">
        <w:rPr>
          <w:rFonts w:ascii="Times New Roman" w:hAnsi="Times New Roman" w:cs="Times New Roman" w:hint="eastAsia"/>
        </w:rPr>
        <w:t>在可以预见的未来，应对突发事件导致的债务增量可能成为美国债务新的增量，届时，美国债务的增长速度会</w:t>
      </w:r>
      <w:r w:rsidR="00F17B39" w:rsidRPr="00C3146C">
        <w:rPr>
          <w:rFonts w:ascii="Times New Roman" w:hAnsi="Times New Roman" w:cs="Times New Roman" w:hint="eastAsia"/>
        </w:rPr>
        <w:t>明显加快</w:t>
      </w:r>
      <w:r w:rsidR="00F65AF1" w:rsidRPr="00C3146C">
        <w:rPr>
          <w:rFonts w:ascii="Times New Roman" w:hAnsi="Times New Roman" w:cs="Times New Roman" w:hint="eastAsia"/>
        </w:rPr>
        <w:t>。</w:t>
      </w:r>
    </w:p>
    <w:p w14:paraId="2AF8ECE1" w14:textId="53BB69F8" w:rsidR="00794693" w:rsidRDefault="00DC3585" w:rsidP="00281D9E">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在三类债务存量中，只有第一类债务的一部分计入国民经济账户</w:t>
      </w:r>
      <w:r w:rsidR="006A0148">
        <w:rPr>
          <w:rFonts w:ascii="Times New Roman" w:hAnsi="Times New Roman" w:cs="Times New Roman" w:hint="eastAsia"/>
        </w:rPr>
        <w:t>体系</w:t>
      </w:r>
      <w:r w:rsidRPr="00C3146C">
        <w:rPr>
          <w:rFonts w:ascii="Times New Roman" w:hAnsi="Times New Roman" w:cs="Times New Roman" w:hint="eastAsia"/>
        </w:rPr>
        <w:t>内，第二类、第三类和第一类的其他部分统统不体现在国民经济账户体系内</w:t>
      </w:r>
      <w:r>
        <w:rPr>
          <w:rFonts w:ascii="Times New Roman" w:hAnsi="Times New Roman" w:cs="Times New Roman" w:hint="eastAsia"/>
        </w:rPr>
        <w:t>，</w:t>
      </w:r>
      <w:r w:rsidRPr="00C3146C">
        <w:rPr>
          <w:rFonts w:ascii="Times New Roman" w:hAnsi="Times New Roman" w:cs="Times New Roman" w:hint="eastAsia"/>
        </w:rPr>
        <w:t>都属于表外债务。从三类债务的基本发展趋势看</w:t>
      </w:r>
      <w:r>
        <w:rPr>
          <w:rFonts w:ascii="Times New Roman" w:hAnsi="Times New Roman" w:cs="Times New Roman" w:hint="eastAsia"/>
        </w:rPr>
        <w:t>（见图</w:t>
      </w:r>
      <w:r>
        <w:rPr>
          <w:rFonts w:ascii="Times New Roman" w:hAnsi="Times New Roman" w:cs="Times New Roman" w:hint="eastAsia"/>
        </w:rPr>
        <w:t>9</w:t>
      </w:r>
      <w:r>
        <w:rPr>
          <w:rFonts w:ascii="Times New Roman" w:hAnsi="Times New Roman" w:cs="Times New Roman" w:hint="eastAsia"/>
        </w:rPr>
        <w:t>）</w:t>
      </w:r>
      <w:r w:rsidRPr="00C3146C">
        <w:rPr>
          <w:rFonts w:ascii="Times New Roman" w:hAnsi="Times New Roman" w:cs="Times New Roman" w:hint="eastAsia"/>
        </w:rPr>
        <w:t>，我们可以从两个角度理解美国政府债务的表外化趋势：第一，广义的表外化趋势，即</w:t>
      </w:r>
      <w:r w:rsidRPr="00556459">
        <w:rPr>
          <w:rFonts w:ascii="Times New Roman" w:hAnsi="Times New Roman" w:cs="Times New Roman" w:hint="eastAsia"/>
        </w:rPr>
        <w:t>国民经济</w:t>
      </w:r>
      <w:r w:rsidR="006A0148" w:rsidRPr="00556459">
        <w:rPr>
          <w:rFonts w:ascii="Times New Roman" w:hAnsi="Times New Roman" w:cs="Times New Roman" w:hint="eastAsia"/>
        </w:rPr>
        <w:t>账户</w:t>
      </w:r>
      <w:r w:rsidRPr="00556459">
        <w:rPr>
          <w:rFonts w:ascii="Times New Roman" w:hAnsi="Times New Roman" w:cs="Times New Roman" w:hint="eastAsia"/>
        </w:rPr>
        <w:t>体系</w:t>
      </w:r>
      <w:r w:rsidRPr="00C3146C">
        <w:rPr>
          <w:rFonts w:ascii="Times New Roman" w:hAnsi="Times New Roman" w:cs="Times New Roman" w:hint="eastAsia"/>
        </w:rPr>
        <w:t>外的美国政府债务规模越来越大，它</w:t>
      </w:r>
      <w:r w:rsidR="00231E43" w:rsidRPr="00231E43">
        <w:rPr>
          <w:rFonts w:ascii="Times New Roman" w:hAnsi="Times New Roman" w:cs="Times New Roman" w:hint="eastAsia"/>
        </w:rPr>
        <w:t>反映</w:t>
      </w:r>
      <w:r w:rsidRPr="00C3146C">
        <w:rPr>
          <w:rFonts w:ascii="Times New Roman" w:hAnsi="Times New Roman" w:cs="Times New Roman" w:hint="eastAsia"/>
        </w:rPr>
        <w:t>的是对美国增长路径的修补性支出，</w:t>
      </w:r>
      <w:r>
        <w:rPr>
          <w:rFonts w:ascii="Times New Roman" w:hAnsi="Times New Roman" w:cs="Times New Roman" w:hint="eastAsia"/>
        </w:rPr>
        <w:t>其</w:t>
      </w:r>
      <w:r w:rsidRPr="00C3146C">
        <w:rPr>
          <w:rFonts w:ascii="Times New Roman" w:hAnsi="Times New Roman" w:cs="Times New Roman" w:hint="eastAsia"/>
        </w:rPr>
        <w:t>规模越大</w:t>
      </w:r>
      <w:r>
        <w:rPr>
          <w:rFonts w:ascii="Times New Roman" w:hAnsi="Times New Roman" w:cs="Times New Roman" w:hint="eastAsia"/>
        </w:rPr>
        <w:t>，</w:t>
      </w:r>
      <w:r w:rsidRPr="00C3146C">
        <w:rPr>
          <w:rFonts w:ascii="Times New Roman" w:hAnsi="Times New Roman" w:cs="Times New Roman" w:hint="eastAsia"/>
        </w:rPr>
        <w:t>现有增长路径的问题越严重；第二，狭义的表外化趋势，即</w:t>
      </w:r>
      <w:r w:rsidRPr="00C3146C">
        <w:rPr>
          <w:rFonts w:ascii="Times New Roman" w:hAnsi="Times New Roman" w:cs="Times New Roman" w:hint="eastAsia"/>
        </w:rPr>
        <w:lastRenderedPageBreak/>
        <w:t>不纳入政府预算体系的应急性债务规模激增，它</w:t>
      </w:r>
      <w:r w:rsidR="00231E43" w:rsidRPr="00231E43">
        <w:rPr>
          <w:rFonts w:ascii="Times New Roman" w:hAnsi="Times New Roman" w:cs="Times New Roman" w:hint="eastAsia"/>
        </w:rPr>
        <w:t>反映</w:t>
      </w:r>
      <w:r>
        <w:rPr>
          <w:rFonts w:ascii="Times New Roman" w:hAnsi="Times New Roman" w:cs="Times New Roman" w:hint="eastAsia"/>
        </w:rPr>
        <w:t>的是经济制度的深层次问题，其</w:t>
      </w:r>
      <w:r w:rsidRPr="00C3146C">
        <w:rPr>
          <w:rFonts w:ascii="Times New Roman" w:hAnsi="Times New Roman" w:cs="Times New Roman" w:hint="eastAsia"/>
        </w:rPr>
        <w:t>规模越大</w:t>
      </w:r>
      <w:r>
        <w:rPr>
          <w:rFonts w:ascii="Times New Roman" w:hAnsi="Times New Roman" w:cs="Times New Roman" w:hint="eastAsia"/>
        </w:rPr>
        <w:t>，</w:t>
      </w:r>
      <w:r w:rsidRPr="00C3146C">
        <w:rPr>
          <w:rFonts w:ascii="Times New Roman" w:hAnsi="Times New Roman" w:cs="Times New Roman" w:hint="eastAsia"/>
        </w:rPr>
        <w:t>经济制度深层次的问题越严重。</w:t>
      </w:r>
    </w:p>
    <w:p w14:paraId="41BC6530" w14:textId="77777777" w:rsidR="009A60AB" w:rsidRPr="00C3146C" w:rsidRDefault="009A60AB" w:rsidP="009A60AB">
      <w:pPr>
        <w:spacing w:line="360" w:lineRule="auto"/>
        <w:rPr>
          <w:rFonts w:ascii="Times New Roman" w:hAnsi="Times New Roman" w:cs="Times New Roman"/>
        </w:rPr>
      </w:pPr>
      <w:r w:rsidRPr="00C3146C">
        <w:rPr>
          <w:noProof/>
          <w14:ligatures w14:val="standardContextual"/>
        </w:rPr>
        <w:drawing>
          <wp:inline distT="0" distB="0" distL="0" distR="0" wp14:anchorId="1E1D0274" wp14:editId="13354591">
            <wp:extent cx="5274310" cy="2052084"/>
            <wp:effectExtent l="0" t="0" r="8890" b="18415"/>
            <wp:docPr id="1677285579" name="图表 1">
              <a:extLst xmlns:a="http://schemas.openxmlformats.org/drawingml/2006/main">
                <a:ext uri="{FF2B5EF4-FFF2-40B4-BE49-F238E27FC236}">
                  <a16:creationId xmlns:a16="http://schemas.microsoft.com/office/drawing/2014/main" id="{14371308-CBB3-936A-738F-D9D9BB83BF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382A891" w14:textId="2D9DAA76" w:rsidR="009A60AB" w:rsidRPr="00C3146C" w:rsidRDefault="009A60AB" w:rsidP="009A60AB">
      <w:pPr>
        <w:spacing w:line="360" w:lineRule="auto"/>
        <w:jc w:val="center"/>
        <w:rPr>
          <w:rFonts w:ascii="Times New Roman" w:hAnsi="Times New Roman" w:cs="Times New Roman"/>
        </w:rPr>
      </w:pPr>
      <w:r w:rsidRPr="00C3146C">
        <w:rPr>
          <w:rFonts w:ascii="Times New Roman" w:hAnsi="Times New Roman" w:cs="Times New Roman" w:hint="eastAsia"/>
        </w:rPr>
        <w:t>图</w:t>
      </w:r>
      <w:r w:rsidRPr="00C3146C">
        <w:rPr>
          <w:rFonts w:ascii="Times New Roman" w:hAnsi="Times New Roman" w:cs="Times New Roman" w:hint="eastAsia"/>
        </w:rPr>
        <w:t xml:space="preserve">9 </w:t>
      </w:r>
      <w:r w:rsidRPr="00C3146C">
        <w:rPr>
          <w:rFonts w:ascii="Times New Roman" w:hAnsi="Times New Roman" w:cs="Times New Roman" w:hint="eastAsia"/>
        </w:rPr>
        <w:t>美国政府历年新增债务分类</w:t>
      </w:r>
    </w:p>
    <w:p w14:paraId="7689C379" w14:textId="6DF7BC4C" w:rsidR="009A60AB" w:rsidRPr="001E326B" w:rsidRDefault="009A60AB" w:rsidP="009A60AB">
      <w:pPr>
        <w:rPr>
          <w:rFonts w:ascii="Times New Roman" w:hAnsi="Times New Roman" w:cs="Times New Roman"/>
          <w:sz w:val="21"/>
          <w:szCs w:val="21"/>
        </w:rPr>
      </w:pPr>
      <w:r w:rsidRPr="001E326B">
        <w:rPr>
          <w:rFonts w:ascii="Times New Roman" w:hAnsi="Times New Roman" w:cs="Times New Roman" w:hint="eastAsia"/>
          <w:sz w:val="21"/>
          <w:szCs w:val="21"/>
        </w:rPr>
        <w:t>数据来源：</w:t>
      </w:r>
      <w:r w:rsidR="0065748A">
        <w:rPr>
          <w:rFonts w:ascii="Times New Roman" w:hAnsi="Times New Roman" w:cs="Times New Roman"/>
          <w:sz w:val="21"/>
          <w:szCs w:val="21"/>
        </w:rPr>
        <w:t>U.S. Bureau of Economic Analysis</w:t>
      </w:r>
      <w:r w:rsidRPr="00DC3585">
        <w:rPr>
          <w:rFonts w:ascii="Times New Roman" w:hAnsi="Times New Roman" w:cs="Times New Roman"/>
          <w:sz w:val="21"/>
          <w:szCs w:val="21"/>
        </w:rPr>
        <w:t>, "</w:t>
      </w:r>
      <w:r w:rsidRPr="00BE517C">
        <w:rPr>
          <w:rFonts w:ascii="Times New Roman" w:hAnsi="Times New Roman" w:cs="Times New Roman"/>
          <w:iCs/>
          <w:sz w:val="21"/>
          <w:szCs w:val="21"/>
        </w:rPr>
        <w:t>Table 3.1 Government Current Receipts and Expenditures</w:t>
      </w:r>
      <w:r w:rsidRPr="00DC3585">
        <w:rPr>
          <w:rFonts w:ascii="Times New Roman" w:hAnsi="Times New Roman" w:cs="Times New Roman"/>
          <w:sz w:val="21"/>
          <w:szCs w:val="21"/>
        </w:rPr>
        <w:t>"</w:t>
      </w:r>
      <w:r>
        <w:rPr>
          <w:rFonts w:ascii="Times New Roman" w:hAnsi="Times New Roman" w:cs="Times New Roman"/>
          <w:sz w:val="21"/>
          <w:szCs w:val="21"/>
        </w:rPr>
        <w:t xml:space="preserve">; Federal Reserve </w:t>
      </w:r>
      <w:r w:rsidRPr="00DC3585">
        <w:rPr>
          <w:rFonts w:ascii="Times New Roman" w:hAnsi="Times New Roman" w:cs="Times New Roman"/>
          <w:sz w:val="21"/>
          <w:szCs w:val="21"/>
        </w:rPr>
        <w:t>Statistical Release, "</w:t>
      </w:r>
      <w:r w:rsidRPr="00BE517C">
        <w:rPr>
          <w:rFonts w:ascii="Times New Roman" w:hAnsi="Times New Roman" w:cs="Times New Roman"/>
          <w:iCs/>
          <w:sz w:val="21"/>
          <w:szCs w:val="21"/>
        </w:rPr>
        <w:t>Z.1 Financial Accounts of United States: Flow of Funds, Balance Sheets, and Integrated Macroeconomic Accounts Historical Annual Tables</w:t>
      </w:r>
      <w:r w:rsidRPr="00DC3585">
        <w:rPr>
          <w:rFonts w:ascii="Times New Roman" w:hAnsi="Times New Roman" w:cs="Times New Roman"/>
          <w:sz w:val="21"/>
          <w:szCs w:val="21"/>
        </w:rPr>
        <w:t>""H.15 Selected Interest Rates".</w:t>
      </w:r>
    </w:p>
    <w:p w14:paraId="2EF6A76D" w14:textId="77777777" w:rsidR="003258F3" w:rsidRPr="00C3146C" w:rsidRDefault="003258F3" w:rsidP="00865780">
      <w:pPr>
        <w:spacing w:line="360" w:lineRule="auto"/>
        <w:ind w:firstLineChars="200" w:firstLine="480"/>
        <w:rPr>
          <w:rFonts w:ascii="Times New Roman" w:hAnsi="Times New Roman" w:cs="Times New Roman"/>
        </w:rPr>
      </w:pPr>
    </w:p>
    <w:p w14:paraId="3A3FE71A" w14:textId="3141BE92" w:rsidR="003258F3" w:rsidRPr="00C3146C" w:rsidRDefault="003258F3" w:rsidP="003258F3">
      <w:pPr>
        <w:spacing w:line="360" w:lineRule="auto"/>
        <w:ind w:firstLineChars="200" w:firstLine="480"/>
        <w:rPr>
          <w:rFonts w:ascii="Times New Roman" w:hAnsi="Times New Roman" w:cs="Times New Roman"/>
        </w:rPr>
      </w:pPr>
      <w:r w:rsidRPr="00C3146C">
        <w:rPr>
          <w:rFonts w:ascii="Times New Roman" w:hAnsi="Times New Roman" w:cs="Times New Roman" w:hint="eastAsia"/>
        </w:rPr>
        <w:t>美国经济增长表外化呈现了系列问题，</w:t>
      </w:r>
      <w:r w:rsidR="00DC3585">
        <w:rPr>
          <w:rFonts w:ascii="Times New Roman" w:hAnsi="Times New Roman" w:cs="Times New Roman" w:hint="eastAsia"/>
        </w:rPr>
        <w:t>它</w:t>
      </w:r>
      <w:r w:rsidRPr="00C3146C">
        <w:rPr>
          <w:rFonts w:ascii="Times New Roman" w:hAnsi="Times New Roman" w:cs="Times New Roman" w:hint="eastAsia"/>
        </w:rPr>
        <w:t>们是否具有普遍适用性？答案或许是肯定的，区别在于问题的严重程度及修补</w:t>
      </w:r>
      <w:r w:rsidR="00FA4E0E" w:rsidRPr="00C3146C">
        <w:rPr>
          <w:rFonts w:ascii="Times New Roman" w:hAnsi="Times New Roman" w:cs="Times New Roman" w:hint="eastAsia"/>
        </w:rPr>
        <w:t>空间</w:t>
      </w:r>
      <w:r w:rsidRPr="00C3146C">
        <w:rPr>
          <w:rFonts w:ascii="Times New Roman" w:hAnsi="Times New Roman" w:cs="Times New Roman" w:hint="eastAsia"/>
        </w:rPr>
        <w:t>。</w:t>
      </w:r>
    </w:p>
    <w:p w14:paraId="7BE3A079" w14:textId="77777777" w:rsidR="005C3D2A" w:rsidRDefault="005C3D2A" w:rsidP="007762FF">
      <w:pPr>
        <w:spacing w:line="360" w:lineRule="auto"/>
        <w:rPr>
          <w:rFonts w:ascii="黑体" w:eastAsia="黑体" w:hAnsi="黑体" w:cs="Times New Roman"/>
        </w:rPr>
      </w:pPr>
    </w:p>
    <w:p w14:paraId="7475332D" w14:textId="321F754C" w:rsidR="0044439F" w:rsidRPr="00C3146C" w:rsidRDefault="0044439F" w:rsidP="007762FF">
      <w:pPr>
        <w:spacing w:line="360" w:lineRule="auto"/>
        <w:rPr>
          <w:rFonts w:ascii="黑体" w:eastAsia="黑体" w:hAnsi="黑体" w:cs="Times New Roman"/>
        </w:rPr>
      </w:pPr>
      <w:r w:rsidRPr="00C3146C">
        <w:rPr>
          <w:rFonts w:ascii="黑体" w:eastAsia="黑体" w:hAnsi="黑体" w:cs="Times New Roman" w:hint="eastAsia"/>
        </w:rPr>
        <w:t>四、</w:t>
      </w:r>
      <w:r w:rsidR="00EC1AF0" w:rsidRPr="00C3146C">
        <w:rPr>
          <w:rFonts w:ascii="黑体" w:eastAsia="黑体" w:hAnsi="黑体" w:cs="Times New Roman" w:hint="eastAsia"/>
        </w:rPr>
        <w:t>我们需要</w:t>
      </w:r>
      <w:r w:rsidR="00F826F0" w:rsidRPr="00C3146C">
        <w:rPr>
          <w:rFonts w:ascii="黑体" w:eastAsia="黑体" w:hAnsi="黑体" w:cs="Times New Roman" w:hint="eastAsia"/>
        </w:rPr>
        <w:t>什么样的经济</w:t>
      </w:r>
      <w:r w:rsidR="00EC1AF0" w:rsidRPr="00C3146C">
        <w:rPr>
          <w:rFonts w:ascii="黑体" w:eastAsia="黑体" w:hAnsi="黑体" w:cs="Times New Roman" w:hint="eastAsia"/>
        </w:rPr>
        <w:t>？</w:t>
      </w:r>
    </w:p>
    <w:p w14:paraId="2F89FAB1" w14:textId="38546C67" w:rsidR="007D0D62" w:rsidRPr="00C3146C" w:rsidRDefault="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作为世界第二大经济体，我们的经济发展能够参照的对照系仅剩下美国。但是，美国呈现出的种种问题似乎在向我们发出强烈预警，这种增长路径</w:t>
      </w:r>
      <w:r w:rsidR="00664F69" w:rsidRPr="00C3146C">
        <w:rPr>
          <w:rFonts w:ascii="Times New Roman" w:hAnsi="Times New Roman" w:cs="Times New Roman" w:hint="eastAsia"/>
        </w:rPr>
        <w:t>的动力</w:t>
      </w:r>
      <w:r w:rsidR="00B84E1C" w:rsidRPr="00C3146C">
        <w:rPr>
          <w:rFonts w:ascii="Times New Roman" w:hAnsi="Times New Roman" w:cs="Times New Roman" w:hint="eastAsia"/>
        </w:rPr>
        <w:t>在</w:t>
      </w:r>
      <w:r w:rsidR="00664F69" w:rsidRPr="00C3146C">
        <w:rPr>
          <w:rFonts w:ascii="Times New Roman" w:hAnsi="Times New Roman" w:cs="Times New Roman" w:hint="eastAsia"/>
        </w:rPr>
        <w:t>衰减</w:t>
      </w:r>
      <w:r w:rsidR="00B84E1C" w:rsidRPr="00C3146C">
        <w:rPr>
          <w:rFonts w:ascii="Times New Roman" w:hAnsi="Times New Roman" w:cs="Times New Roman" w:hint="eastAsia"/>
        </w:rPr>
        <w:t>、</w:t>
      </w:r>
      <w:r w:rsidRPr="00C3146C">
        <w:rPr>
          <w:rFonts w:ascii="Times New Roman" w:hAnsi="Times New Roman" w:cs="Times New Roman" w:hint="eastAsia"/>
        </w:rPr>
        <w:t>不可持续。如果预警是真实有效的，我们就失去了唯一的参照系，需要重新思考经济增长的重大战略性问题：我们需要什么样的经济？在探索这个问题的过程中，唯一明确的是美国增长路径显示出的“雷区”。</w:t>
      </w:r>
      <w:r w:rsidR="007D0D62" w:rsidRPr="00C3146C">
        <w:rPr>
          <w:rFonts w:ascii="Times New Roman" w:hAnsi="Times New Roman" w:cs="Times New Roman" w:hint="eastAsia"/>
        </w:rPr>
        <w:t>本文无法对</w:t>
      </w:r>
      <w:r w:rsidR="00952509">
        <w:rPr>
          <w:rFonts w:ascii="Times New Roman" w:hAnsi="Times New Roman" w:cs="Times New Roman" w:hint="eastAsia"/>
        </w:rPr>
        <w:t>“我们需要什么样的经济”这一重大战略</w:t>
      </w:r>
      <w:r w:rsidR="007D0D62" w:rsidRPr="00C3146C">
        <w:rPr>
          <w:rFonts w:ascii="Times New Roman" w:hAnsi="Times New Roman" w:cs="Times New Roman" w:hint="eastAsia"/>
        </w:rPr>
        <w:t>问题给出系统解答，只能以美为</w:t>
      </w:r>
      <w:r w:rsidR="00D45837" w:rsidRPr="00C3146C">
        <w:rPr>
          <w:rFonts w:ascii="Times New Roman" w:hAnsi="Times New Roman" w:cs="Times New Roman" w:hint="eastAsia"/>
        </w:rPr>
        <w:t>戒</w:t>
      </w:r>
      <w:r w:rsidR="007D0D62" w:rsidRPr="00C3146C">
        <w:rPr>
          <w:rFonts w:ascii="Times New Roman" w:hAnsi="Times New Roman" w:cs="Times New Roman" w:hint="eastAsia"/>
        </w:rPr>
        <w:t>，</w:t>
      </w:r>
      <w:r w:rsidR="00952509">
        <w:rPr>
          <w:rFonts w:ascii="Times New Roman" w:hAnsi="Times New Roman" w:cs="Times New Roman" w:hint="eastAsia"/>
        </w:rPr>
        <w:t>通过下面四个问题</w:t>
      </w:r>
      <w:r w:rsidR="007D0D62" w:rsidRPr="00C3146C">
        <w:rPr>
          <w:rFonts w:ascii="Times New Roman" w:hAnsi="Times New Roman" w:cs="Times New Roman" w:hint="eastAsia"/>
        </w:rPr>
        <w:t>掩门论道。</w:t>
      </w:r>
    </w:p>
    <w:p w14:paraId="65852D93" w14:textId="77777777" w:rsidR="00F92822" w:rsidRPr="00C3146C" w:rsidRDefault="00F92822" w:rsidP="00047C77">
      <w:pPr>
        <w:spacing w:line="360" w:lineRule="auto"/>
        <w:ind w:firstLineChars="200" w:firstLine="480"/>
        <w:rPr>
          <w:rFonts w:ascii="Times New Roman" w:hAnsi="Times New Roman" w:cs="Times New Roman"/>
        </w:rPr>
      </w:pPr>
    </w:p>
    <w:p w14:paraId="0F0C53C1" w14:textId="7131745A" w:rsidR="00355EF1" w:rsidRPr="00C3146C" w:rsidRDefault="00355EF1" w:rsidP="00047C77">
      <w:pPr>
        <w:spacing w:line="360" w:lineRule="auto"/>
        <w:ind w:firstLineChars="200" w:firstLine="489"/>
        <w:rPr>
          <w:rFonts w:ascii="Times New Roman" w:hAnsi="Times New Roman" w:cs="Times New Roman"/>
          <w:b/>
          <w:bCs/>
        </w:rPr>
      </w:pPr>
      <w:r w:rsidRPr="00C3146C">
        <w:rPr>
          <w:rFonts w:ascii="Times New Roman" w:hAnsi="Times New Roman" w:cs="Times New Roman" w:hint="eastAsia"/>
          <w:b/>
          <w:bCs/>
        </w:rPr>
        <w:t>第一个问题：我们需要什么样的消费？</w:t>
      </w:r>
    </w:p>
    <w:p w14:paraId="0D254C74" w14:textId="0837E214" w:rsidR="00CB4B24" w:rsidRPr="00C3146C" w:rsidRDefault="00CB4B24" w:rsidP="00863B10">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如果单纯追求消费增长的结果，</w:t>
      </w:r>
      <w:r w:rsidR="00C84422" w:rsidRPr="00C3146C">
        <w:rPr>
          <w:rFonts w:ascii="Times New Roman" w:hAnsi="Times New Roman" w:cs="Times New Roman" w:hint="eastAsia"/>
        </w:rPr>
        <w:t>在医疗、住房、</w:t>
      </w:r>
      <w:r w:rsidR="00804E25" w:rsidRPr="00C3146C">
        <w:rPr>
          <w:rFonts w:ascii="Times New Roman" w:hAnsi="Times New Roman" w:cs="Times New Roman" w:hint="eastAsia"/>
        </w:rPr>
        <w:t>大学教育、</w:t>
      </w:r>
      <w:r w:rsidR="00C84422" w:rsidRPr="00C3146C">
        <w:rPr>
          <w:rFonts w:ascii="Times New Roman" w:hAnsi="Times New Roman" w:cs="Times New Roman" w:hint="eastAsia"/>
        </w:rPr>
        <w:t>公共交通等家庭硬性开支领域推行全面的市场化改革</w:t>
      </w:r>
      <w:r w:rsidR="00B5304B" w:rsidRPr="00C3146C">
        <w:rPr>
          <w:rFonts w:ascii="Times New Roman" w:hAnsi="Times New Roman" w:cs="Times New Roman" w:hint="eastAsia"/>
        </w:rPr>
        <w:t>、拉高价格</w:t>
      </w:r>
      <w:r w:rsidR="00C84422" w:rsidRPr="00C3146C">
        <w:rPr>
          <w:rFonts w:ascii="Times New Roman" w:hAnsi="Times New Roman" w:cs="Times New Roman" w:hint="eastAsia"/>
        </w:rPr>
        <w:t>，必有消费规模的持续性扩</w:t>
      </w:r>
      <w:r w:rsidR="00C84422" w:rsidRPr="00C3146C">
        <w:rPr>
          <w:rFonts w:ascii="Times New Roman" w:hAnsi="Times New Roman" w:cs="Times New Roman" w:hint="eastAsia"/>
        </w:rPr>
        <w:lastRenderedPageBreak/>
        <w:t>张和</w:t>
      </w:r>
      <w:r w:rsidR="00C84422" w:rsidRPr="00C3146C">
        <w:rPr>
          <w:rFonts w:ascii="Times New Roman" w:hAnsi="Times New Roman" w:cs="Times New Roman" w:hint="eastAsia"/>
        </w:rPr>
        <w:t>GDP</w:t>
      </w:r>
      <w:r w:rsidR="00C84422" w:rsidRPr="00C3146C">
        <w:rPr>
          <w:rFonts w:ascii="Times New Roman" w:hAnsi="Times New Roman" w:cs="Times New Roman" w:hint="eastAsia"/>
        </w:rPr>
        <w:t>的快速增长。以中国的人口规模，中国可以迅速超越美国，位列全球</w:t>
      </w:r>
      <w:r w:rsidR="00C84422" w:rsidRPr="00C3146C">
        <w:rPr>
          <w:rFonts w:ascii="Times New Roman" w:hAnsi="Times New Roman" w:cs="Times New Roman" w:hint="eastAsia"/>
        </w:rPr>
        <w:t>GDP</w:t>
      </w:r>
      <w:r w:rsidR="00C84422" w:rsidRPr="00C3146C">
        <w:rPr>
          <w:rFonts w:ascii="Times New Roman" w:hAnsi="Times New Roman" w:cs="Times New Roman" w:hint="eastAsia"/>
        </w:rPr>
        <w:t>第一。但是，美国市场化展现的结果表明，这种做法与中国特色社会主义的制度属性严重不符</w:t>
      </w:r>
      <w:r w:rsidR="00804E25" w:rsidRPr="00C3146C">
        <w:rPr>
          <w:rFonts w:ascii="Times New Roman" w:hAnsi="Times New Roman" w:cs="Times New Roman" w:hint="eastAsia"/>
        </w:rPr>
        <w:t>，且存在把人民政府拖入第一类债务急速膨胀的陷阱、削弱人民政府开展宏观调控的总体实力</w:t>
      </w:r>
      <w:r w:rsidR="00C84422" w:rsidRPr="00C3146C">
        <w:rPr>
          <w:rFonts w:ascii="Times New Roman" w:hAnsi="Times New Roman" w:cs="Times New Roman" w:hint="eastAsia"/>
        </w:rPr>
        <w:t>。</w:t>
      </w:r>
    </w:p>
    <w:p w14:paraId="2B90836F" w14:textId="19CF6D0F" w:rsidR="00F87E2D" w:rsidRPr="00C3146C" w:rsidRDefault="005E3E2C" w:rsidP="00863B10">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既然美国路</w:t>
      </w:r>
      <w:r w:rsidR="00734ACB" w:rsidRPr="00C3146C">
        <w:rPr>
          <w:rFonts w:ascii="Times New Roman" w:hAnsi="Times New Roman" w:cs="Times New Roman" w:hint="eastAsia"/>
        </w:rPr>
        <w:t>子</w:t>
      </w:r>
      <w:r w:rsidRPr="00C3146C">
        <w:rPr>
          <w:rFonts w:ascii="Times New Roman" w:hAnsi="Times New Roman" w:cs="Times New Roman" w:hint="eastAsia"/>
        </w:rPr>
        <w:t>不适用于中国国情，我们就要重新思考怎么看待消费的问题。</w:t>
      </w:r>
      <w:r w:rsidR="007B5AC5" w:rsidRPr="00C3146C">
        <w:rPr>
          <w:rFonts w:ascii="Times New Roman" w:hAnsi="Times New Roman" w:cs="Times New Roman" w:hint="eastAsia"/>
        </w:rPr>
        <w:t>要规避家庭消费美国化的陷阱，</w:t>
      </w:r>
      <w:r w:rsidR="00DE38A9" w:rsidRPr="00C3146C">
        <w:rPr>
          <w:rFonts w:ascii="Times New Roman" w:hAnsi="Times New Roman" w:cs="Times New Roman" w:hint="eastAsia"/>
        </w:rPr>
        <w:t>告别</w:t>
      </w:r>
      <w:r w:rsidR="004C0E70" w:rsidRPr="00C3146C">
        <w:rPr>
          <w:rFonts w:ascii="Times New Roman" w:hAnsi="Times New Roman" w:cs="Times New Roman" w:hint="eastAsia"/>
        </w:rPr>
        <w:t>笼统地刺激消费。</w:t>
      </w:r>
      <w:r w:rsidR="007B5AC5" w:rsidRPr="00C3146C">
        <w:rPr>
          <w:rFonts w:ascii="Times New Roman" w:hAnsi="Times New Roman" w:cs="Times New Roman" w:hint="eastAsia"/>
        </w:rPr>
        <w:t>我们</w:t>
      </w:r>
      <w:r w:rsidR="00DE38A9" w:rsidRPr="00C3146C">
        <w:rPr>
          <w:rFonts w:ascii="Times New Roman" w:hAnsi="Times New Roman" w:cs="Times New Roman" w:hint="eastAsia"/>
        </w:rPr>
        <w:t>应</w:t>
      </w:r>
      <w:r w:rsidR="007B5AC5" w:rsidRPr="00C3146C">
        <w:rPr>
          <w:rFonts w:ascii="Times New Roman" w:hAnsi="Times New Roman" w:cs="Times New Roman" w:hint="eastAsia"/>
        </w:rPr>
        <w:t>把家庭消费增长拉回到表内，即以家庭收入持续增长为支撑的消费，同时按照支出属性对家庭消费实施分级</w:t>
      </w:r>
      <w:r w:rsidR="00952509">
        <w:rPr>
          <w:rFonts w:ascii="Times New Roman" w:hAnsi="Times New Roman" w:cs="Times New Roman" w:hint="eastAsia"/>
        </w:rPr>
        <w:t>，</w:t>
      </w:r>
      <w:r w:rsidR="00F87E2D" w:rsidRPr="00C3146C">
        <w:rPr>
          <w:rFonts w:ascii="Times New Roman" w:hAnsi="Times New Roman" w:cs="Times New Roman" w:hint="eastAsia"/>
        </w:rPr>
        <w:t>对不同层次消费执行差异化政策</w:t>
      </w:r>
      <w:r w:rsidR="007B5AC5" w:rsidRPr="00C3146C">
        <w:rPr>
          <w:rFonts w:ascii="Times New Roman" w:hAnsi="Times New Roman" w:cs="Times New Roman" w:hint="eastAsia"/>
        </w:rPr>
        <w:t>。</w:t>
      </w:r>
    </w:p>
    <w:p w14:paraId="3AEA830B" w14:textId="628C4D02" w:rsidR="00F87E2D" w:rsidRPr="00C3146C" w:rsidRDefault="007B5AC5" w:rsidP="00863B10">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按照马克思主义的观点，家庭消费支出是劳动力再生产的</w:t>
      </w:r>
      <w:r w:rsidR="005748C0" w:rsidRPr="00C3146C">
        <w:rPr>
          <w:rFonts w:ascii="Times New Roman" w:hAnsi="Times New Roman" w:cs="Times New Roman" w:hint="eastAsia"/>
        </w:rPr>
        <w:t>过程，确保家庭收入能够保障再生产循环的基本支出，这是硬性标准，即家庭能够在没有负债的情况下解决衣食住行、</w:t>
      </w:r>
      <w:r w:rsidR="005748C0" w:rsidRPr="00952509">
        <w:rPr>
          <w:rFonts w:ascii="Times New Roman" w:hAnsi="Times New Roman" w:cs="Times New Roman" w:hint="eastAsia"/>
        </w:rPr>
        <w:t>婚育</w:t>
      </w:r>
      <w:r w:rsidR="005748C0" w:rsidRPr="00C3146C">
        <w:rPr>
          <w:rFonts w:ascii="Times New Roman" w:hAnsi="Times New Roman" w:cs="Times New Roman" w:hint="eastAsia"/>
        </w:rPr>
        <w:t>、子女教育、医疗和个人再教育的问题</w:t>
      </w:r>
      <w:r w:rsidR="00F87E2D" w:rsidRPr="00C3146C">
        <w:rPr>
          <w:rFonts w:ascii="Times New Roman" w:hAnsi="Times New Roman" w:cs="Times New Roman" w:hint="eastAsia"/>
        </w:rPr>
        <w:t>。根据支出金额</w:t>
      </w:r>
      <w:r w:rsidR="006135AD" w:rsidRPr="00C3146C">
        <w:rPr>
          <w:rFonts w:ascii="Times New Roman" w:hAnsi="Times New Roman" w:cs="Times New Roman" w:hint="eastAsia"/>
        </w:rPr>
        <w:t>大小、在劳动力再生产中的作用，可把家庭消费作如</w:t>
      </w:r>
      <w:r w:rsidR="00952509">
        <w:rPr>
          <w:rFonts w:ascii="Times New Roman" w:hAnsi="Times New Roman" w:cs="Times New Roman" w:hint="eastAsia"/>
        </w:rPr>
        <w:t>表</w:t>
      </w:r>
      <w:r w:rsidR="00952509">
        <w:rPr>
          <w:rFonts w:ascii="Times New Roman" w:hAnsi="Times New Roman" w:cs="Times New Roman" w:hint="eastAsia"/>
        </w:rPr>
        <w:t>6</w:t>
      </w:r>
      <w:r w:rsidR="00952509">
        <w:rPr>
          <w:rFonts w:ascii="Times New Roman" w:hAnsi="Times New Roman" w:cs="Times New Roman" w:hint="eastAsia"/>
        </w:rPr>
        <w:t>的</w:t>
      </w:r>
      <w:r w:rsidR="006135AD" w:rsidRPr="00C3146C">
        <w:rPr>
          <w:rFonts w:ascii="Times New Roman" w:hAnsi="Times New Roman" w:cs="Times New Roman" w:hint="eastAsia"/>
        </w:rPr>
        <w:t>分级</w:t>
      </w:r>
      <w:r w:rsidR="00952509">
        <w:rPr>
          <w:rFonts w:ascii="Times New Roman" w:hAnsi="Times New Roman" w:cs="Times New Roman" w:hint="eastAsia"/>
        </w:rPr>
        <w:t>。</w:t>
      </w:r>
    </w:p>
    <w:p w14:paraId="6BAFB553" w14:textId="77777777" w:rsidR="00DD5A53" w:rsidRPr="00C3146C" w:rsidRDefault="00DD5A53" w:rsidP="00863B10">
      <w:pPr>
        <w:spacing w:line="360" w:lineRule="auto"/>
        <w:ind w:firstLineChars="200" w:firstLine="480"/>
        <w:rPr>
          <w:rFonts w:ascii="Times New Roman" w:hAnsi="Times New Roman" w:cs="Times New Roman"/>
        </w:rPr>
      </w:pPr>
    </w:p>
    <w:p w14:paraId="12128E32" w14:textId="2DA9084D" w:rsidR="006135AD" w:rsidRPr="00C3146C" w:rsidRDefault="00D26E04" w:rsidP="00D26E04">
      <w:pPr>
        <w:spacing w:line="360" w:lineRule="auto"/>
        <w:jc w:val="center"/>
        <w:rPr>
          <w:rFonts w:ascii="Times New Roman" w:hAnsi="Times New Roman" w:cs="Times New Roman"/>
        </w:rPr>
      </w:pPr>
      <w:r w:rsidRPr="00C3146C">
        <w:rPr>
          <w:rFonts w:ascii="Times New Roman" w:hAnsi="Times New Roman" w:cs="Times New Roman" w:hint="eastAsia"/>
        </w:rPr>
        <w:t>表</w:t>
      </w:r>
      <w:r w:rsidR="00BB00AA" w:rsidRPr="00C3146C">
        <w:rPr>
          <w:rFonts w:ascii="Times New Roman" w:hAnsi="Times New Roman" w:cs="Times New Roman" w:hint="eastAsia"/>
        </w:rPr>
        <w:t>6</w:t>
      </w:r>
      <w:r w:rsidRPr="00C3146C">
        <w:rPr>
          <w:rFonts w:ascii="Times New Roman" w:hAnsi="Times New Roman" w:cs="Times New Roman" w:hint="eastAsia"/>
        </w:rPr>
        <w:t xml:space="preserve"> </w:t>
      </w:r>
      <w:r w:rsidRPr="00C3146C">
        <w:rPr>
          <w:rFonts w:ascii="Times New Roman" w:hAnsi="Times New Roman" w:cs="Times New Roman" w:hint="eastAsia"/>
        </w:rPr>
        <w:t>家庭消费支出分级</w:t>
      </w:r>
    </w:p>
    <w:tbl>
      <w:tblPr>
        <w:tblW w:w="8180" w:type="dxa"/>
        <w:tblLook w:val="04A0" w:firstRow="1" w:lastRow="0" w:firstColumn="1" w:lastColumn="0" w:noHBand="0" w:noVBand="1"/>
      </w:tblPr>
      <w:tblGrid>
        <w:gridCol w:w="1134"/>
        <w:gridCol w:w="2596"/>
        <w:gridCol w:w="3150"/>
        <w:gridCol w:w="1300"/>
      </w:tblGrid>
      <w:tr w:rsidR="00D26E04" w:rsidRPr="001E326B" w14:paraId="1CA0A69E" w14:textId="77777777" w:rsidTr="002363F0">
        <w:trPr>
          <w:trHeight w:val="320"/>
        </w:trPr>
        <w:tc>
          <w:tcPr>
            <w:tcW w:w="1134" w:type="dxa"/>
            <w:tcBorders>
              <w:top w:val="single" w:sz="4" w:space="0" w:color="auto"/>
              <w:left w:val="nil"/>
              <w:bottom w:val="double" w:sz="4" w:space="0" w:color="auto"/>
              <w:right w:val="nil"/>
            </w:tcBorders>
            <w:shd w:val="clear" w:color="auto" w:fill="auto"/>
            <w:noWrap/>
            <w:vAlign w:val="center"/>
            <w:hideMark/>
          </w:tcPr>
          <w:p w14:paraId="420686AC"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消费领域</w:t>
            </w:r>
          </w:p>
        </w:tc>
        <w:tc>
          <w:tcPr>
            <w:tcW w:w="2596" w:type="dxa"/>
            <w:tcBorders>
              <w:top w:val="single" w:sz="4" w:space="0" w:color="auto"/>
              <w:left w:val="nil"/>
              <w:bottom w:val="double" w:sz="4" w:space="0" w:color="auto"/>
              <w:right w:val="nil"/>
            </w:tcBorders>
            <w:shd w:val="clear" w:color="auto" w:fill="auto"/>
            <w:noWrap/>
            <w:vAlign w:val="center"/>
            <w:hideMark/>
          </w:tcPr>
          <w:p w14:paraId="0F695E5D"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支出金额</w:t>
            </w:r>
          </w:p>
        </w:tc>
        <w:tc>
          <w:tcPr>
            <w:tcW w:w="3150" w:type="dxa"/>
            <w:tcBorders>
              <w:top w:val="single" w:sz="4" w:space="0" w:color="auto"/>
              <w:left w:val="nil"/>
              <w:bottom w:val="double" w:sz="4" w:space="0" w:color="auto"/>
              <w:right w:val="nil"/>
            </w:tcBorders>
            <w:shd w:val="clear" w:color="auto" w:fill="auto"/>
            <w:noWrap/>
            <w:vAlign w:val="center"/>
            <w:hideMark/>
          </w:tcPr>
          <w:p w14:paraId="5855BC26"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在劳动力再生产中的作用</w:t>
            </w:r>
          </w:p>
        </w:tc>
        <w:tc>
          <w:tcPr>
            <w:tcW w:w="1300" w:type="dxa"/>
            <w:tcBorders>
              <w:top w:val="single" w:sz="4" w:space="0" w:color="auto"/>
              <w:left w:val="nil"/>
              <w:bottom w:val="double" w:sz="4" w:space="0" w:color="auto"/>
              <w:right w:val="nil"/>
            </w:tcBorders>
            <w:shd w:val="clear" w:color="auto" w:fill="auto"/>
            <w:noWrap/>
            <w:vAlign w:val="center"/>
            <w:hideMark/>
          </w:tcPr>
          <w:p w14:paraId="6C1FD7A4"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消费层级</w:t>
            </w:r>
          </w:p>
        </w:tc>
      </w:tr>
      <w:tr w:rsidR="00D26E04" w:rsidRPr="001E326B" w14:paraId="1EDE275C" w14:textId="77777777" w:rsidTr="002363F0">
        <w:trPr>
          <w:trHeight w:val="320"/>
        </w:trPr>
        <w:tc>
          <w:tcPr>
            <w:tcW w:w="1134" w:type="dxa"/>
            <w:tcBorders>
              <w:top w:val="double" w:sz="4" w:space="0" w:color="auto"/>
              <w:left w:val="nil"/>
              <w:bottom w:val="nil"/>
              <w:right w:val="nil"/>
            </w:tcBorders>
            <w:shd w:val="clear" w:color="auto" w:fill="auto"/>
            <w:noWrap/>
            <w:vAlign w:val="center"/>
            <w:hideMark/>
          </w:tcPr>
          <w:p w14:paraId="5A24AE6C"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衣食出行</w:t>
            </w:r>
          </w:p>
        </w:tc>
        <w:tc>
          <w:tcPr>
            <w:tcW w:w="2596" w:type="dxa"/>
            <w:tcBorders>
              <w:top w:val="double" w:sz="4" w:space="0" w:color="auto"/>
              <w:left w:val="nil"/>
              <w:bottom w:val="nil"/>
              <w:right w:val="nil"/>
            </w:tcBorders>
            <w:shd w:val="clear" w:color="auto" w:fill="auto"/>
            <w:noWrap/>
            <w:vAlign w:val="center"/>
            <w:hideMark/>
          </w:tcPr>
          <w:p w14:paraId="4C4459D3"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零散的小额支出</w:t>
            </w:r>
          </w:p>
        </w:tc>
        <w:tc>
          <w:tcPr>
            <w:tcW w:w="3150" w:type="dxa"/>
            <w:tcBorders>
              <w:top w:val="double" w:sz="4" w:space="0" w:color="auto"/>
              <w:left w:val="nil"/>
              <w:bottom w:val="nil"/>
              <w:right w:val="nil"/>
            </w:tcBorders>
            <w:shd w:val="clear" w:color="auto" w:fill="auto"/>
            <w:noWrap/>
            <w:vAlign w:val="center"/>
            <w:hideMark/>
          </w:tcPr>
          <w:p w14:paraId="7536BF67"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个体再生产基本支出</w:t>
            </w:r>
          </w:p>
        </w:tc>
        <w:tc>
          <w:tcPr>
            <w:tcW w:w="1300" w:type="dxa"/>
            <w:tcBorders>
              <w:top w:val="double" w:sz="4" w:space="0" w:color="auto"/>
              <w:left w:val="nil"/>
              <w:bottom w:val="nil"/>
              <w:right w:val="nil"/>
            </w:tcBorders>
            <w:shd w:val="clear" w:color="auto" w:fill="auto"/>
            <w:noWrap/>
            <w:vAlign w:val="center"/>
            <w:hideMark/>
          </w:tcPr>
          <w:p w14:paraId="5059C4C2" w14:textId="77777777" w:rsidR="00D26E04" w:rsidRPr="001E326B" w:rsidRDefault="00D26E04" w:rsidP="00F61BB4">
            <w:pPr>
              <w:jc w:val="right"/>
              <w:rPr>
                <w:rFonts w:ascii="Times New Roman" w:hAnsi="Times New Roman" w:cs="Times New Roman"/>
                <w:color w:val="000000"/>
                <w:sz w:val="22"/>
                <w:szCs w:val="22"/>
              </w:rPr>
            </w:pPr>
            <w:r w:rsidRPr="001E326B">
              <w:rPr>
                <w:rFonts w:ascii="Times New Roman" w:hAnsi="Times New Roman" w:cs="Times New Roman"/>
                <w:color w:val="000000"/>
                <w:sz w:val="22"/>
                <w:szCs w:val="22"/>
              </w:rPr>
              <w:t>I</w:t>
            </w:r>
            <w:r w:rsidRPr="001E326B">
              <w:rPr>
                <w:rFonts w:ascii="Times New Roman" w:hAnsi="Times New Roman" w:cs="Times New Roman"/>
                <w:color w:val="000000"/>
                <w:sz w:val="22"/>
                <w:szCs w:val="22"/>
              </w:rPr>
              <w:t>类消费</w:t>
            </w:r>
          </w:p>
        </w:tc>
      </w:tr>
      <w:tr w:rsidR="00D26E04" w:rsidRPr="001E326B" w14:paraId="2E55ED33" w14:textId="77777777" w:rsidTr="00706A01">
        <w:trPr>
          <w:trHeight w:val="320"/>
        </w:trPr>
        <w:tc>
          <w:tcPr>
            <w:tcW w:w="1134" w:type="dxa"/>
            <w:tcBorders>
              <w:top w:val="nil"/>
              <w:left w:val="nil"/>
              <w:bottom w:val="dashSmallGap" w:sz="4" w:space="0" w:color="auto"/>
              <w:right w:val="nil"/>
            </w:tcBorders>
            <w:shd w:val="clear" w:color="auto" w:fill="auto"/>
            <w:noWrap/>
            <w:vAlign w:val="center"/>
            <w:hideMark/>
          </w:tcPr>
          <w:p w14:paraId="4B98C8F1"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居住支出</w:t>
            </w:r>
          </w:p>
        </w:tc>
        <w:tc>
          <w:tcPr>
            <w:tcW w:w="2596" w:type="dxa"/>
            <w:tcBorders>
              <w:top w:val="nil"/>
              <w:left w:val="nil"/>
              <w:bottom w:val="dashSmallGap" w:sz="4" w:space="0" w:color="auto"/>
              <w:right w:val="nil"/>
            </w:tcBorders>
            <w:shd w:val="clear" w:color="auto" w:fill="auto"/>
            <w:noWrap/>
            <w:vAlign w:val="center"/>
            <w:hideMark/>
          </w:tcPr>
          <w:p w14:paraId="3F619B32"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固定的大额支出</w:t>
            </w:r>
          </w:p>
        </w:tc>
        <w:tc>
          <w:tcPr>
            <w:tcW w:w="3150" w:type="dxa"/>
            <w:tcBorders>
              <w:top w:val="nil"/>
              <w:left w:val="nil"/>
              <w:bottom w:val="dashSmallGap" w:sz="4" w:space="0" w:color="auto"/>
              <w:right w:val="nil"/>
            </w:tcBorders>
            <w:shd w:val="clear" w:color="auto" w:fill="auto"/>
            <w:noWrap/>
            <w:vAlign w:val="center"/>
            <w:hideMark/>
          </w:tcPr>
          <w:p w14:paraId="1E8B983F"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个体再生产基本支出</w:t>
            </w:r>
          </w:p>
        </w:tc>
        <w:tc>
          <w:tcPr>
            <w:tcW w:w="1300" w:type="dxa"/>
            <w:tcBorders>
              <w:top w:val="nil"/>
              <w:left w:val="nil"/>
              <w:bottom w:val="dashSmallGap" w:sz="4" w:space="0" w:color="auto"/>
              <w:right w:val="nil"/>
            </w:tcBorders>
            <w:shd w:val="clear" w:color="auto" w:fill="auto"/>
            <w:noWrap/>
            <w:vAlign w:val="center"/>
            <w:hideMark/>
          </w:tcPr>
          <w:p w14:paraId="6C5C5C83" w14:textId="3B733465" w:rsidR="00D26E04" w:rsidRPr="001E326B" w:rsidRDefault="00231E43" w:rsidP="00F61BB4">
            <w:pPr>
              <w:jc w:val="right"/>
              <w:rPr>
                <w:rFonts w:ascii="Times New Roman" w:hAnsi="Times New Roman" w:cs="Times New Roman"/>
                <w:color w:val="000000"/>
                <w:sz w:val="22"/>
                <w:szCs w:val="22"/>
              </w:rPr>
            </w:pPr>
            <w:r w:rsidRPr="00231E43">
              <w:rPr>
                <w:rFonts w:ascii="Times New Roman" w:hAnsi="Times New Roman" w:cs="Times New Roman" w:hint="eastAsia"/>
                <w:sz w:val="22"/>
                <w:szCs w:val="22"/>
              </w:rPr>
              <w:t>Ⅱ</w:t>
            </w:r>
            <w:r w:rsidR="00D26E04" w:rsidRPr="001E326B">
              <w:rPr>
                <w:rFonts w:ascii="Times New Roman" w:hAnsi="Times New Roman" w:cs="Times New Roman"/>
                <w:color w:val="000000"/>
                <w:sz w:val="22"/>
                <w:szCs w:val="22"/>
              </w:rPr>
              <w:t>类消费</w:t>
            </w:r>
          </w:p>
        </w:tc>
      </w:tr>
      <w:tr w:rsidR="00706A01" w:rsidRPr="001E326B" w14:paraId="5A5E1DA3" w14:textId="77777777" w:rsidTr="00706A01">
        <w:trPr>
          <w:trHeight w:val="320"/>
        </w:trPr>
        <w:tc>
          <w:tcPr>
            <w:tcW w:w="1134" w:type="dxa"/>
            <w:tcBorders>
              <w:top w:val="dashSmallGap" w:sz="4" w:space="0" w:color="auto"/>
              <w:left w:val="nil"/>
              <w:right w:val="nil"/>
            </w:tcBorders>
            <w:shd w:val="clear" w:color="auto" w:fill="auto"/>
            <w:noWrap/>
            <w:vAlign w:val="center"/>
            <w:hideMark/>
          </w:tcPr>
          <w:p w14:paraId="31798EAD" w14:textId="77777777" w:rsidR="00706A01" w:rsidRPr="001E326B" w:rsidRDefault="00706A01">
            <w:pPr>
              <w:rPr>
                <w:rFonts w:ascii="Times New Roman" w:hAnsi="Times New Roman" w:cs="Times New Roman"/>
                <w:color w:val="000000"/>
                <w:sz w:val="22"/>
                <w:szCs w:val="22"/>
              </w:rPr>
            </w:pPr>
            <w:r w:rsidRPr="001E326B">
              <w:rPr>
                <w:rFonts w:ascii="Times New Roman" w:hAnsi="Times New Roman" w:cs="Times New Roman"/>
                <w:color w:val="000000"/>
                <w:sz w:val="22"/>
                <w:szCs w:val="22"/>
              </w:rPr>
              <w:t>医药支出</w:t>
            </w:r>
          </w:p>
        </w:tc>
        <w:tc>
          <w:tcPr>
            <w:tcW w:w="2596" w:type="dxa"/>
            <w:tcBorders>
              <w:top w:val="dashSmallGap" w:sz="4" w:space="0" w:color="auto"/>
              <w:left w:val="nil"/>
              <w:right w:val="nil"/>
            </w:tcBorders>
            <w:shd w:val="clear" w:color="auto" w:fill="auto"/>
            <w:noWrap/>
            <w:vAlign w:val="center"/>
            <w:hideMark/>
          </w:tcPr>
          <w:p w14:paraId="1F6351D3" w14:textId="77777777" w:rsidR="00706A01" w:rsidRPr="001E326B" w:rsidRDefault="00706A01">
            <w:pPr>
              <w:rPr>
                <w:rFonts w:ascii="Times New Roman" w:hAnsi="Times New Roman" w:cs="Times New Roman"/>
                <w:color w:val="000000"/>
                <w:sz w:val="22"/>
                <w:szCs w:val="22"/>
              </w:rPr>
            </w:pPr>
            <w:r w:rsidRPr="001E326B">
              <w:rPr>
                <w:rFonts w:ascii="Times New Roman" w:hAnsi="Times New Roman" w:cs="Times New Roman"/>
                <w:color w:val="000000"/>
                <w:sz w:val="22"/>
                <w:szCs w:val="22"/>
              </w:rPr>
              <w:t>金额不确定的随机支出</w:t>
            </w:r>
          </w:p>
        </w:tc>
        <w:tc>
          <w:tcPr>
            <w:tcW w:w="3150" w:type="dxa"/>
            <w:tcBorders>
              <w:top w:val="dashSmallGap" w:sz="4" w:space="0" w:color="auto"/>
              <w:left w:val="nil"/>
              <w:right w:val="nil"/>
            </w:tcBorders>
            <w:shd w:val="clear" w:color="auto" w:fill="auto"/>
            <w:noWrap/>
            <w:vAlign w:val="center"/>
            <w:hideMark/>
          </w:tcPr>
          <w:p w14:paraId="4046D05D" w14:textId="77777777" w:rsidR="00706A01" w:rsidRPr="001E326B" w:rsidRDefault="00706A01">
            <w:pPr>
              <w:rPr>
                <w:rFonts w:ascii="Times New Roman" w:hAnsi="Times New Roman" w:cs="Times New Roman"/>
                <w:color w:val="000000"/>
                <w:sz w:val="22"/>
                <w:szCs w:val="22"/>
              </w:rPr>
            </w:pPr>
            <w:r w:rsidRPr="001E326B">
              <w:rPr>
                <w:rFonts w:ascii="Times New Roman" w:hAnsi="Times New Roman" w:cs="Times New Roman"/>
                <w:color w:val="000000"/>
                <w:sz w:val="22"/>
                <w:szCs w:val="22"/>
              </w:rPr>
              <w:t>个体再生产的修补性支出为主</w:t>
            </w:r>
          </w:p>
        </w:tc>
        <w:tc>
          <w:tcPr>
            <w:tcW w:w="1300" w:type="dxa"/>
            <w:vMerge w:val="restart"/>
            <w:tcBorders>
              <w:top w:val="dashSmallGap" w:sz="4" w:space="0" w:color="auto"/>
              <w:left w:val="nil"/>
              <w:right w:val="nil"/>
            </w:tcBorders>
            <w:shd w:val="clear" w:color="auto" w:fill="auto"/>
            <w:noWrap/>
            <w:vAlign w:val="center"/>
            <w:hideMark/>
          </w:tcPr>
          <w:p w14:paraId="77B448E9" w14:textId="4DADEB65" w:rsidR="00706A01" w:rsidRPr="001E326B" w:rsidRDefault="00231E43" w:rsidP="00F61BB4">
            <w:pPr>
              <w:jc w:val="right"/>
              <w:rPr>
                <w:rFonts w:ascii="Times New Roman" w:hAnsi="Times New Roman" w:cs="Times New Roman"/>
                <w:color w:val="000000"/>
                <w:sz w:val="22"/>
                <w:szCs w:val="22"/>
              </w:rPr>
            </w:pPr>
            <w:r w:rsidRPr="00231E43">
              <w:rPr>
                <w:rFonts w:ascii="Times New Roman" w:hAnsi="Times New Roman" w:cs="Times New Roman" w:hint="eastAsia"/>
                <w:sz w:val="22"/>
                <w:szCs w:val="22"/>
              </w:rPr>
              <w:t>Ⅲ</w:t>
            </w:r>
            <w:r w:rsidR="00706A01" w:rsidRPr="001E326B">
              <w:rPr>
                <w:rFonts w:ascii="Times New Roman" w:hAnsi="Times New Roman" w:cs="Times New Roman"/>
                <w:color w:val="000000"/>
                <w:sz w:val="22"/>
                <w:szCs w:val="22"/>
              </w:rPr>
              <w:t>类消费</w:t>
            </w:r>
          </w:p>
        </w:tc>
      </w:tr>
      <w:tr w:rsidR="00706A01" w:rsidRPr="001E326B" w14:paraId="1798EB6E" w14:textId="77777777" w:rsidTr="00E02A5D">
        <w:trPr>
          <w:trHeight w:val="320"/>
        </w:trPr>
        <w:tc>
          <w:tcPr>
            <w:tcW w:w="1134" w:type="dxa"/>
            <w:tcBorders>
              <w:top w:val="nil"/>
              <w:left w:val="nil"/>
              <w:bottom w:val="dashSmallGap" w:sz="4" w:space="0" w:color="auto"/>
              <w:right w:val="nil"/>
            </w:tcBorders>
            <w:shd w:val="clear" w:color="auto" w:fill="auto"/>
            <w:noWrap/>
            <w:vAlign w:val="center"/>
            <w:hideMark/>
          </w:tcPr>
          <w:p w14:paraId="362685D2" w14:textId="77777777" w:rsidR="00706A01" w:rsidRPr="001E326B" w:rsidRDefault="00706A01" w:rsidP="00E02A5D">
            <w:pPr>
              <w:rPr>
                <w:rFonts w:ascii="Times New Roman" w:hAnsi="Times New Roman" w:cs="Times New Roman"/>
                <w:color w:val="000000"/>
                <w:sz w:val="22"/>
                <w:szCs w:val="22"/>
              </w:rPr>
            </w:pPr>
            <w:r w:rsidRPr="001E326B">
              <w:rPr>
                <w:rFonts w:ascii="Times New Roman" w:hAnsi="Times New Roman" w:cs="Times New Roman"/>
                <w:color w:val="000000"/>
                <w:sz w:val="22"/>
                <w:szCs w:val="22"/>
              </w:rPr>
              <w:t>教育支出</w:t>
            </w:r>
          </w:p>
        </w:tc>
        <w:tc>
          <w:tcPr>
            <w:tcW w:w="2596" w:type="dxa"/>
            <w:tcBorders>
              <w:top w:val="nil"/>
              <w:left w:val="nil"/>
              <w:bottom w:val="dashSmallGap" w:sz="4" w:space="0" w:color="auto"/>
              <w:right w:val="nil"/>
            </w:tcBorders>
            <w:shd w:val="clear" w:color="auto" w:fill="auto"/>
            <w:noWrap/>
            <w:vAlign w:val="center"/>
            <w:hideMark/>
          </w:tcPr>
          <w:p w14:paraId="7EE8A632" w14:textId="77777777" w:rsidR="00706A01" w:rsidRPr="001E326B" w:rsidRDefault="00706A01" w:rsidP="00E02A5D">
            <w:pPr>
              <w:rPr>
                <w:rFonts w:ascii="Times New Roman" w:hAnsi="Times New Roman" w:cs="Times New Roman"/>
                <w:color w:val="000000"/>
                <w:sz w:val="22"/>
                <w:szCs w:val="22"/>
              </w:rPr>
            </w:pPr>
            <w:r w:rsidRPr="001E326B">
              <w:rPr>
                <w:rFonts w:ascii="Times New Roman" w:hAnsi="Times New Roman" w:cs="Times New Roman"/>
                <w:color w:val="000000"/>
                <w:sz w:val="22"/>
                <w:szCs w:val="22"/>
              </w:rPr>
              <w:t>金额不确定的衍生支出</w:t>
            </w:r>
          </w:p>
        </w:tc>
        <w:tc>
          <w:tcPr>
            <w:tcW w:w="3150" w:type="dxa"/>
            <w:tcBorders>
              <w:top w:val="nil"/>
              <w:left w:val="nil"/>
              <w:bottom w:val="dashSmallGap" w:sz="4" w:space="0" w:color="auto"/>
              <w:right w:val="nil"/>
            </w:tcBorders>
            <w:shd w:val="clear" w:color="auto" w:fill="auto"/>
            <w:noWrap/>
            <w:vAlign w:val="center"/>
            <w:hideMark/>
          </w:tcPr>
          <w:p w14:paraId="3E3CD55C" w14:textId="77777777" w:rsidR="00706A01" w:rsidRPr="001E326B" w:rsidRDefault="00706A01" w:rsidP="00E02A5D">
            <w:pPr>
              <w:rPr>
                <w:rFonts w:ascii="Times New Roman" w:hAnsi="Times New Roman" w:cs="Times New Roman"/>
                <w:color w:val="000000"/>
                <w:sz w:val="22"/>
                <w:szCs w:val="22"/>
              </w:rPr>
            </w:pPr>
            <w:r w:rsidRPr="001E326B">
              <w:rPr>
                <w:rFonts w:ascii="Times New Roman" w:hAnsi="Times New Roman" w:cs="Times New Roman"/>
                <w:color w:val="000000"/>
                <w:sz w:val="22"/>
                <w:szCs w:val="22"/>
              </w:rPr>
              <w:t>劳动力再生产</w:t>
            </w:r>
          </w:p>
        </w:tc>
        <w:tc>
          <w:tcPr>
            <w:tcW w:w="1300" w:type="dxa"/>
            <w:vMerge/>
            <w:tcBorders>
              <w:left w:val="nil"/>
              <w:bottom w:val="dashSmallGap" w:sz="4" w:space="0" w:color="auto"/>
              <w:right w:val="nil"/>
            </w:tcBorders>
            <w:vAlign w:val="center"/>
            <w:hideMark/>
          </w:tcPr>
          <w:p w14:paraId="3ED1F460" w14:textId="77777777" w:rsidR="00706A01" w:rsidRPr="001E326B" w:rsidRDefault="00706A01" w:rsidP="00F61BB4">
            <w:pPr>
              <w:jc w:val="right"/>
              <w:rPr>
                <w:rFonts w:ascii="Times New Roman" w:hAnsi="Times New Roman" w:cs="Times New Roman"/>
                <w:color w:val="000000"/>
                <w:sz w:val="22"/>
                <w:szCs w:val="22"/>
              </w:rPr>
            </w:pPr>
          </w:p>
        </w:tc>
      </w:tr>
      <w:tr w:rsidR="00D26E04" w:rsidRPr="001E326B" w14:paraId="44EF3DCC" w14:textId="77777777" w:rsidTr="002363F0">
        <w:trPr>
          <w:trHeight w:val="320"/>
        </w:trPr>
        <w:tc>
          <w:tcPr>
            <w:tcW w:w="1134" w:type="dxa"/>
            <w:tcBorders>
              <w:top w:val="dashSmallGap" w:sz="4" w:space="0" w:color="auto"/>
              <w:left w:val="nil"/>
              <w:bottom w:val="nil"/>
              <w:right w:val="nil"/>
            </w:tcBorders>
            <w:shd w:val="clear" w:color="auto" w:fill="auto"/>
            <w:noWrap/>
            <w:vAlign w:val="center"/>
            <w:hideMark/>
          </w:tcPr>
          <w:p w14:paraId="67A3CDF4"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婚育支出</w:t>
            </w:r>
          </w:p>
        </w:tc>
        <w:tc>
          <w:tcPr>
            <w:tcW w:w="2596" w:type="dxa"/>
            <w:tcBorders>
              <w:top w:val="dashSmallGap" w:sz="4" w:space="0" w:color="auto"/>
              <w:left w:val="nil"/>
              <w:bottom w:val="nil"/>
              <w:right w:val="nil"/>
            </w:tcBorders>
            <w:shd w:val="clear" w:color="auto" w:fill="auto"/>
            <w:noWrap/>
            <w:vAlign w:val="center"/>
            <w:hideMark/>
          </w:tcPr>
          <w:p w14:paraId="1220FE62"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金额不确定的大额支出</w:t>
            </w:r>
          </w:p>
        </w:tc>
        <w:tc>
          <w:tcPr>
            <w:tcW w:w="3150" w:type="dxa"/>
            <w:tcBorders>
              <w:top w:val="dashSmallGap" w:sz="4" w:space="0" w:color="auto"/>
              <w:left w:val="nil"/>
              <w:bottom w:val="nil"/>
              <w:right w:val="nil"/>
            </w:tcBorders>
            <w:shd w:val="clear" w:color="auto" w:fill="auto"/>
            <w:noWrap/>
            <w:vAlign w:val="center"/>
            <w:hideMark/>
          </w:tcPr>
          <w:p w14:paraId="16CBA8EE"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劳动力再生产</w:t>
            </w:r>
          </w:p>
        </w:tc>
        <w:tc>
          <w:tcPr>
            <w:tcW w:w="1300" w:type="dxa"/>
            <w:tcBorders>
              <w:top w:val="dashSmallGap" w:sz="4" w:space="0" w:color="auto"/>
              <w:left w:val="nil"/>
              <w:bottom w:val="nil"/>
              <w:right w:val="nil"/>
            </w:tcBorders>
            <w:shd w:val="clear" w:color="auto" w:fill="auto"/>
            <w:noWrap/>
            <w:vAlign w:val="center"/>
            <w:hideMark/>
          </w:tcPr>
          <w:p w14:paraId="1E1C7633" w14:textId="242C6054" w:rsidR="00D26E04" w:rsidRPr="001E326B" w:rsidRDefault="00231E43" w:rsidP="00F61BB4">
            <w:pPr>
              <w:jc w:val="right"/>
              <w:rPr>
                <w:rFonts w:ascii="Times New Roman" w:hAnsi="Times New Roman" w:cs="Times New Roman"/>
                <w:color w:val="000000"/>
                <w:sz w:val="22"/>
                <w:szCs w:val="22"/>
              </w:rPr>
            </w:pPr>
            <w:r w:rsidRPr="00231E43">
              <w:rPr>
                <w:rFonts w:ascii="Times New Roman" w:hAnsi="Times New Roman" w:cs="Times New Roman" w:hint="eastAsia"/>
                <w:sz w:val="22"/>
                <w:szCs w:val="22"/>
              </w:rPr>
              <w:t>Ⅳ</w:t>
            </w:r>
            <w:r w:rsidR="00D26E04" w:rsidRPr="001E326B">
              <w:rPr>
                <w:rFonts w:ascii="Times New Roman" w:hAnsi="Times New Roman" w:cs="Times New Roman"/>
                <w:color w:val="000000"/>
                <w:sz w:val="22"/>
                <w:szCs w:val="22"/>
              </w:rPr>
              <w:t>类消费</w:t>
            </w:r>
          </w:p>
        </w:tc>
      </w:tr>
      <w:tr w:rsidR="00D26E04" w:rsidRPr="001E326B" w14:paraId="2FDDCFDE" w14:textId="77777777" w:rsidTr="002363F0">
        <w:trPr>
          <w:trHeight w:val="320"/>
        </w:trPr>
        <w:tc>
          <w:tcPr>
            <w:tcW w:w="1134" w:type="dxa"/>
            <w:tcBorders>
              <w:top w:val="dashSmallGap" w:sz="4" w:space="0" w:color="auto"/>
              <w:left w:val="nil"/>
              <w:right w:val="nil"/>
            </w:tcBorders>
            <w:shd w:val="clear" w:color="auto" w:fill="auto"/>
            <w:noWrap/>
            <w:vAlign w:val="center"/>
            <w:hideMark/>
          </w:tcPr>
          <w:p w14:paraId="1E060E48"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娱乐支出</w:t>
            </w:r>
          </w:p>
        </w:tc>
        <w:tc>
          <w:tcPr>
            <w:tcW w:w="2596" w:type="dxa"/>
            <w:tcBorders>
              <w:top w:val="dashSmallGap" w:sz="4" w:space="0" w:color="auto"/>
              <w:left w:val="nil"/>
              <w:right w:val="nil"/>
            </w:tcBorders>
            <w:shd w:val="clear" w:color="auto" w:fill="auto"/>
            <w:noWrap/>
            <w:vAlign w:val="center"/>
            <w:hideMark/>
          </w:tcPr>
          <w:p w14:paraId="695E9461"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金额随机的不确定支出</w:t>
            </w:r>
          </w:p>
        </w:tc>
        <w:tc>
          <w:tcPr>
            <w:tcW w:w="3150" w:type="dxa"/>
            <w:tcBorders>
              <w:top w:val="dashSmallGap" w:sz="4" w:space="0" w:color="auto"/>
              <w:left w:val="nil"/>
              <w:right w:val="nil"/>
            </w:tcBorders>
            <w:shd w:val="clear" w:color="auto" w:fill="auto"/>
            <w:noWrap/>
            <w:vAlign w:val="center"/>
            <w:hideMark/>
          </w:tcPr>
          <w:p w14:paraId="6C6F3E3A"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非再生产支出</w:t>
            </w:r>
          </w:p>
        </w:tc>
        <w:tc>
          <w:tcPr>
            <w:tcW w:w="1300" w:type="dxa"/>
            <w:vMerge w:val="restart"/>
            <w:tcBorders>
              <w:top w:val="dashSmallGap" w:sz="4" w:space="0" w:color="auto"/>
              <w:left w:val="nil"/>
              <w:right w:val="nil"/>
            </w:tcBorders>
            <w:shd w:val="clear" w:color="auto" w:fill="auto"/>
            <w:noWrap/>
            <w:vAlign w:val="center"/>
            <w:hideMark/>
          </w:tcPr>
          <w:p w14:paraId="02B333FB" w14:textId="77777777" w:rsidR="00D26E04" w:rsidRPr="001E326B" w:rsidRDefault="00D26E04" w:rsidP="00F61BB4">
            <w:pPr>
              <w:jc w:val="right"/>
              <w:rPr>
                <w:rFonts w:ascii="Times New Roman" w:hAnsi="Times New Roman" w:cs="Times New Roman"/>
                <w:color w:val="000000"/>
                <w:sz w:val="22"/>
                <w:szCs w:val="22"/>
              </w:rPr>
            </w:pPr>
            <w:r w:rsidRPr="001E326B">
              <w:rPr>
                <w:rFonts w:ascii="Times New Roman" w:hAnsi="Times New Roman" w:cs="Times New Roman"/>
                <w:color w:val="000000"/>
                <w:sz w:val="22"/>
                <w:szCs w:val="22"/>
              </w:rPr>
              <w:t>V</w:t>
            </w:r>
            <w:r w:rsidRPr="001E326B">
              <w:rPr>
                <w:rFonts w:ascii="Times New Roman" w:hAnsi="Times New Roman" w:cs="Times New Roman"/>
                <w:color w:val="000000"/>
                <w:sz w:val="22"/>
                <w:szCs w:val="22"/>
              </w:rPr>
              <w:t>类消费</w:t>
            </w:r>
          </w:p>
        </w:tc>
      </w:tr>
      <w:tr w:rsidR="00D26E04" w:rsidRPr="001E326B" w14:paraId="20F3B871" w14:textId="77777777" w:rsidTr="002363F0">
        <w:trPr>
          <w:trHeight w:val="320"/>
        </w:trPr>
        <w:tc>
          <w:tcPr>
            <w:tcW w:w="1134" w:type="dxa"/>
            <w:tcBorders>
              <w:top w:val="nil"/>
              <w:left w:val="nil"/>
              <w:bottom w:val="single" w:sz="4" w:space="0" w:color="auto"/>
              <w:right w:val="nil"/>
            </w:tcBorders>
            <w:shd w:val="clear" w:color="auto" w:fill="auto"/>
            <w:noWrap/>
            <w:vAlign w:val="center"/>
            <w:hideMark/>
          </w:tcPr>
          <w:p w14:paraId="6B7C4D84"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投资支出</w:t>
            </w:r>
          </w:p>
        </w:tc>
        <w:tc>
          <w:tcPr>
            <w:tcW w:w="2596" w:type="dxa"/>
            <w:tcBorders>
              <w:top w:val="nil"/>
              <w:left w:val="nil"/>
              <w:bottom w:val="single" w:sz="4" w:space="0" w:color="auto"/>
              <w:right w:val="nil"/>
            </w:tcBorders>
            <w:shd w:val="clear" w:color="auto" w:fill="auto"/>
            <w:noWrap/>
            <w:vAlign w:val="center"/>
            <w:hideMark/>
          </w:tcPr>
          <w:p w14:paraId="1AB6B7F1"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金额随机的不确定支出</w:t>
            </w:r>
          </w:p>
        </w:tc>
        <w:tc>
          <w:tcPr>
            <w:tcW w:w="3150" w:type="dxa"/>
            <w:tcBorders>
              <w:top w:val="nil"/>
              <w:left w:val="nil"/>
              <w:bottom w:val="single" w:sz="4" w:space="0" w:color="auto"/>
              <w:right w:val="nil"/>
            </w:tcBorders>
            <w:shd w:val="clear" w:color="auto" w:fill="auto"/>
            <w:noWrap/>
            <w:vAlign w:val="center"/>
            <w:hideMark/>
          </w:tcPr>
          <w:p w14:paraId="6EBB5D1C" w14:textId="77777777" w:rsidR="00D26E04" w:rsidRPr="001E326B" w:rsidRDefault="00D26E04">
            <w:pPr>
              <w:rPr>
                <w:rFonts w:ascii="Times New Roman" w:hAnsi="Times New Roman" w:cs="Times New Roman"/>
                <w:color w:val="000000"/>
                <w:sz w:val="22"/>
                <w:szCs w:val="22"/>
              </w:rPr>
            </w:pPr>
            <w:r w:rsidRPr="001E326B">
              <w:rPr>
                <w:rFonts w:ascii="Times New Roman" w:hAnsi="Times New Roman" w:cs="Times New Roman"/>
                <w:color w:val="000000"/>
                <w:sz w:val="22"/>
                <w:szCs w:val="22"/>
              </w:rPr>
              <w:t>非再生产支出</w:t>
            </w:r>
          </w:p>
        </w:tc>
        <w:tc>
          <w:tcPr>
            <w:tcW w:w="1300" w:type="dxa"/>
            <w:vMerge/>
            <w:tcBorders>
              <w:top w:val="nil"/>
              <w:left w:val="nil"/>
              <w:bottom w:val="single" w:sz="4" w:space="0" w:color="auto"/>
              <w:right w:val="nil"/>
            </w:tcBorders>
            <w:vAlign w:val="center"/>
            <w:hideMark/>
          </w:tcPr>
          <w:p w14:paraId="24EFDCBB" w14:textId="77777777" w:rsidR="00D26E04" w:rsidRPr="001E326B" w:rsidRDefault="00D26E04">
            <w:pPr>
              <w:rPr>
                <w:rFonts w:ascii="Times New Roman" w:hAnsi="Times New Roman" w:cs="Times New Roman"/>
                <w:color w:val="000000"/>
                <w:sz w:val="22"/>
                <w:szCs w:val="22"/>
              </w:rPr>
            </w:pPr>
          </w:p>
        </w:tc>
      </w:tr>
    </w:tbl>
    <w:p w14:paraId="05BA396B" w14:textId="77777777" w:rsidR="00DD5A53" w:rsidRPr="00C3146C" w:rsidRDefault="00DD5A53" w:rsidP="00706A01">
      <w:pPr>
        <w:spacing w:line="360" w:lineRule="auto"/>
        <w:ind w:firstLineChars="200" w:firstLine="480"/>
        <w:rPr>
          <w:rFonts w:ascii="Times New Roman" w:hAnsi="Times New Roman" w:cs="Times New Roman"/>
        </w:rPr>
      </w:pPr>
    </w:p>
    <w:p w14:paraId="2ACBD01D" w14:textId="56B9523B" w:rsidR="00A16255" w:rsidRPr="00C3146C" w:rsidRDefault="00706A01" w:rsidP="00706A01">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受支出金额和属性影响，</w:t>
      </w:r>
      <w:r w:rsidRPr="00C3146C">
        <w:rPr>
          <w:rFonts w:ascii="Times New Roman" w:hAnsi="Times New Roman" w:cs="Times New Roman" w:hint="eastAsia"/>
        </w:rPr>
        <w:t>I</w:t>
      </w:r>
      <w:r w:rsidRPr="00C3146C">
        <w:rPr>
          <w:rFonts w:ascii="Times New Roman" w:hAnsi="Times New Roman" w:cs="Times New Roman" w:hint="eastAsia"/>
        </w:rPr>
        <w:t>类、</w:t>
      </w:r>
      <w:r w:rsidRPr="00C3146C">
        <w:rPr>
          <w:rFonts w:ascii="Times New Roman" w:hAnsi="Times New Roman" w:cs="Times New Roman" w:hint="eastAsia"/>
        </w:rPr>
        <w:t>V</w:t>
      </w:r>
      <w:r w:rsidRPr="00C3146C">
        <w:rPr>
          <w:rFonts w:ascii="Times New Roman" w:hAnsi="Times New Roman" w:cs="Times New Roman" w:hint="eastAsia"/>
        </w:rPr>
        <w:t>类消费领域可执行完全的市场化原则；</w:t>
      </w:r>
      <w:r w:rsidR="00231E43" w:rsidRPr="00231E43">
        <w:rPr>
          <w:rFonts w:ascii="Times New Roman" w:hAnsi="Times New Roman" w:cs="Times New Roman" w:hint="eastAsia"/>
        </w:rPr>
        <w:t>Ⅱ</w:t>
      </w:r>
      <w:r w:rsidRPr="00C3146C">
        <w:rPr>
          <w:rFonts w:ascii="Times New Roman" w:hAnsi="Times New Roman" w:cs="Times New Roman" w:hint="eastAsia"/>
        </w:rPr>
        <w:t>类消费领域的政策取决于社会发展阶段，政府要率先确定不同发展阶段拟实现的住房自有率目标，以及居住性、改善性和投资性需求的总体结构，继而制定相应的住房市场政策细则；</w:t>
      </w:r>
      <w:r w:rsidR="00231E43" w:rsidRPr="00231E43">
        <w:rPr>
          <w:rFonts w:ascii="Times New Roman" w:hAnsi="Times New Roman" w:cs="Times New Roman" w:hint="eastAsia"/>
        </w:rPr>
        <w:t>Ⅲ</w:t>
      </w:r>
      <w:r w:rsidRPr="00C3146C">
        <w:rPr>
          <w:rFonts w:ascii="Times New Roman" w:hAnsi="Times New Roman" w:cs="Times New Roman" w:hint="eastAsia"/>
        </w:rPr>
        <w:t>类消费属于群体性开支，政府应预先编制指导性计划，设定达到预定目标的支出范围</w:t>
      </w:r>
      <w:r w:rsidR="00AA06A5" w:rsidRPr="00C3146C">
        <w:rPr>
          <w:rFonts w:ascii="Times New Roman" w:hAnsi="Times New Roman" w:cs="Times New Roman" w:hint="eastAsia"/>
        </w:rPr>
        <w:t>及</w:t>
      </w:r>
      <w:r w:rsidRPr="00C3146C">
        <w:rPr>
          <w:rFonts w:ascii="Times New Roman" w:hAnsi="Times New Roman" w:cs="Times New Roman" w:hint="eastAsia"/>
        </w:rPr>
        <w:t>占</w:t>
      </w:r>
      <w:r w:rsidRPr="00C3146C">
        <w:rPr>
          <w:rFonts w:ascii="Times New Roman" w:hAnsi="Times New Roman" w:cs="Times New Roman" w:hint="eastAsia"/>
        </w:rPr>
        <w:t>GDP</w:t>
      </w:r>
      <w:r w:rsidRPr="00C3146C">
        <w:rPr>
          <w:rFonts w:ascii="Times New Roman" w:hAnsi="Times New Roman" w:cs="Times New Roman" w:hint="eastAsia"/>
        </w:rPr>
        <w:t>的总体比例等，</w:t>
      </w:r>
      <w:r w:rsidR="00AA06A5" w:rsidRPr="00C3146C">
        <w:rPr>
          <w:rFonts w:ascii="Times New Roman" w:hAnsi="Times New Roman" w:cs="Times New Roman" w:hint="eastAsia"/>
        </w:rPr>
        <w:t>如医疗支出参照医学专家建议编制人头费、设备等资本性开支、运营费用支出规模，做到收支相抵、微有盈余，核心在确定医护与患者的比例关系；</w:t>
      </w:r>
      <w:r w:rsidR="00231E43" w:rsidRPr="00231E43">
        <w:rPr>
          <w:rFonts w:ascii="Times New Roman" w:hAnsi="Times New Roman" w:cs="Times New Roman" w:hint="eastAsia"/>
        </w:rPr>
        <w:t>Ⅳ</w:t>
      </w:r>
      <w:r w:rsidR="00E25B01" w:rsidRPr="00C3146C">
        <w:rPr>
          <w:rFonts w:ascii="Times New Roman" w:hAnsi="Times New Roman" w:cs="Times New Roman" w:hint="eastAsia"/>
        </w:rPr>
        <w:t>类消费属于劳动力群体再生产的开支，政府应根据人口发展规划制定相应政策。</w:t>
      </w:r>
    </w:p>
    <w:p w14:paraId="5F2A7819" w14:textId="2A1C7C4B" w:rsidR="00021021" w:rsidRPr="00C3146C" w:rsidRDefault="00A16255"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lastRenderedPageBreak/>
        <w:t>解决了消费分级问题，我们需要什么样的消费就一清二楚了。</w:t>
      </w:r>
      <w:r w:rsidR="00952509">
        <w:rPr>
          <w:rFonts w:ascii="Times New Roman" w:hAnsi="Times New Roman" w:cs="Times New Roman" w:hint="eastAsia"/>
        </w:rPr>
        <w:t>在</w:t>
      </w:r>
      <w:r w:rsidR="00C72BE9" w:rsidRPr="00C3146C">
        <w:rPr>
          <w:rFonts w:ascii="Times New Roman" w:hAnsi="Times New Roman" w:cs="Times New Roman" w:hint="eastAsia"/>
        </w:rPr>
        <w:t>五类开支中，</w:t>
      </w:r>
      <w:r w:rsidR="00231E43" w:rsidRPr="00231E43">
        <w:rPr>
          <w:rFonts w:ascii="Times New Roman" w:hAnsi="Times New Roman" w:cs="Times New Roman" w:hint="eastAsia"/>
        </w:rPr>
        <w:t>Ⅲ</w:t>
      </w:r>
      <w:r w:rsidR="00C72BE9" w:rsidRPr="00C3146C">
        <w:rPr>
          <w:rFonts w:ascii="Times New Roman" w:hAnsi="Times New Roman" w:cs="Times New Roman" w:hint="eastAsia"/>
        </w:rPr>
        <w:t>类、</w:t>
      </w:r>
      <w:r w:rsidR="00231E43" w:rsidRPr="00231E43">
        <w:rPr>
          <w:rFonts w:ascii="Times New Roman" w:hAnsi="Times New Roman" w:cs="Times New Roman" w:hint="eastAsia"/>
        </w:rPr>
        <w:t>Ⅳ</w:t>
      </w:r>
      <w:r w:rsidR="00C72BE9" w:rsidRPr="00C3146C">
        <w:rPr>
          <w:rFonts w:ascii="Times New Roman" w:hAnsi="Times New Roman" w:cs="Times New Roman" w:hint="eastAsia"/>
        </w:rPr>
        <w:t>类消费应列为控制性开支，为其他市场性消费</w:t>
      </w:r>
      <w:r w:rsidR="008C6FBD" w:rsidRPr="00C3146C">
        <w:rPr>
          <w:rFonts w:ascii="Times New Roman" w:hAnsi="Times New Roman" w:cs="Times New Roman" w:hint="eastAsia"/>
        </w:rPr>
        <w:t>支出</w:t>
      </w:r>
      <w:r w:rsidR="00C72BE9" w:rsidRPr="00C3146C">
        <w:rPr>
          <w:rFonts w:ascii="Times New Roman" w:hAnsi="Times New Roman" w:cs="Times New Roman" w:hint="eastAsia"/>
        </w:rPr>
        <w:t>腾挪空间；</w:t>
      </w:r>
      <w:r w:rsidR="00231E43" w:rsidRPr="00231E43">
        <w:rPr>
          <w:rFonts w:ascii="Times New Roman" w:hAnsi="Times New Roman" w:cs="Times New Roman" w:hint="eastAsia"/>
        </w:rPr>
        <w:t>Ⅱ</w:t>
      </w:r>
      <w:r w:rsidR="00C72BE9" w:rsidRPr="00C3146C">
        <w:rPr>
          <w:rFonts w:ascii="Times New Roman" w:hAnsi="Times New Roman" w:cs="Times New Roman" w:hint="eastAsia"/>
        </w:rPr>
        <w:t>类消费规模视发展阶段逐步增加消费规模，使其成为经济增长的稳定增量，增长体现在住房自有率的稳步提升和改善性需求的持续释放，而不是盲目</w:t>
      </w:r>
      <w:r w:rsidR="00952509">
        <w:rPr>
          <w:rFonts w:ascii="Times New Roman" w:hAnsi="Times New Roman" w:cs="Times New Roman" w:hint="eastAsia"/>
        </w:rPr>
        <w:t>地</w:t>
      </w:r>
      <w:r w:rsidR="00C72BE9" w:rsidRPr="00C3146C">
        <w:rPr>
          <w:rFonts w:ascii="Times New Roman" w:hAnsi="Times New Roman" w:cs="Times New Roman" w:hint="eastAsia"/>
        </w:rPr>
        <w:t>刺激价格上涨、寻求总体</w:t>
      </w:r>
      <w:r w:rsidR="00CF461B" w:rsidRPr="00C3146C">
        <w:rPr>
          <w:rFonts w:ascii="Times New Roman" w:hAnsi="Times New Roman" w:cs="Times New Roman" w:hint="eastAsia"/>
        </w:rPr>
        <w:t>交易</w:t>
      </w:r>
      <w:r w:rsidR="00C72BE9" w:rsidRPr="00C3146C">
        <w:rPr>
          <w:rFonts w:ascii="Times New Roman" w:hAnsi="Times New Roman" w:cs="Times New Roman" w:hint="eastAsia"/>
        </w:rPr>
        <w:t>规模的</w:t>
      </w:r>
      <w:r w:rsidR="008C6FBD" w:rsidRPr="00C3146C">
        <w:rPr>
          <w:rFonts w:ascii="Times New Roman" w:hAnsi="Times New Roman" w:cs="Times New Roman" w:hint="eastAsia"/>
        </w:rPr>
        <w:t>短期</w:t>
      </w:r>
      <w:r w:rsidR="00C72BE9" w:rsidRPr="00C3146C">
        <w:rPr>
          <w:rFonts w:ascii="Times New Roman" w:hAnsi="Times New Roman" w:cs="Times New Roman" w:hint="eastAsia"/>
        </w:rPr>
        <w:t>扩张，</w:t>
      </w:r>
      <w:r w:rsidR="00212FFC" w:rsidRPr="00C3146C">
        <w:rPr>
          <w:rFonts w:ascii="Times New Roman" w:hAnsi="Times New Roman" w:cs="Times New Roman" w:hint="eastAsia"/>
        </w:rPr>
        <w:t>把</w:t>
      </w:r>
      <w:r w:rsidR="00086CAE" w:rsidRPr="00C3146C">
        <w:rPr>
          <w:rFonts w:ascii="Times New Roman" w:hAnsi="Times New Roman" w:cs="Times New Roman" w:hint="eastAsia"/>
        </w:rPr>
        <w:t>“房</w:t>
      </w:r>
      <w:r w:rsidR="00212FFC" w:rsidRPr="00C3146C">
        <w:rPr>
          <w:rFonts w:ascii="Times New Roman" w:hAnsi="Times New Roman" w:cs="Times New Roman" w:hint="eastAsia"/>
        </w:rPr>
        <w:t>住不炒</w:t>
      </w:r>
      <w:r w:rsidR="00086CAE" w:rsidRPr="00C3146C">
        <w:rPr>
          <w:rFonts w:ascii="Times New Roman" w:hAnsi="Times New Roman" w:cs="Times New Roman" w:hint="eastAsia"/>
        </w:rPr>
        <w:t>”</w:t>
      </w:r>
      <w:r w:rsidR="00212FFC" w:rsidRPr="00C3146C">
        <w:rPr>
          <w:rFonts w:ascii="Times New Roman" w:hAnsi="Times New Roman" w:cs="Times New Roman" w:hint="eastAsia"/>
        </w:rPr>
        <w:t>落到实处</w:t>
      </w:r>
      <w:r w:rsidR="002B1AC2" w:rsidRPr="00C3146C">
        <w:rPr>
          <w:rFonts w:ascii="Times New Roman" w:hAnsi="Times New Roman" w:cs="Times New Roman" w:hint="eastAsia"/>
        </w:rPr>
        <w:t>；</w:t>
      </w:r>
      <w:r w:rsidR="002B1AC2" w:rsidRPr="00C3146C">
        <w:rPr>
          <w:rFonts w:ascii="Times New Roman" w:hAnsi="Times New Roman" w:cs="Times New Roman" w:hint="eastAsia"/>
        </w:rPr>
        <w:t>I</w:t>
      </w:r>
      <w:r w:rsidR="002B1AC2" w:rsidRPr="00C3146C">
        <w:rPr>
          <w:rFonts w:ascii="Times New Roman" w:hAnsi="Times New Roman" w:cs="Times New Roman" w:hint="eastAsia"/>
        </w:rPr>
        <w:t>类、</w:t>
      </w:r>
      <w:r w:rsidR="002B1AC2" w:rsidRPr="00C3146C">
        <w:rPr>
          <w:rFonts w:ascii="Times New Roman" w:hAnsi="Times New Roman" w:cs="Times New Roman" w:hint="eastAsia"/>
        </w:rPr>
        <w:t>V</w:t>
      </w:r>
      <w:r w:rsidR="002B1AC2" w:rsidRPr="00C3146C">
        <w:rPr>
          <w:rFonts w:ascii="Times New Roman" w:hAnsi="Times New Roman" w:cs="Times New Roman" w:hint="eastAsia"/>
        </w:rPr>
        <w:t>类消费属于市场化行为，也是未来增长的主要增量，其消费规模取决于其他消费的控制情况。</w:t>
      </w:r>
      <w:r w:rsidRPr="00C3146C">
        <w:rPr>
          <w:rFonts w:ascii="Times New Roman" w:hAnsi="Times New Roman" w:cs="Times New Roman" w:hint="eastAsia"/>
        </w:rPr>
        <w:t>I</w:t>
      </w:r>
      <w:r w:rsidRPr="00C3146C">
        <w:rPr>
          <w:rFonts w:ascii="Times New Roman" w:hAnsi="Times New Roman" w:cs="Times New Roman" w:hint="eastAsia"/>
        </w:rPr>
        <w:t>类、</w:t>
      </w:r>
      <w:r w:rsidRPr="00C3146C">
        <w:rPr>
          <w:rFonts w:ascii="Times New Roman" w:hAnsi="Times New Roman" w:cs="Times New Roman" w:hint="eastAsia"/>
        </w:rPr>
        <w:t>V</w:t>
      </w:r>
      <w:r w:rsidRPr="00C3146C">
        <w:rPr>
          <w:rFonts w:ascii="Times New Roman" w:hAnsi="Times New Roman" w:cs="Times New Roman" w:hint="eastAsia"/>
        </w:rPr>
        <w:t>类消费规模扩张和水平升级是我们持续的施政目标，</w:t>
      </w:r>
      <w:r w:rsidR="00231E43" w:rsidRPr="00231E43">
        <w:rPr>
          <w:rFonts w:ascii="Times New Roman" w:hAnsi="Times New Roman" w:cs="Times New Roman" w:hint="eastAsia"/>
        </w:rPr>
        <w:t>Ⅱ</w:t>
      </w:r>
      <w:r w:rsidRPr="00C3146C">
        <w:rPr>
          <w:rFonts w:ascii="Times New Roman" w:hAnsi="Times New Roman" w:cs="Times New Roman" w:hint="eastAsia"/>
        </w:rPr>
        <w:t>类消费稳步放量是阶段性目标，但</w:t>
      </w:r>
      <w:r w:rsidR="00231E43" w:rsidRPr="00231E43">
        <w:rPr>
          <w:rFonts w:ascii="Times New Roman" w:hAnsi="Times New Roman" w:cs="Times New Roman" w:hint="eastAsia"/>
        </w:rPr>
        <w:t>Ⅲ</w:t>
      </w:r>
      <w:r w:rsidRPr="00C3146C">
        <w:rPr>
          <w:rFonts w:ascii="Times New Roman" w:hAnsi="Times New Roman" w:cs="Times New Roman" w:hint="eastAsia"/>
        </w:rPr>
        <w:t>、</w:t>
      </w:r>
      <w:r w:rsidR="00231E43" w:rsidRPr="00231E43">
        <w:rPr>
          <w:rFonts w:ascii="Times New Roman" w:hAnsi="Times New Roman" w:cs="Times New Roman" w:hint="eastAsia"/>
        </w:rPr>
        <w:t>Ⅳ</w:t>
      </w:r>
      <w:r w:rsidRPr="00C3146C">
        <w:rPr>
          <w:rFonts w:ascii="Times New Roman" w:hAnsi="Times New Roman" w:cs="Times New Roman" w:hint="eastAsia"/>
        </w:rPr>
        <w:t>类消费规模管控是上述两类政策取得明显成效的基本前提。</w:t>
      </w:r>
      <w:r w:rsidR="007C7426" w:rsidRPr="00C3146C">
        <w:rPr>
          <w:rFonts w:ascii="Times New Roman" w:hAnsi="Times New Roman" w:cs="Times New Roman" w:hint="eastAsia"/>
        </w:rPr>
        <w:t>与其以政府举债实施暂时性</w:t>
      </w:r>
      <w:r w:rsidR="00231E43" w:rsidRPr="00231E43">
        <w:rPr>
          <w:rFonts w:ascii="Times New Roman" w:hAnsi="Times New Roman" w:cs="Times New Roman" w:hint="eastAsia"/>
        </w:rPr>
        <w:t>的</w:t>
      </w:r>
      <w:r w:rsidR="007C7426" w:rsidRPr="00C3146C">
        <w:rPr>
          <w:rFonts w:ascii="Times New Roman" w:hAnsi="Times New Roman" w:cs="Times New Roman" w:hint="eastAsia"/>
        </w:rPr>
        <w:t>转移支付、借助外力削平家庭消费峰谷，不如把相应资金投入解决</w:t>
      </w:r>
      <w:r w:rsidR="00231E43" w:rsidRPr="00231E43">
        <w:rPr>
          <w:rFonts w:ascii="Times New Roman" w:hAnsi="Times New Roman" w:cs="Times New Roman" w:hint="eastAsia"/>
        </w:rPr>
        <w:t>Ⅱ</w:t>
      </w:r>
      <w:r w:rsidR="007C7426" w:rsidRPr="00C3146C">
        <w:rPr>
          <w:rFonts w:ascii="Times New Roman" w:hAnsi="Times New Roman" w:cs="Times New Roman" w:hint="eastAsia"/>
        </w:rPr>
        <w:t>类、</w:t>
      </w:r>
      <w:r w:rsidR="00231E43" w:rsidRPr="00231E43">
        <w:rPr>
          <w:rFonts w:ascii="Times New Roman" w:hAnsi="Times New Roman" w:cs="Times New Roman" w:hint="eastAsia"/>
        </w:rPr>
        <w:t>Ⅲ</w:t>
      </w:r>
      <w:r w:rsidR="007C7426" w:rsidRPr="00C3146C">
        <w:rPr>
          <w:rFonts w:ascii="Times New Roman" w:hAnsi="Times New Roman" w:cs="Times New Roman" w:hint="eastAsia"/>
        </w:rPr>
        <w:t>类支出</w:t>
      </w:r>
      <w:r w:rsidR="00952509">
        <w:rPr>
          <w:rFonts w:ascii="Times New Roman" w:hAnsi="Times New Roman" w:cs="Times New Roman" w:hint="eastAsia"/>
        </w:rPr>
        <w:t>的领域中</w:t>
      </w:r>
      <w:r w:rsidR="007C7426" w:rsidRPr="00C3146C">
        <w:rPr>
          <w:rFonts w:ascii="Times New Roman" w:hAnsi="Times New Roman" w:cs="Times New Roman" w:hint="eastAsia"/>
        </w:rPr>
        <w:t>，从根本上触动家庭过度储蓄的动机，促进家庭消费理性、平滑</w:t>
      </w:r>
      <w:r w:rsidR="00952509">
        <w:rPr>
          <w:rFonts w:ascii="Times New Roman" w:hAnsi="Times New Roman" w:cs="Times New Roman" w:hint="eastAsia"/>
        </w:rPr>
        <w:t>地</w:t>
      </w:r>
      <w:r w:rsidR="00417FA6" w:rsidRPr="00C3146C">
        <w:rPr>
          <w:rFonts w:ascii="Times New Roman" w:hAnsi="Times New Roman" w:cs="Times New Roman" w:hint="eastAsia"/>
        </w:rPr>
        <w:t>增长</w:t>
      </w:r>
      <w:r w:rsidR="007C7426" w:rsidRPr="00C3146C">
        <w:rPr>
          <w:rFonts w:ascii="Times New Roman" w:hAnsi="Times New Roman" w:cs="Times New Roman" w:hint="eastAsia"/>
        </w:rPr>
        <w:t>。</w:t>
      </w:r>
    </w:p>
    <w:p w14:paraId="3A1BFB02" w14:textId="77777777" w:rsidR="008C6FBD" w:rsidRPr="00C3146C" w:rsidRDefault="008C6FBD" w:rsidP="0012509A">
      <w:pPr>
        <w:spacing w:line="360" w:lineRule="auto"/>
        <w:ind w:firstLineChars="200" w:firstLine="480"/>
        <w:rPr>
          <w:rFonts w:ascii="Times New Roman" w:hAnsi="Times New Roman" w:cs="Times New Roman"/>
        </w:rPr>
      </w:pPr>
    </w:p>
    <w:p w14:paraId="1318F530" w14:textId="7EB6A226" w:rsidR="00712158" w:rsidRPr="00C3146C" w:rsidRDefault="00712158" w:rsidP="0012509A">
      <w:pPr>
        <w:spacing w:line="360" w:lineRule="auto"/>
        <w:ind w:firstLineChars="200" w:firstLine="489"/>
        <w:rPr>
          <w:rFonts w:ascii="Times New Roman" w:hAnsi="Times New Roman" w:cs="Times New Roman"/>
          <w:b/>
          <w:bCs/>
        </w:rPr>
      </w:pPr>
      <w:r w:rsidRPr="00C3146C">
        <w:rPr>
          <w:rFonts w:ascii="Times New Roman" w:hAnsi="Times New Roman" w:cs="Times New Roman" w:hint="eastAsia"/>
          <w:b/>
          <w:bCs/>
        </w:rPr>
        <w:t>第二个问题：我们</w:t>
      </w:r>
      <w:r w:rsidR="00FA31A8" w:rsidRPr="00C3146C">
        <w:rPr>
          <w:rFonts w:ascii="Times New Roman" w:hAnsi="Times New Roman" w:cs="Times New Roman" w:hint="eastAsia"/>
          <w:b/>
          <w:bCs/>
        </w:rPr>
        <w:t>需要什么样的家庭收支结构</w:t>
      </w:r>
      <w:r w:rsidRPr="00C3146C">
        <w:rPr>
          <w:rFonts w:ascii="Times New Roman" w:hAnsi="Times New Roman" w:cs="Times New Roman" w:hint="eastAsia"/>
          <w:b/>
          <w:bCs/>
        </w:rPr>
        <w:t>？</w:t>
      </w:r>
    </w:p>
    <w:p w14:paraId="2CA9B8D4" w14:textId="21D90E42" w:rsidR="005550D5" w:rsidRPr="00C3146C" w:rsidRDefault="005550D5"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劳动力再生产循环</w:t>
      </w:r>
      <w:r w:rsidR="00697B79" w:rsidRPr="00C3146C">
        <w:rPr>
          <w:rFonts w:ascii="Times New Roman" w:hAnsi="Times New Roman" w:cs="Times New Roman" w:hint="eastAsia"/>
        </w:rPr>
        <w:t>的根基在收入，而不是消费。</w:t>
      </w:r>
      <w:r w:rsidR="00420AC8" w:rsidRPr="00C3146C">
        <w:rPr>
          <w:rFonts w:ascii="Times New Roman" w:hAnsi="Times New Roman" w:cs="Times New Roman" w:hint="eastAsia"/>
        </w:rPr>
        <w:t>城镇化时代，收入的稳定增长可能带来劳动力的扩大再生产</w:t>
      </w:r>
      <w:r w:rsidR="00952509">
        <w:rPr>
          <w:rFonts w:ascii="Times New Roman" w:hAnsi="Times New Roman" w:cs="Times New Roman" w:hint="eastAsia"/>
        </w:rPr>
        <w:t>，</w:t>
      </w:r>
      <w:r w:rsidR="00420AC8" w:rsidRPr="00C3146C">
        <w:rPr>
          <w:rFonts w:ascii="Times New Roman" w:hAnsi="Times New Roman" w:cs="Times New Roman" w:hint="eastAsia"/>
        </w:rPr>
        <w:t>也可能导致简单再生产或再生产萎缩，但收入的不稳定或下降预期必然导致劳动力再生产的萎缩</w:t>
      </w:r>
      <w:r w:rsidR="00420AC8" w:rsidRPr="00D30568">
        <w:rPr>
          <w:rFonts w:ascii="Times New Roman" w:hAnsi="Times New Roman" w:cs="Times New Roman" w:hint="eastAsia"/>
        </w:rPr>
        <w:t>。</w:t>
      </w:r>
      <w:r w:rsidR="005F078E" w:rsidRPr="00D30568">
        <w:rPr>
          <w:rFonts w:ascii="Times New Roman" w:hAnsi="Times New Roman" w:cs="Times New Roman" w:hint="eastAsia"/>
        </w:rPr>
        <w:t>我们解决家庭收入问题的出发点不应是刺激家庭消费、加速经济增长，而是促进劳动力在简单再生产的基础上实现整体素质的提升</w:t>
      </w:r>
      <w:r w:rsidR="00084135" w:rsidRPr="00D30568">
        <w:rPr>
          <w:rFonts w:ascii="Times New Roman" w:hAnsi="Times New Roman" w:cs="Times New Roman" w:hint="eastAsia"/>
        </w:rPr>
        <w:t>。社会主义向更高阶段发展的动力</w:t>
      </w:r>
      <w:r w:rsidR="00084135" w:rsidRPr="00C3146C">
        <w:rPr>
          <w:rFonts w:ascii="Times New Roman" w:hAnsi="Times New Roman" w:cs="Times New Roman" w:hint="eastAsia"/>
        </w:rPr>
        <w:t>不是</w:t>
      </w:r>
      <w:r w:rsidR="00084135" w:rsidRPr="00C3146C">
        <w:rPr>
          <w:rFonts w:ascii="Times New Roman" w:hAnsi="Times New Roman" w:cs="Times New Roman" w:hint="eastAsia"/>
        </w:rPr>
        <w:t>GDP</w:t>
      </w:r>
      <w:r w:rsidR="00084135" w:rsidRPr="00C3146C">
        <w:rPr>
          <w:rFonts w:ascii="Times New Roman" w:hAnsi="Times New Roman" w:cs="Times New Roman" w:hint="eastAsia"/>
        </w:rPr>
        <w:t>规模的持续扩张，而是由简单劳动向复杂劳动转换的劳动力群体解放</w:t>
      </w:r>
      <w:r w:rsidR="00F311D0" w:rsidRPr="00C3146C">
        <w:rPr>
          <w:rFonts w:ascii="Times New Roman" w:hAnsi="Times New Roman" w:cs="Times New Roman" w:hint="eastAsia"/>
        </w:rPr>
        <w:t>。</w:t>
      </w:r>
      <w:r w:rsidR="00604090" w:rsidRPr="00C3146C">
        <w:rPr>
          <w:rFonts w:ascii="Times New Roman" w:hAnsi="Times New Roman" w:cs="Times New Roman" w:hint="eastAsia"/>
        </w:rPr>
        <w:t>关于这个问题</w:t>
      </w:r>
      <w:r w:rsidR="00B5380E" w:rsidRPr="00C3146C">
        <w:rPr>
          <w:rFonts w:ascii="Times New Roman" w:hAnsi="Times New Roman" w:cs="Times New Roman" w:hint="eastAsia"/>
        </w:rPr>
        <w:t>，《中华人民共和国宪法》给出了明确表述</w:t>
      </w:r>
      <w:r w:rsidR="00952509">
        <w:rPr>
          <w:rFonts w:ascii="Times New Roman" w:hAnsi="Times New Roman" w:cs="Times New Roman" w:hint="eastAsia"/>
        </w:rPr>
        <w:t>：</w:t>
      </w:r>
      <w:r w:rsidR="00B5380E" w:rsidRPr="00C3146C">
        <w:rPr>
          <w:rFonts w:ascii="Times New Roman" w:hAnsi="Times New Roman" w:cs="Times New Roman" w:hint="eastAsia"/>
        </w:rPr>
        <w:t>“</w:t>
      </w:r>
      <w:r w:rsidR="00B5380E" w:rsidRPr="00BE517C">
        <w:rPr>
          <w:rFonts w:ascii="Times New Roman" w:hAnsi="Times New Roman" w:cs="Times New Roman" w:hint="eastAsia"/>
          <w:iCs/>
        </w:rPr>
        <w:t>国家通过提高劳动者的积极性和技术水平，推广先进的科学技术，完善经济管理体制和企业经营管理制度，实行各种形式的社会主义责任制，改进劳动组织，以不断提高劳动生产率和经济效益，发展社会生产力。</w:t>
      </w:r>
      <w:r w:rsidR="00B5380E" w:rsidRPr="00C3146C">
        <w:rPr>
          <w:rFonts w:ascii="Times New Roman" w:hAnsi="Times New Roman" w:cs="Times New Roman" w:hint="eastAsia"/>
        </w:rPr>
        <w:t>”</w:t>
      </w:r>
      <w:r w:rsidR="00B5380E" w:rsidRPr="00C3146C">
        <w:rPr>
          <w:rStyle w:val="a5"/>
          <w:rFonts w:ascii="Times New Roman" w:hAnsi="Times New Roman" w:cs="Times New Roman"/>
        </w:rPr>
        <w:footnoteReference w:id="31"/>
      </w:r>
    </w:p>
    <w:p w14:paraId="543E5F0D" w14:textId="6C48E403" w:rsidR="00712158" w:rsidRPr="00C3146C" w:rsidRDefault="00406CD6"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我们需要全体人民物质与精神生活的极大改善，而不是美式的货币化累加</w:t>
      </w:r>
      <w:r w:rsidR="008D1EEA" w:rsidRPr="00C3146C">
        <w:rPr>
          <w:rFonts w:ascii="Times New Roman" w:hAnsi="Times New Roman" w:cs="Times New Roman" w:hint="eastAsia"/>
        </w:rPr>
        <w:t>与分化</w:t>
      </w:r>
      <w:r w:rsidRPr="00C3146C">
        <w:rPr>
          <w:rFonts w:ascii="Times New Roman" w:hAnsi="Times New Roman" w:cs="Times New Roman" w:hint="eastAsia"/>
        </w:rPr>
        <w:t>。</w:t>
      </w:r>
      <w:r w:rsidR="000E01A6" w:rsidRPr="00C3146C">
        <w:rPr>
          <w:rFonts w:ascii="Times New Roman" w:hAnsi="Times New Roman" w:cs="Times New Roman" w:hint="eastAsia"/>
        </w:rPr>
        <w:t>因此，支撑我国家庭收支改善的根基是劳动力素质的整体提升，以及由简单劳动向复杂劳动转型带来的劳动报酬倍增，而不是单纯</w:t>
      </w:r>
      <w:r w:rsidR="00952509">
        <w:rPr>
          <w:rFonts w:ascii="Times New Roman" w:hAnsi="Times New Roman" w:cs="Times New Roman" w:hint="eastAsia"/>
        </w:rPr>
        <w:t>地</w:t>
      </w:r>
      <w:r w:rsidR="000E01A6" w:rsidRPr="00C3146C">
        <w:rPr>
          <w:rFonts w:ascii="Times New Roman" w:hAnsi="Times New Roman" w:cs="Times New Roman" w:hint="eastAsia"/>
        </w:rPr>
        <w:t>增加家庭资产性收入和经营性收入。美国家庭收入增长表外化的实践证明，以单纯增加家庭资产性收入为终极目标的政策，注定导致更加极端化的收入分配，从而使更多</w:t>
      </w:r>
      <w:r w:rsidR="000E01A6" w:rsidRPr="00C3146C">
        <w:rPr>
          <w:rFonts w:ascii="Times New Roman" w:hAnsi="Times New Roman" w:cs="Times New Roman" w:hint="eastAsia"/>
        </w:rPr>
        <w:lastRenderedPageBreak/>
        <w:t>家庭陷入新的贫困状态。我们应反其道而行之，把家庭收入增长拉回到国民经济账户</w:t>
      </w:r>
      <w:r w:rsidR="006A0148">
        <w:rPr>
          <w:rFonts w:ascii="Times New Roman" w:hAnsi="Times New Roman" w:cs="Times New Roman" w:hint="eastAsia"/>
        </w:rPr>
        <w:t>体系</w:t>
      </w:r>
      <w:r w:rsidR="000E01A6" w:rsidRPr="00C3146C">
        <w:rPr>
          <w:rFonts w:ascii="Times New Roman" w:hAnsi="Times New Roman" w:cs="Times New Roman" w:hint="eastAsia"/>
        </w:rPr>
        <w:t>内，即以劳动报酬增长为主、以其他收入增长为补充的政策体系，这也是社会主义分配制度的基本原则。</w:t>
      </w:r>
    </w:p>
    <w:p w14:paraId="66F79F35" w14:textId="790CF061" w:rsidR="000E01A6" w:rsidRPr="00C3146C" w:rsidRDefault="00A2206E"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增加劳动者报酬不是单纯地</w:t>
      </w:r>
      <w:r w:rsidR="008911F2" w:rsidRPr="00C3146C">
        <w:rPr>
          <w:rFonts w:ascii="Times New Roman" w:hAnsi="Times New Roman" w:cs="Times New Roman" w:hint="eastAsia"/>
        </w:rPr>
        <w:t>以工会或国家力量强制性地推动私营企业体系增加劳动者工资，而是在改变经济发展的基本结构中寻求增量。在以最终消费品生产为主的体系中，</w:t>
      </w:r>
      <w:r w:rsidR="00BC588F" w:rsidRPr="00C3146C">
        <w:rPr>
          <w:rFonts w:ascii="Times New Roman" w:hAnsi="Times New Roman" w:cs="Times New Roman" w:hint="eastAsia"/>
        </w:rPr>
        <w:t>受到市场化消费增速的限制，就业规模、劳动者报酬很难出现倍增的趋势，现有的体系只能维持小步慢走</w:t>
      </w:r>
      <w:r w:rsidR="00231E43" w:rsidRPr="00231E43">
        <w:rPr>
          <w:rFonts w:ascii="Times New Roman" w:hAnsi="Times New Roman" w:cs="Times New Roman" w:hint="eastAsia"/>
        </w:rPr>
        <w:t>地</w:t>
      </w:r>
      <w:r>
        <w:rPr>
          <w:rFonts w:ascii="Times New Roman" w:hAnsi="Times New Roman" w:cs="Times New Roman" w:hint="eastAsia"/>
        </w:rPr>
        <w:t>增长，且遇衰退时还会出现负增长。消费品市场空间总体增速缓慢，决定了消费品生产企业</w:t>
      </w:r>
      <w:r w:rsidR="006C4AB9" w:rsidRPr="00C3146C">
        <w:rPr>
          <w:rFonts w:ascii="Times New Roman" w:hAnsi="Times New Roman" w:cs="Times New Roman" w:hint="eastAsia"/>
        </w:rPr>
        <w:t>的</w:t>
      </w:r>
      <w:r w:rsidR="00BC588F" w:rsidRPr="00C3146C">
        <w:rPr>
          <w:rFonts w:ascii="Times New Roman" w:hAnsi="Times New Roman" w:cs="Times New Roman" w:hint="eastAsia"/>
        </w:rPr>
        <w:t>投资规模</w:t>
      </w:r>
      <w:r w:rsidR="006C4AB9" w:rsidRPr="00C3146C">
        <w:rPr>
          <w:rFonts w:ascii="Times New Roman" w:hAnsi="Times New Roman" w:cs="Times New Roman" w:hint="eastAsia"/>
        </w:rPr>
        <w:t>受限，我们或许会在某一个时间节点偶遇新技术带来的新增长空间，比如战后的计算机产业、苹果引领的智能机革新和俄乌冲突后的新能源汽车等，但耐用消费品支出占家庭支出的比例保持了相对稳定的状态，很难支撑家庭消费基数的倍增，因而仅靠随机出现的新产业是无法实现生产规模的持续快速扩张的。</w:t>
      </w:r>
    </w:p>
    <w:p w14:paraId="57F96868" w14:textId="29255164" w:rsidR="006C4AB9" w:rsidRPr="00C3146C" w:rsidRDefault="006C4AB9"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经济发展现阶段的增量在生产性消费领域，而非消费品生产。扩张生产性消费绝不是回到重工业优先发展的老路，而是借助调节生产性消费、生活性消费的比例关系，创造出一种能够容纳巨大资本消耗的新产业链条。只有巨大的资本性消耗才能产生足够多的复杂劳动岗位，实现劳动报酬倍增</w:t>
      </w:r>
      <w:r w:rsidR="00952509">
        <w:rPr>
          <w:rFonts w:ascii="Times New Roman" w:hAnsi="Times New Roman" w:cs="Times New Roman" w:hint="eastAsia"/>
        </w:rPr>
        <w:t>的</w:t>
      </w:r>
      <w:r w:rsidRPr="00C3146C">
        <w:rPr>
          <w:rFonts w:ascii="Times New Roman" w:hAnsi="Times New Roman" w:cs="Times New Roman" w:hint="eastAsia"/>
        </w:rPr>
        <w:t>目标。同时，巨大的资本性消耗需要庞大的资本实力，私营企业注定无法涉足，只能由代表全体人民</w:t>
      </w:r>
      <w:r w:rsidR="00705915" w:rsidRPr="00C3146C">
        <w:rPr>
          <w:rFonts w:ascii="Times New Roman" w:hAnsi="Times New Roman" w:cs="Times New Roman" w:hint="eastAsia"/>
        </w:rPr>
        <w:t>的公有资本执行。</w:t>
      </w:r>
      <w:r w:rsidR="00705915" w:rsidRPr="00D30568">
        <w:rPr>
          <w:rFonts w:ascii="Times New Roman" w:hAnsi="Times New Roman" w:cs="Times New Roman" w:hint="eastAsia"/>
        </w:rPr>
        <w:t>执行巨大资本性消耗任务的初始出资，或股或债，具体形式需要</w:t>
      </w:r>
      <w:r w:rsidR="00D30568" w:rsidRPr="00D30568">
        <w:rPr>
          <w:rFonts w:ascii="Times New Roman" w:hAnsi="Times New Roman" w:cs="Times New Roman" w:hint="eastAsia"/>
        </w:rPr>
        <w:t>探索新的资本架构体系</w:t>
      </w:r>
      <w:r w:rsidR="00705915" w:rsidRPr="00D30568">
        <w:rPr>
          <w:rFonts w:ascii="Times New Roman" w:hAnsi="Times New Roman" w:cs="Times New Roman" w:hint="eastAsia"/>
        </w:rPr>
        <w:t>。</w:t>
      </w:r>
      <w:r w:rsidR="00705915" w:rsidRPr="00C3146C">
        <w:rPr>
          <w:rFonts w:ascii="Times New Roman" w:hAnsi="Times New Roman" w:cs="Times New Roman" w:hint="eastAsia"/>
        </w:rPr>
        <w:t>至于投向，具体项目可再探讨论证。在罗斯福新政前，新自由主义经济学家无论如何也想不出</w:t>
      </w:r>
      <w:r w:rsidR="00B949B5" w:rsidRPr="00C3146C">
        <w:rPr>
          <w:rFonts w:ascii="Times New Roman" w:hAnsi="Times New Roman" w:cs="Times New Roman" w:hint="eastAsia"/>
        </w:rPr>
        <w:t>疏通</w:t>
      </w:r>
      <w:r w:rsidR="00705915" w:rsidRPr="00C3146C">
        <w:rPr>
          <w:rFonts w:ascii="Times New Roman" w:hAnsi="Times New Roman" w:cs="Times New Roman" w:hint="eastAsia"/>
        </w:rPr>
        <w:t>田纳西河流域等巨大工程的跨时代意义。现在，也一样。</w:t>
      </w:r>
    </w:p>
    <w:p w14:paraId="0227B196" w14:textId="77777777" w:rsidR="005E673D" w:rsidRPr="00C3146C" w:rsidRDefault="005E673D" w:rsidP="0012509A">
      <w:pPr>
        <w:spacing w:line="360" w:lineRule="auto"/>
        <w:ind w:firstLineChars="200" w:firstLine="480"/>
        <w:rPr>
          <w:rFonts w:ascii="Times New Roman" w:hAnsi="Times New Roman" w:cs="Times New Roman"/>
        </w:rPr>
      </w:pPr>
    </w:p>
    <w:p w14:paraId="32EC043D" w14:textId="35F3D4C2" w:rsidR="00712158" w:rsidRPr="00C3146C" w:rsidRDefault="00712158" w:rsidP="0012509A">
      <w:pPr>
        <w:spacing w:line="360" w:lineRule="auto"/>
        <w:ind w:firstLineChars="200" w:firstLine="489"/>
        <w:rPr>
          <w:rFonts w:ascii="Times New Roman" w:hAnsi="Times New Roman" w:cs="Times New Roman"/>
          <w:b/>
          <w:bCs/>
        </w:rPr>
      </w:pPr>
      <w:r w:rsidRPr="00C3146C">
        <w:rPr>
          <w:rFonts w:ascii="Times New Roman" w:hAnsi="Times New Roman" w:cs="Times New Roman" w:hint="eastAsia"/>
          <w:b/>
          <w:bCs/>
        </w:rPr>
        <w:t>第三个问题：我们</w:t>
      </w:r>
      <w:r w:rsidR="00D452C5" w:rsidRPr="00C3146C">
        <w:rPr>
          <w:rFonts w:ascii="Times New Roman" w:hAnsi="Times New Roman" w:cs="Times New Roman" w:hint="eastAsia"/>
          <w:b/>
          <w:bCs/>
        </w:rPr>
        <w:t>需要什么样的公司经营理念</w:t>
      </w:r>
      <w:r w:rsidR="00E32BBA" w:rsidRPr="00C3146C">
        <w:rPr>
          <w:rFonts w:ascii="Times New Roman" w:hAnsi="Times New Roman" w:cs="Times New Roman" w:hint="eastAsia"/>
          <w:b/>
          <w:bCs/>
        </w:rPr>
        <w:t>？</w:t>
      </w:r>
    </w:p>
    <w:p w14:paraId="543A5C62" w14:textId="53EA2EDF" w:rsidR="000B43AB" w:rsidRPr="00C3146C" w:rsidRDefault="008F2E3C" w:rsidP="008F2E3C">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在资本主义国家，凡是能够通过非法律禁止行为增加公司利润的创新，政府统统无条件支持</w:t>
      </w:r>
      <w:r w:rsidR="00952509">
        <w:rPr>
          <w:rFonts w:ascii="Times New Roman" w:hAnsi="Times New Roman" w:cs="Times New Roman" w:hint="eastAsia"/>
        </w:rPr>
        <w:t>，</w:t>
      </w:r>
      <w:r w:rsidR="000F30A6" w:rsidRPr="00C3146C">
        <w:rPr>
          <w:rFonts w:ascii="Times New Roman" w:hAnsi="Times New Roman" w:cs="Times New Roman" w:hint="eastAsia"/>
        </w:rPr>
        <w:t>而且会</w:t>
      </w:r>
      <w:r w:rsidR="00354E75" w:rsidRPr="00C3146C">
        <w:rPr>
          <w:rFonts w:ascii="Times New Roman" w:hAnsi="Times New Roman" w:cs="Times New Roman" w:hint="eastAsia"/>
        </w:rPr>
        <w:t>通过发行债务</w:t>
      </w:r>
      <w:r w:rsidR="000F30A6" w:rsidRPr="00C3146C">
        <w:rPr>
          <w:rFonts w:ascii="Times New Roman" w:hAnsi="Times New Roman" w:cs="Times New Roman" w:hint="eastAsia"/>
        </w:rPr>
        <w:t>提供兜底服务</w:t>
      </w:r>
      <w:r w:rsidRPr="00C3146C">
        <w:rPr>
          <w:rFonts w:ascii="Times New Roman" w:hAnsi="Times New Roman" w:cs="Times New Roman" w:hint="eastAsia"/>
        </w:rPr>
        <w:t>，美国境内的金融衍生工具创新速度与公司经营的金融化趋势即是例证。在政府的默许下，规模化的公司在金融机构融资工具支持下，筹集了大量资本，</w:t>
      </w:r>
      <w:r w:rsidR="00952509">
        <w:rPr>
          <w:rFonts w:ascii="Times New Roman" w:hAnsi="Times New Roman" w:cs="Times New Roman" w:hint="eastAsia"/>
        </w:rPr>
        <w:t>这些公司</w:t>
      </w:r>
      <w:r w:rsidRPr="00C3146C">
        <w:rPr>
          <w:rFonts w:ascii="Times New Roman" w:hAnsi="Times New Roman" w:cs="Times New Roman" w:hint="eastAsia"/>
        </w:rPr>
        <w:t>通过开展跨国并购、对外直接投资等多种手段寻求公司利润的规模化扩张。随着全球并购版图成型，跨区域的全球化公司成功绕开单个国家的税收征管体系，最大限度地藏</w:t>
      </w:r>
      <w:r w:rsidRPr="00C3146C">
        <w:rPr>
          <w:rFonts w:ascii="Times New Roman" w:hAnsi="Times New Roman" w:cs="Times New Roman" w:hint="eastAsia"/>
        </w:rPr>
        <w:lastRenderedPageBreak/>
        <w:t>匿利润，这种趋势造成了《</w:t>
      </w:r>
      <w:r w:rsidRPr="00C3146C">
        <w:rPr>
          <w:rFonts w:ascii="Times New Roman" w:hAnsi="Times New Roman" w:cs="Times New Roman" w:hint="eastAsia"/>
        </w:rPr>
        <w:t>21</w:t>
      </w:r>
      <w:r w:rsidRPr="00C3146C">
        <w:rPr>
          <w:rFonts w:ascii="Times New Roman" w:hAnsi="Times New Roman" w:cs="Times New Roman" w:hint="eastAsia"/>
        </w:rPr>
        <w:t>世纪资本论</w:t>
      </w:r>
      <w:r w:rsidRPr="00D30568">
        <w:rPr>
          <w:rFonts w:ascii="Times New Roman" w:hAnsi="Times New Roman" w:cs="Times New Roman" w:hint="eastAsia"/>
        </w:rPr>
        <w:t>》中</w:t>
      </w:r>
      <w:r w:rsidRPr="00D30568">
        <w:rPr>
          <w:rFonts w:ascii="Times New Roman" w:hAnsi="Times New Roman" w:cs="Times New Roman"/>
          <w:i/>
        </w:rPr>
        <w:t>r&gt;g</w:t>
      </w:r>
      <w:r w:rsidRPr="00D30568">
        <w:rPr>
          <w:rFonts w:ascii="Times New Roman" w:hAnsi="Times New Roman" w:cs="Times New Roman" w:hint="eastAsia"/>
        </w:rPr>
        <w:t>的</w:t>
      </w:r>
      <w:r w:rsidR="006E3B51" w:rsidRPr="00D30568">
        <w:rPr>
          <w:rFonts w:ascii="Times New Roman" w:hAnsi="Times New Roman" w:cs="Times New Roman" w:hint="eastAsia"/>
        </w:rPr>
        <w:t>客观事</w:t>
      </w:r>
      <w:r w:rsidR="006E3B51" w:rsidRPr="00C3146C">
        <w:rPr>
          <w:rFonts w:ascii="Times New Roman" w:hAnsi="Times New Roman" w:cs="Times New Roman" w:hint="eastAsia"/>
        </w:rPr>
        <w:t>实</w:t>
      </w:r>
      <w:r w:rsidR="00952509">
        <w:rPr>
          <w:rFonts w:ascii="Times New Roman" w:hAnsi="Times New Roman" w:cs="Times New Roman" w:hint="eastAsia"/>
        </w:rPr>
        <w:t>。</w:t>
      </w:r>
      <w:r w:rsidR="00D74612" w:rsidRPr="00C3146C">
        <w:rPr>
          <w:rStyle w:val="a5"/>
          <w:rFonts w:ascii="Times New Roman" w:hAnsi="Times New Roman" w:cs="Times New Roman"/>
        </w:rPr>
        <w:footnoteReference w:id="32"/>
      </w:r>
      <w:r w:rsidR="00C84390" w:rsidRPr="00C3146C">
        <w:rPr>
          <w:rFonts w:ascii="Times New Roman" w:hAnsi="Times New Roman" w:cs="Times New Roman" w:hint="eastAsia"/>
        </w:rPr>
        <w:t>跨国并购与产业跨国转移带来的就业问题遗留给了政府，导致全球范围内的政府债务膨胀。</w:t>
      </w:r>
    </w:p>
    <w:p w14:paraId="0646A51C" w14:textId="7353EE8B" w:rsidR="004E19DD" w:rsidRPr="00C3146C" w:rsidRDefault="00C84390" w:rsidP="008F2E3C">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我们是否需要这</w:t>
      </w:r>
      <w:r w:rsidR="003F34E9" w:rsidRPr="00C3146C">
        <w:rPr>
          <w:rFonts w:ascii="Times New Roman" w:hAnsi="Times New Roman" w:cs="Times New Roman" w:hint="eastAsia"/>
        </w:rPr>
        <w:t>种</w:t>
      </w:r>
      <w:r w:rsidRPr="00C3146C">
        <w:rPr>
          <w:rFonts w:ascii="Times New Roman" w:hAnsi="Times New Roman" w:cs="Times New Roman" w:hint="eastAsia"/>
        </w:rPr>
        <w:t>赤裸裸的资本主义公司</w:t>
      </w:r>
      <w:r w:rsidR="00D76293" w:rsidRPr="00C3146C">
        <w:rPr>
          <w:rFonts w:ascii="Times New Roman" w:hAnsi="Times New Roman" w:cs="Times New Roman" w:hint="eastAsia"/>
        </w:rPr>
        <w:t>经营</w:t>
      </w:r>
      <w:r w:rsidRPr="00C3146C">
        <w:rPr>
          <w:rFonts w:ascii="Times New Roman" w:hAnsi="Times New Roman" w:cs="Times New Roman" w:hint="eastAsia"/>
        </w:rPr>
        <w:t>理念？</w:t>
      </w:r>
      <w:r w:rsidR="005C2523" w:rsidRPr="00C3146C">
        <w:rPr>
          <w:rFonts w:ascii="Times New Roman" w:hAnsi="Times New Roman" w:cs="Times New Roman" w:hint="eastAsia"/>
        </w:rPr>
        <w:t>社会主义的制度属性决定了我们不可能主动提倡这种经营理念。</w:t>
      </w:r>
      <w:r w:rsidR="006E6C52" w:rsidRPr="00C3146C">
        <w:rPr>
          <w:rFonts w:ascii="Times New Roman" w:hAnsi="Times New Roman" w:cs="Times New Roman" w:hint="eastAsia"/>
        </w:rPr>
        <w:t>由联合国提倡的</w:t>
      </w:r>
      <w:r w:rsidR="006E6C52" w:rsidRPr="00C3146C">
        <w:rPr>
          <w:rFonts w:ascii="Times New Roman" w:hAnsi="Times New Roman" w:cs="Times New Roman" w:hint="eastAsia"/>
        </w:rPr>
        <w:t>ESG</w:t>
      </w:r>
      <w:r w:rsidR="006E6C52" w:rsidRPr="00C3146C">
        <w:rPr>
          <w:rFonts w:ascii="Times New Roman" w:hAnsi="Times New Roman" w:cs="Times New Roman" w:hint="eastAsia"/>
        </w:rPr>
        <w:t>理念提供了另外一种思路，</w:t>
      </w:r>
      <w:r w:rsidR="00952509" w:rsidRPr="00C3146C">
        <w:rPr>
          <w:rStyle w:val="a5"/>
          <w:rFonts w:ascii="Times New Roman" w:hAnsi="Times New Roman" w:cs="Times New Roman"/>
        </w:rPr>
        <w:footnoteReference w:id="33"/>
      </w:r>
      <w:r w:rsidR="006E6C52" w:rsidRPr="00C3146C">
        <w:rPr>
          <w:rFonts w:ascii="Times New Roman" w:hAnsi="Times New Roman" w:cs="Times New Roman" w:hint="eastAsia"/>
        </w:rPr>
        <w:t>欧洲公司在大规模实践，但欧洲企业普遍缺乏实体投资扩大再生产的能力</w:t>
      </w:r>
      <w:r w:rsidR="003F34E9" w:rsidRPr="00C3146C">
        <w:rPr>
          <w:rFonts w:ascii="Times New Roman" w:hAnsi="Times New Roman" w:cs="Times New Roman" w:hint="eastAsia"/>
        </w:rPr>
        <w:t>与空间</w:t>
      </w:r>
      <w:r w:rsidR="006E6C52" w:rsidRPr="00C3146C">
        <w:rPr>
          <w:rFonts w:ascii="Times New Roman" w:hAnsi="Times New Roman" w:cs="Times New Roman" w:hint="eastAsia"/>
        </w:rPr>
        <w:t>，</w:t>
      </w:r>
      <w:r w:rsidR="002F15BB" w:rsidRPr="00C3146C">
        <w:rPr>
          <w:rFonts w:ascii="Times New Roman" w:hAnsi="Times New Roman" w:cs="Times New Roman" w:hint="eastAsia"/>
        </w:rPr>
        <w:t>因而</w:t>
      </w:r>
      <w:r w:rsidR="00952509">
        <w:rPr>
          <w:rFonts w:ascii="Times New Roman" w:hAnsi="Times New Roman" w:cs="Times New Roman" w:hint="eastAsia"/>
        </w:rPr>
        <w:t>它</w:t>
      </w:r>
      <w:r w:rsidR="002F15BB" w:rsidRPr="00C3146C">
        <w:rPr>
          <w:rFonts w:ascii="Times New Roman" w:hAnsi="Times New Roman" w:cs="Times New Roman" w:hint="eastAsia"/>
        </w:rPr>
        <w:t>们的</w:t>
      </w:r>
      <w:r w:rsidR="002F15BB" w:rsidRPr="00C3146C">
        <w:rPr>
          <w:rFonts w:ascii="Times New Roman" w:hAnsi="Times New Roman" w:cs="Times New Roman" w:hint="eastAsia"/>
        </w:rPr>
        <w:t>ESG</w:t>
      </w:r>
      <w:r w:rsidR="002F15BB" w:rsidRPr="00C3146C">
        <w:rPr>
          <w:rFonts w:ascii="Times New Roman" w:hAnsi="Times New Roman" w:cs="Times New Roman" w:hint="eastAsia"/>
        </w:rPr>
        <w:t>理念注定是被阉割掉的纸面文章，本质是用来掩盖利润增长乏力的</w:t>
      </w:r>
      <w:r w:rsidR="003F34E9" w:rsidRPr="00C3146C">
        <w:rPr>
          <w:rFonts w:ascii="Times New Roman" w:hAnsi="Times New Roman" w:cs="Times New Roman" w:hint="eastAsia"/>
        </w:rPr>
        <w:t>窘境</w:t>
      </w:r>
      <w:r w:rsidR="002F15BB" w:rsidRPr="00C3146C">
        <w:rPr>
          <w:rFonts w:ascii="Times New Roman" w:hAnsi="Times New Roman" w:cs="Times New Roman" w:hint="eastAsia"/>
        </w:rPr>
        <w:t>。</w:t>
      </w:r>
    </w:p>
    <w:p w14:paraId="6D0300DE" w14:textId="7985F9BC" w:rsidR="00222374" w:rsidRPr="00C3146C" w:rsidRDefault="00AF36C2"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把</w:t>
      </w:r>
      <w:r w:rsidRPr="00C3146C">
        <w:rPr>
          <w:rFonts w:ascii="Times New Roman" w:hAnsi="Times New Roman" w:cs="Times New Roman" w:hint="eastAsia"/>
        </w:rPr>
        <w:t>ESG</w:t>
      </w:r>
      <w:r w:rsidRPr="00C3146C">
        <w:rPr>
          <w:rFonts w:ascii="Times New Roman" w:hAnsi="Times New Roman" w:cs="Times New Roman" w:hint="eastAsia"/>
        </w:rPr>
        <w:t>理念与中国巨大资本性消耗任务、公有资本实现形式结合起来，或是我们</w:t>
      </w:r>
      <w:r w:rsidR="006B27AF" w:rsidRPr="00C3146C">
        <w:rPr>
          <w:rFonts w:ascii="Times New Roman" w:hAnsi="Times New Roman" w:cs="Times New Roman" w:hint="eastAsia"/>
        </w:rPr>
        <w:t>开展</w:t>
      </w:r>
      <w:r w:rsidRPr="00C3146C">
        <w:rPr>
          <w:rFonts w:ascii="Times New Roman" w:hAnsi="Times New Roman" w:cs="Times New Roman" w:hint="eastAsia"/>
        </w:rPr>
        <w:t>中国式公司经营理念</w:t>
      </w:r>
      <w:r w:rsidR="006B27AF" w:rsidRPr="00C3146C">
        <w:rPr>
          <w:rFonts w:ascii="Times New Roman" w:hAnsi="Times New Roman" w:cs="Times New Roman" w:hint="eastAsia"/>
        </w:rPr>
        <w:t>探索</w:t>
      </w:r>
      <w:r w:rsidRPr="00C3146C">
        <w:rPr>
          <w:rFonts w:ascii="Times New Roman" w:hAnsi="Times New Roman" w:cs="Times New Roman" w:hint="eastAsia"/>
        </w:rPr>
        <w:t>的有益</w:t>
      </w:r>
      <w:r w:rsidR="006B27AF" w:rsidRPr="00C3146C">
        <w:rPr>
          <w:rFonts w:ascii="Times New Roman" w:hAnsi="Times New Roman" w:cs="Times New Roman" w:hint="eastAsia"/>
        </w:rPr>
        <w:t>创新</w:t>
      </w:r>
      <w:r w:rsidRPr="00C3146C">
        <w:rPr>
          <w:rFonts w:ascii="Times New Roman" w:hAnsi="Times New Roman" w:cs="Times New Roman" w:hint="eastAsia"/>
        </w:rPr>
        <w:t>。</w:t>
      </w:r>
      <w:r w:rsidR="00222374" w:rsidRPr="00C3146C">
        <w:rPr>
          <w:rFonts w:ascii="Times New Roman" w:hAnsi="Times New Roman" w:cs="Times New Roman" w:hint="eastAsia"/>
        </w:rPr>
        <w:t>ESG</w:t>
      </w:r>
      <w:r w:rsidR="00222374" w:rsidRPr="00C3146C">
        <w:rPr>
          <w:rFonts w:ascii="Times New Roman" w:hAnsi="Times New Roman" w:cs="Times New Roman" w:hint="eastAsia"/>
        </w:rPr>
        <w:t>理念不应是抛开利润不谈，单纯地追求社会发展目标。作为公司，追求利润规模的扩张是基本诉求，</w:t>
      </w:r>
      <w:r w:rsidR="00DC7885" w:rsidRPr="00C3146C">
        <w:rPr>
          <w:rFonts w:ascii="Times New Roman" w:hAnsi="Times New Roman" w:cs="Times New Roman" w:hint="eastAsia"/>
        </w:rPr>
        <w:t>放弃追求利润增长的公司将成为实质性的</w:t>
      </w:r>
      <w:r w:rsidR="00DC7885" w:rsidRPr="00C3146C">
        <w:rPr>
          <w:rFonts w:ascii="Times New Roman" w:hAnsi="Times New Roman" w:cs="Times New Roman" w:hint="eastAsia"/>
        </w:rPr>
        <w:t>NGO</w:t>
      </w:r>
      <w:r w:rsidR="00DC7885" w:rsidRPr="00C3146C">
        <w:rPr>
          <w:rFonts w:ascii="Times New Roman" w:hAnsi="Times New Roman" w:cs="Times New Roman" w:hint="eastAsia"/>
        </w:rPr>
        <w:t>组织，公司经营的</w:t>
      </w:r>
      <w:r w:rsidR="00DC7885" w:rsidRPr="00C3146C">
        <w:rPr>
          <w:rFonts w:ascii="Times New Roman" w:hAnsi="Times New Roman" w:cs="Times New Roman" w:hint="eastAsia"/>
        </w:rPr>
        <w:t>NGO</w:t>
      </w:r>
      <w:r w:rsidR="00DC7885" w:rsidRPr="00C3146C">
        <w:rPr>
          <w:rFonts w:ascii="Times New Roman" w:hAnsi="Times New Roman" w:cs="Times New Roman" w:hint="eastAsia"/>
        </w:rPr>
        <w:t>化必将导致社会的衰退。因而，公有资本的首要目标仍然是追求利润，且参与巨大资本性消耗任务的公有资本应制定更高的利润目标。公有资本兼具了强大的股东背景、良好的信用条件等优势，理应在股东权益、融资工具方面持续创新，追求更高的利润目标。公有资本</w:t>
      </w:r>
      <w:r w:rsidR="00952509">
        <w:rPr>
          <w:rFonts w:ascii="Times New Roman" w:hAnsi="Times New Roman" w:cs="Times New Roman" w:hint="eastAsia"/>
        </w:rPr>
        <w:t>的</w:t>
      </w:r>
      <w:r w:rsidR="00DC7885" w:rsidRPr="00C3146C">
        <w:rPr>
          <w:rFonts w:ascii="Times New Roman" w:hAnsi="Times New Roman" w:cs="Times New Roman" w:hint="eastAsia"/>
        </w:rPr>
        <w:t>股东为全体人民，参与巨大资本性消耗任务的目的是在探索经济发展新路径</w:t>
      </w:r>
      <w:r w:rsidR="00952509">
        <w:rPr>
          <w:rFonts w:ascii="Times New Roman" w:hAnsi="Times New Roman" w:cs="Times New Roman" w:hint="eastAsia"/>
        </w:rPr>
        <w:t>的过程</w:t>
      </w:r>
      <w:r w:rsidR="00DC7885" w:rsidRPr="00C3146C">
        <w:rPr>
          <w:rFonts w:ascii="Times New Roman" w:hAnsi="Times New Roman" w:cs="Times New Roman" w:hint="eastAsia"/>
        </w:rPr>
        <w:t>中实现劳动报酬倍增，因而从一开始就具备了社会性功能，至于环境与治理则要在具体实践中探索。</w:t>
      </w:r>
    </w:p>
    <w:p w14:paraId="5C22127D" w14:textId="75F33724" w:rsidR="00F2468D" w:rsidRPr="00C3146C" w:rsidRDefault="00DC7885"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要认清一种基本趋势</w:t>
      </w:r>
      <w:r w:rsidR="00952509">
        <w:rPr>
          <w:rFonts w:ascii="Times New Roman" w:hAnsi="Times New Roman" w:cs="Times New Roman" w:hint="eastAsia"/>
        </w:rPr>
        <w:t>：</w:t>
      </w:r>
      <w:r w:rsidRPr="00C3146C">
        <w:rPr>
          <w:rFonts w:ascii="Times New Roman" w:hAnsi="Times New Roman" w:cs="Times New Roman" w:hint="eastAsia"/>
        </w:rPr>
        <w:t>如果把公有资本圈定在低利润水平的公共服务环节</w:t>
      </w:r>
      <w:r w:rsidR="006B27AF" w:rsidRPr="00C3146C">
        <w:rPr>
          <w:rFonts w:ascii="Times New Roman" w:hAnsi="Times New Roman" w:cs="Times New Roman" w:hint="eastAsia"/>
        </w:rPr>
        <w:t>、</w:t>
      </w:r>
      <w:r w:rsidRPr="00C3146C">
        <w:rPr>
          <w:rFonts w:ascii="Times New Roman" w:hAnsi="Times New Roman" w:cs="Times New Roman" w:hint="eastAsia"/>
        </w:rPr>
        <w:t>主动放弃竞争性利润，随着利润率差异的</w:t>
      </w:r>
      <w:r w:rsidR="006B27AF" w:rsidRPr="00C3146C">
        <w:rPr>
          <w:rFonts w:ascii="Times New Roman" w:hAnsi="Times New Roman" w:cs="Times New Roman" w:hint="eastAsia"/>
        </w:rPr>
        <w:t>累积</w:t>
      </w:r>
      <w:r w:rsidRPr="00C3146C">
        <w:rPr>
          <w:rFonts w:ascii="Times New Roman" w:hAnsi="Times New Roman" w:cs="Times New Roman" w:hint="eastAsia"/>
        </w:rPr>
        <w:t>，公有资本终丢掉国民经济的主导力量，中国特色社会主义制度的根基也将动摇</w:t>
      </w:r>
      <w:r w:rsidR="007D6381" w:rsidRPr="00C3146C">
        <w:rPr>
          <w:rFonts w:ascii="Times New Roman" w:hAnsi="Times New Roman" w:cs="Times New Roman" w:hint="eastAsia"/>
        </w:rPr>
        <w:t>！</w:t>
      </w:r>
    </w:p>
    <w:p w14:paraId="3847B8AC" w14:textId="5ABEB2C8" w:rsidR="00DC7885" w:rsidRPr="00C3146C" w:rsidRDefault="00DC7885"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公有资本规模的扩张是否必然挤出私有资本或压制私有资本发展呢？未必。这种观点的提出是建立在储蓄投资恒等式</w:t>
      </w:r>
      <w:r w:rsidR="00E92A25" w:rsidRPr="00C3146C">
        <w:rPr>
          <w:rFonts w:ascii="Times New Roman" w:hAnsi="Times New Roman" w:cs="Times New Roman" w:hint="eastAsia"/>
        </w:rPr>
        <w:t>、</w:t>
      </w:r>
      <w:r w:rsidRPr="00C3146C">
        <w:rPr>
          <w:rFonts w:ascii="Times New Roman" w:hAnsi="Times New Roman" w:cs="Times New Roman" w:hint="eastAsia"/>
        </w:rPr>
        <w:t>央行独立</w:t>
      </w:r>
      <w:r w:rsidR="00E92A25" w:rsidRPr="00C3146C">
        <w:rPr>
          <w:rFonts w:ascii="Times New Roman" w:hAnsi="Times New Roman" w:cs="Times New Roman" w:hint="eastAsia"/>
        </w:rPr>
        <w:t>性两大假说之上的，储蓄投资恒等式本就是一种用于推导宏观均衡和编制国民经济报表的理论化假设</w:t>
      </w:r>
      <w:r w:rsidR="00952509">
        <w:rPr>
          <w:rFonts w:ascii="Times New Roman" w:hAnsi="Times New Roman" w:cs="Times New Roman" w:hint="eastAsia"/>
        </w:rPr>
        <w:t>，</w:t>
      </w:r>
      <w:r w:rsidR="00E92A25" w:rsidRPr="00C3146C">
        <w:rPr>
          <w:rFonts w:ascii="Times New Roman" w:hAnsi="Times New Roman" w:cs="Times New Roman" w:hint="eastAsia"/>
        </w:rPr>
        <w:t>不具备现实指导意义</w:t>
      </w:r>
      <w:r w:rsidR="00952509">
        <w:rPr>
          <w:rFonts w:ascii="Times New Roman" w:hAnsi="Times New Roman" w:cs="Times New Roman" w:hint="eastAsia"/>
        </w:rPr>
        <w:t>；</w:t>
      </w:r>
      <w:r w:rsidR="00E92A25" w:rsidRPr="00C3146C">
        <w:rPr>
          <w:rFonts w:ascii="Times New Roman" w:hAnsi="Times New Roman" w:cs="Times New Roman" w:hint="eastAsia"/>
        </w:rPr>
        <w:t>央行独立性假说早在美联储</w:t>
      </w:r>
      <w:r w:rsidR="00E92A25" w:rsidRPr="00C3146C">
        <w:rPr>
          <w:rFonts w:ascii="Times New Roman" w:hAnsi="Times New Roman" w:cs="Times New Roman" w:hint="eastAsia"/>
        </w:rPr>
        <w:t>2008</w:t>
      </w:r>
      <w:r w:rsidR="00E92A25" w:rsidRPr="00C3146C">
        <w:rPr>
          <w:rFonts w:ascii="Times New Roman" w:hAnsi="Times New Roman" w:cs="Times New Roman" w:hint="eastAsia"/>
        </w:rPr>
        <w:t>年大规模购置</w:t>
      </w:r>
      <w:r w:rsidR="00E92A25" w:rsidRPr="00C3146C">
        <w:rPr>
          <w:rFonts w:ascii="Times New Roman" w:hAnsi="Times New Roman" w:cs="Times New Roman" w:hint="eastAsia"/>
        </w:rPr>
        <w:t>MBS</w:t>
      </w:r>
      <w:r w:rsidR="00E92A25" w:rsidRPr="00C3146C">
        <w:rPr>
          <w:rFonts w:ascii="Times New Roman" w:hAnsi="Times New Roman" w:cs="Times New Roman" w:hint="eastAsia"/>
        </w:rPr>
        <w:t>和美国国债后名存实亡，美联储、欧洲央行、日本央行均在</w:t>
      </w:r>
      <w:r w:rsidR="00F2468D" w:rsidRPr="00C3146C">
        <w:rPr>
          <w:rFonts w:ascii="Times New Roman" w:hAnsi="Times New Roman" w:cs="Times New Roman" w:hint="eastAsia"/>
        </w:rPr>
        <w:t>做</w:t>
      </w:r>
      <w:r w:rsidR="00E92A25" w:rsidRPr="00C3146C">
        <w:rPr>
          <w:rFonts w:ascii="Times New Roman" w:hAnsi="Times New Roman" w:cs="Times New Roman" w:hint="eastAsia"/>
        </w:rPr>
        <w:t>财政赤字货币化的实操。两大假说不成立，公有资本挤出私有资本从何谈起？</w:t>
      </w:r>
      <w:r w:rsidR="00A3222E" w:rsidRPr="00C3146C">
        <w:rPr>
          <w:rFonts w:ascii="Times New Roman" w:hAnsi="Times New Roman" w:cs="Times New Roman" w:hint="eastAsia"/>
        </w:rPr>
        <w:t>如果硬要拿</w:t>
      </w:r>
      <w:r w:rsidR="00A3222E" w:rsidRPr="00C3146C">
        <w:rPr>
          <w:rFonts w:ascii="Times New Roman" w:hAnsi="Times New Roman" w:cs="Times New Roman" w:hint="eastAsia"/>
        </w:rPr>
        <w:lastRenderedPageBreak/>
        <w:t>融资不公平来说事，即使在美国，规模较大、股东背景较好的企业也更容易从银行体系和公司债市场获得融资支撑，中小企业</w:t>
      </w:r>
      <w:r w:rsidR="006B27AF" w:rsidRPr="00C3146C">
        <w:rPr>
          <w:rFonts w:ascii="Times New Roman" w:hAnsi="Times New Roman" w:cs="Times New Roman" w:hint="eastAsia"/>
        </w:rPr>
        <w:t>被列为次级信用</w:t>
      </w:r>
      <w:r w:rsidR="00952509">
        <w:rPr>
          <w:rFonts w:ascii="Times New Roman" w:hAnsi="Times New Roman" w:cs="Times New Roman" w:hint="eastAsia"/>
        </w:rPr>
        <w:t>，</w:t>
      </w:r>
      <w:r w:rsidR="00A3222E" w:rsidRPr="00C3146C">
        <w:rPr>
          <w:rFonts w:ascii="Times New Roman" w:hAnsi="Times New Roman" w:cs="Times New Roman" w:hint="eastAsia"/>
        </w:rPr>
        <w:t>只能通过</w:t>
      </w:r>
      <w:r w:rsidR="0052154B">
        <w:rPr>
          <w:rFonts w:ascii="Times New Roman" w:hAnsi="Times New Roman" w:cs="Times New Roman" w:hint="eastAsia"/>
        </w:rPr>
        <w:t>财务</w:t>
      </w:r>
      <w:r w:rsidR="00A3222E" w:rsidRPr="00C3146C">
        <w:rPr>
          <w:rFonts w:ascii="Times New Roman" w:hAnsi="Times New Roman" w:cs="Times New Roman" w:hint="eastAsia"/>
        </w:rPr>
        <w:t>公司获取高息借款</w:t>
      </w:r>
      <w:r w:rsidR="00F2468D" w:rsidRPr="00C3146C">
        <w:rPr>
          <w:rFonts w:ascii="Times New Roman" w:hAnsi="Times New Roman" w:cs="Times New Roman" w:hint="eastAsia"/>
        </w:rPr>
        <w:t>。</w:t>
      </w:r>
      <w:r w:rsidR="00A3222E" w:rsidRPr="00C3146C">
        <w:rPr>
          <w:rFonts w:ascii="Times New Roman" w:hAnsi="Times New Roman" w:cs="Times New Roman" w:hint="eastAsia"/>
        </w:rPr>
        <w:t>公有资本融资优势是市场导向结果</w:t>
      </w:r>
      <w:r w:rsidR="00952509">
        <w:rPr>
          <w:rFonts w:ascii="Times New Roman" w:hAnsi="Times New Roman" w:cs="Times New Roman" w:hint="eastAsia"/>
        </w:rPr>
        <w:t>，</w:t>
      </w:r>
      <w:r w:rsidR="00A3222E" w:rsidRPr="00C3146C">
        <w:rPr>
          <w:rFonts w:ascii="Times New Roman" w:hAnsi="Times New Roman" w:cs="Times New Roman" w:hint="eastAsia"/>
        </w:rPr>
        <w:t>不是强权交易</w:t>
      </w:r>
      <w:r w:rsidR="00952509">
        <w:rPr>
          <w:rFonts w:ascii="Times New Roman" w:hAnsi="Times New Roman" w:cs="Times New Roman" w:hint="eastAsia"/>
        </w:rPr>
        <w:t>。</w:t>
      </w:r>
    </w:p>
    <w:p w14:paraId="098A1EE0" w14:textId="13654DA7" w:rsidR="00E32BBA" w:rsidRPr="00C3146C" w:rsidRDefault="00A3222E"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打破了基于对公有资本偏见编织的</w:t>
      </w:r>
      <w:r w:rsidR="00F2468D" w:rsidRPr="00C3146C">
        <w:rPr>
          <w:rFonts w:ascii="Times New Roman" w:hAnsi="Times New Roman" w:cs="Times New Roman" w:hint="eastAsia"/>
        </w:rPr>
        <w:t>市场</w:t>
      </w:r>
      <w:r w:rsidRPr="00C3146C">
        <w:rPr>
          <w:rFonts w:ascii="Times New Roman" w:hAnsi="Times New Roman" w:cs="Times New Roman" w:hint="eastAsia"/>
        </w:rPr>
        <w:t>神权理论，中国公有资本</w:t>
      </w:r>
      <w:r w:rsidRPr="00C3146C">
        <w:rPr>
          <w:rFonts w:ascii="Times New Roman" w:hAnsi="Times New Roman" w:cs="Times New Roman" w:hint="eastAsia"/>
        </w:rPr>
        <w:t>ESG</w:t>
      </w:r>
      <w:r w:rsidRPr="00C3146C">
        <w:rPr>
          <w:rFonts w:ascii="Times New Roman" w:hAnsi="Times New Roman" w:cs="Times New Roman" w:hint="eastAsia"/>
        </w:rPr>
        <w:t>理念的探索就多了一种选择，公司利润也将重回表内。</w:t>
      </w:r>
    </w:p>
    <w:p w14:paraId="4AE0FC15" w14:textId="77777777" w:rsidR="00A3222E" w:rsidRPr="00C3146C" w:rsidRDefault="00A3222E" w:rsidP="0012509A">
      <w:pPr>
        <w:spacing w:line="360" w:lineRule="auto"/>
        <w:ind w:firstLineChars="200" w:firstLine="480"/>
        <w:rPr>
          <w:rFonts w:ascii="Times New Roman" w:hAnsi="Times New Roman" w:cs="Times New Roman"/>
        </w:rPr>
      </w:pPr>
    </w:p>
    <w:p w14:paraId="2F6F8D18" w14:textId="40FF2736" w:rsidR="00E32BBA" w:rsidRPr="00C3146C" w:rsidRDefault="00E32BBA" w:rsidP="0012509A">
      <w:pPr>
        <w:spacing w:line="360" w:lineRule="auto"/>
        <w:ind w:firstLineChars="200" w:firstLine="489"/>
        <w:rPr>
          <w:rFonts w:ascii="Times New Roman" w:hAnsi="Times New Roman" w:cs="Times New Roman"/>
          <w:b/>
          <w:bCs/>
        </w:rPr>
      </w:pPr>
      <w:r w:rsidRPr="00C3146C">
        <w:rPr>
          <w:rFonts w:ascii="Times New Roman" w:hAnsi="Times New Roman" w:cs="Times New Roman" w:hint="eastAsia"/>
          <w:b/>
          <w:bCs/>
        </w:rPr>
        <w:t>第四个问题：</w:t>
      </w:r>
      <w:r w:rsidR="00DB1EEA" w:rsidRPr="00C3146C">
        <w:rPr>
          <w:rFonts w:ascii="Times New Roman" w:hAnsi="Times New Roman" w:cs="Times New Roman" w:hint="eastAsia"/>
          <w:b/>
          <w:bCs/>
        </w:rPr>
        <w:t>我们需要什么样的</w:t>
      </w:r>
      <w:r w:rsidR="0024657D" w:rsidRPr="00C3146C">
        <w:rPr>
          <w:rFonts w:ascii="Times New Roman" w:hAnsi="Times New Roman" w:cs="Times New Roman" w:hint="eastAsia"/>
          <w:b/>
          <w:bCs/>
        </w:rPr>
        <w:t>金融</w:t>
      </w:r>
      <w:r w:rsidR="00DB1EEA" w:rsidRPr="00C3146C">
        <w:rPr>
          <w:rFonts w:ascii="Times New Roman" w:hAnsi="Times New Roman" w:cs="Times New Roman" w:hint="eastAsia"/>
          <w:b/>
          <w:bCs/>
        </w:rPr>
        <w:t>体系</w:t>
      </w:r>
      <w:r w:rsidRPr="00C3146C">
        <w:rPr>
          <w:rFonts w:ascii="Times New Roman" w:hAnsi="Times New Roman" w:cs="Times New Roman" w:hint="eastAsia"/>
          <w:b/>
          <w:bCs/>
        </w:rPr>
        <w:t>？</w:t>
      </w:r>
    </w:p>
    <w:p w14:paraId="42653A69" w14:textId="60DD8110" w:rsidR="00D82869" w:rsidRPr="00C3146C" w:rsidRDefault="00B33D94"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在政府债务永续债化的全球背景下，我们应该探索什么样的</w:t>
      </w:r>
      <w:r w:rsidR="004906C4" w:rsidRPr="00C3146C">
        <w:rPr>
          <w:rFonts w:ascii="Times New Roman" w:hAnsi="Times New Roman" w:cs="Times New Roman" w:hint="eastAsia"/>
        </w:rPr>
        <w:t>金融</w:t>
      </w:r>
      <w:r w:rsidRPr="00C3146C">
        <w:rPr>
          <w:rFonts w:ascii="Times New Roman" w:hAnsi="Times New Roman" w:cs="Times New Roman" w:hint="eastAsia"/>
        </w:rPr>
        <w:t>体系，这是一个新课题。</w:t>
      </w:r>
      <w:r w:rsidR="00F9754B" w:rsidRPr="00C3146C">
        <w:rPr>
          <w:rFonts w:ascii="Times New Roman" w:hAnsi="Times New Roman" w:cs="Times New Roman" w:hint="eastAsia"/>
        </w:rPr>
        <w:t>在现有金融体系中，</w:t>
      </w:r>
      <w:r w:rsidR="00E0707D" w:rsidRPr="00C3146C">
        <w:rPr>
          <w:rFonts w:ascii="Times New Roman" w:hAnsi="Times New Roman" w:cs="Times New Roman" w:hint="eastAsia"/>
        </w:rPr>
        <w:t>传统的债务工具以发行人还本付息为基本前提，但全球绝大多数国家的主权债务规模早已突破还本的可能区间，现有的运作方法不过是借新还旧。这种运作方法潜藏着主权债务危机的巨大风险，一旦风险爆发，主权国家再难通过借新还旧维系财政收支</w:t>
      </w:r>
      <w:r w:rsidR="00952509">
        <w:rPr>
          <w:rFonts w:ascii="Times New Roman" w:hAnsi="Times New Roman" w:cs="Times New Roman" w:hint="eastAsia"/>
        </w:rPr>
        <w:t>，</w:t>
      </w:r>
      <w:r w:rsidR="00E0707D" w:rsidRPr="00C3146C">
        <w:rPr>
          <w:rFonts w:ascii="Times New Roman" w:hAnsi="Times New Roman" w:cs="Times New Roman" w:hint="eastAsia"/>
        </w:rPr>
        <w:t>国家随时面临着被</w:t>
      </w:r>
      <w:r w:rsidR="003C5A1E">
        <w:rPr>
          <w:rFonts w:ascii="Times New Roman" w:hAnsi="Times New Roman" w:cs="Times New Roman" w:hint="eastAsia"/>
        </w:rPr>
        <w:t>国际</w:t>
      </w:r>
      <w:r w:rsidR="00814690">
        <w:rPr>
          <w:rFonts w:ascii="Times New Roman" w:hAnsi="Times New Roman" w:cs="Times New Roman" w:hint="eastAsia"/>
        </w:rPr>
        <w:t>资本</w:t>
      </w:r>
      <w:r w:rsidR="00E0707D" w:rsidRPr="00C3146C">
        <w:rPr>
          <w:rFonts w:ascii="Times New Roman" w:hAnsi="Times New Roman" w:cs="Times New Roman" w:hint="eastAsia"/>
        </w:rPr>
        <w:t>吞噬的危险，希腊即是一例。</w:t>
      </w:r>
    </w:p>
    <w:p w14:paraId="444360B7" w14:textId="4432D3EA" w:rsidR="00F9754B" w:rsidRPr="00C3146C" w:rsidRDefault="00E0707D" w:rsidP="00E0707D">
      <w:pPr>
        <w:spacing w:line="360" w:lineRule="auto"/>
        <w:ind w:firstLineChars="200" w:firstLine="480"/>
        <w:rPr>
          <w:rFonts w:ascii="Times New Roman" w:hAnsi="Times New Roman" w:cs="Times New Roman"/>
        </w:rPr>
      </w:pPr>
      <w:r w:rsidRPr="00C3146C">
        <w:rPr>
          <w:rFonts w:ascii="Times New Roman" w:hAnsi="Times New Roman" w:cs="Times New Roman" w:hint="eastAsia"/>
        </w:rPr>
        <w:t>与其通过借新还旧维系债务续期，不如在政府债务分级的基础上，发行真正意义上的永续债工具。政府债务分级是一个系统工程，</w:t>
      </w:r>
      <w:r w:rsidR="002902CD">
        <w:rPr>
          <w:rFonts w:ascii="Times New Roman" w:hAnsi="Times New Roman" w:cs="Times New Roman" w:hint="eastAsia"/>
        </w:rPr>
        <w:t>在现有的理论框架下，</w:t>
      </w:r>
      <w:r w:rsidR="002902CD" w:rsidRPr="00190F89">
        <w:rPr>
          <w:rFonts w:ascii="Times New Roman" w:hAnsi="Times New Roman" w:cs="Times New Roman" w:hint="eastAsia"/>
        </w:rPr>
        <w:t>短期内给出成熟的框架性建议充满挑战，</w:t>
      </w:r>
      <w:r w:rsidRPr="00C3146C">
        <w:rPr>
          <w:rFonts w:ascii="Times New Roman" w:hAnsi="Times New Roman" w:cs="Times New Roman" w:hint="eastAsia"/>
        </w:rPr>
        <w:t>但在局部债务领域探索创新</w:t>
      </w:r>
      <w:r w:rsidR="002902CD">
        <w:rPr>
          <w:rFonts w:ascii="Times New Roman" w:hAnsi="Times New Roman" w:cs="Times New Roman" w:hint="eastAsia"/>
        </w:rPr>
        <w:t>有</w:t>
      </w:r>
      <w:r w:rsidR="00AD1929">
        <w:rPr>
          <w:rFonts w:ascii="Times New Roman" w:hAnsi="Times New Roman" w:cs="Times New Roman" w:hint="eastAsia"/>
        </w:rPr>
        <w:t>丰富的</w:t>
      </w:r>
      <w:r w:rsidR="002902CD">
        <w:rPr>
          <w:rFonts w:ascii="Times New Roman" w:hAnsi="Times New Roman" w:cs="Times New Roman" w:hint="eastAsia"/>
        </w:rPr>
        <w:t>实际操作空间</w:t>
      </w:r>
      <w:r w:rsidR="00C847AE">
        <w:rPr>
          <w:rFonts w:ascii="Times New Roman" w:hAnsi="Times New Roman" w:cs="Times New Roman" w:hint="eastAsia"/>
        </w:rPr>
        <w:t>。</w:t>
      </w:r>
      <w:r w:rsidRPr="00C3146C">
        <w:rPr>
          <w:rFonts w:ascii="Times New Roman" w:hAnsi="Times New Roman" w:cs="Times New Roman" w:hint="eastAsia"/>
        </w:rPr>
        <w:t>随着债务创新的积累、政府债务分级工作自然就成型了。</w:t>
      </w:r>
    </w:p>
    <w:p w14:paraId="261827A1" w14:textId="69F08570" w:rsidR="008B36FE" w:rsidRPr="00190F89" w:rsidRDefault="00E0707D" w:rsidP="00E0707D">
      <w:pPr>
        <w:spacing w:line="360" w:lineRule="auto"/>
        <w:ind w:firstLineChars="200" w:firstLine="480"/>
        <w:rPr>
          <w:rFonts w:ascii="Times New Roman" w:hAnsi="Times New Roman" w:cs="Times New Roman"/>
        </w:rPr>
      </w:pPr>
      <w:r w:rsidRPr="00C3146C">
        <w:rPr>
          <w:rFonts w:ascii="Times New Roman" w:hAnsi="Times New Roman" w:cs="Times New Roman" w:hint="eastAsia"/>
        </w:rPr>
        <w:t>以地方专项债为例</w:t>
      </w:r>
      <w:r w:rsidR="00F9754B" w:rsidRPr="00C3146C">
        <w:rPr>
          <w:rFonts w:ascii="Times New Roman" w:hAnsi="Times New Roman" w:cs="Times New Roman" w:hint="eastAsia"/>
        </w:rPr>
        <w:t>。</w:t>
      </w:r>
      <w:r w:rsidR="00D34F59" w:rsidRPr="00C3146C">
        <w:rPr>
          <w:rFonts w:ascii="Times New Roman" w:hAnsi="Times New Roman" w:cs="Times New Roman" w:hint="eastAsia"/>
        </w:rPr>
        <w:t>2024</w:t>
      </w:r>
      <w:r w:rsidR="00D34F59" w:rsidRPr="00C3146C">
        <w:rPr>
          <w:rFonts w:ascii="Times New Roman" w:hAnsi="Times New Roman" w:cs="Times New Roman" w:hint="eastAsia"/>
        </w:rPr>
        <w:t>年</w:t>
      </w:r>
      <w:r w:rsidR="00D34F59" w:rsidRPr="00C3146C">
        <w:rPr>
          <w:rFonts w:ascii="Times New Roman" w:hAnsi="Times New Roman" w:cs="Times New Roman" w:hint="eastAsia"/>
        </w:rPr>
        <w:t>7</w:t>
      </w:r>
      <w:r w:rsidR="00D34F59" w:rsidRPr="00C3146C">
        <w:rPr>
          <w:rFonts w:ascii="Times New Roman" w:hAnsi="Times New Roman" w:cs="Times New Roman" w:hint="eastAsia"/>
        </w:rPr>
        <w:t>月余额为</w:t>
      </w:r>
      <w:r w:rsidR="00D34F59" w:rsidRPr="00C3146C">
        <w:rPr>
          <w:rFonts w:ascii="Times New Roman" w:hAnsi="Times New Roman" w:cs="Times New Roman" w:hint="eastAsia"/>
        </w:rPr>
        <w:t>26.5</w:t>
      </w:r>
      <w:r w:rsidR="00D34F59" w:rsidRPr="00C3146C">
        <w:rPr>
          <w:rFonts w:ascii="Times New Roman" w:hAnsi="Times New Roman" w:cs="Times New Roman" w:hint="eastAsia"/>
        </w:rPr>
        <w:t>万亿元，是地方政府的主要债种之一，这些债务工具募集的资金定向投资于城市基础设施、农林水务、交通运输和保障性住房支出，除保障性住房会有部分收入外，其他三项绝大多数不会有直接的现金回流，只能以财政资金和土地出让金等</w:t>
      </w:r>
      <w:r w:rsidR="0052154B">
        <w:rPr>
          <w:rFonts w:ascii="Times New Roman" w:hAnsi="Times New Roman" w:cs="Times New Roman" w:hint="eastAsia"/>
        </w:rPr>
        <w:t>基金</w:t>
      </w:r>
      <w:r w:rsidR="00D34F59" w:rsidRPr="00C3146C">
        <w:rPr>
          <w:rFonts w:ascii="Times New Roman" w:hAnsi="Times New Roman" w:cs="Times New Roman" w:hint="eastAsia"/>
        </w:rPr>
        <w:t>性收入作为还款来源。上述四项是随着城镇化进程发展而持续增长的滚动性债务，如果以现有借新还旧体系维系，政府</w:t>
      </w:r>
      <w:r w:rsidR="00952509">
        <w:rPr>
          <w:rFonts w:ascii="Times New Roman" w:hAnsi="Times New Roman" w:cs="Times New Roman" w:hint="eastAsia"/>
        </w:rPr>
        <w:t>债务</w:t>
      </w:r>
      <w:r w:rsidR="00D34F59" w:rsidRPr="00C3146C">
        <w:rPr>
          <w:rFonts w:ascii="Times New Roman" w:hAnsi="Times New Roman" w:cs="Times New Roman" w:hint="eastAsia"/>
        </w:rPr>
        <w:t>利息</w:t>
      </w:r>
      <w:r w:rsidR="00167E5B">
        <w:rPr>
          <w:rFonts w:ascii="Times New Roman" w:hAnsi="Times New Roman" w:cs="Times New Roman" w:hint="eastAsia"/>
        </w:rPr>
        <w:t>本金</w:t>
      </w:r>
      <w:r w:rsidR="00D34F59" w:rsidRPr="00C3146C">
        <w:rPr>
          <w:rFonts w:ascii="Times New Roman" w:hAnsi="Times New Roman" w:cs="Times New Roman" w:hint="eastAsia"/>
        </w:rPr>
        <w:t>化的增长终会吞噬</w:t>
      </w:r>
      <w:r w:rsidR="00C847AE">
        <w:rPr>
          <w:rFonts w:ascii="Times New Roman" w:hAnsi="Times New Roman" w:cs="Times New Roman" w:hint="eastAsia"/>
        </w:rPr>
        <w:t>大部分</w:t>
      </w:r>
      <w:r w:rsidR="00D34F59" w:rsidRPr="00C3146C">
        <w:rPr>
          <w:rFonts w:ascii="Times New Roman" w:hAnsi="Times New Roman" w:cs="Times New Roman" w:hint="eastAsia"/>
        </w:rPr>
        <w:t>财政收入，挤占用于提供一般公共服务的支出规模。与其通过借新还旧阶段性地转换债务期限，不如</w:t>
      </w:r>
      <w:r w:rsidR="00F9754B" w:rsidRPr="00C3146C">
        <w:rPr>
          <w:rFonts w:ascii="Times New Roman" w:hAnsi="Times New Roman" w:cs="Times New Roman" w:hint="eastAsia"/>
        </w:rPr>
        <w:t>以上述四类支出为标的</w:t>
      </w:r>
      <w:r w:rsidR="00D34F59" w:rsidRPr="00C3146C">
        <w:rPr>
          <w:rFonts w:ascii="Times New Roman" w:hAnsi="Times New Roman" w:cs="Times New Roman" w:hint="eastAsia"/>
        </w:rPr>
        <w:t>发行无固定期限的永续债工具</w:t>
      </w:r>
      <w:r w:rsidR="00952509">
        <w:rPr>
          <w:rFonts w:ascii="Times New Roman" w:hAnsi="Times New Roman" w:cs="Times New Roman" w:hint="eastAsia"/>
        </w:rPr>
        <w:t>，</w:t>
      </w:r>
      <w:r w:rsidR="00097CAB" w:rsidRPr="00C3146C">
        <w:rPr>
          <w:rFonts w:ascii="Times New Roman" w:hAnsi="Times New Roman" w:cs="Times New Roman" w:hint="eastAsia"/>
        </w:rPr>
        <w:t>政府仅定期支付利息</w:t>
      </w:r>
      <w:r w:rsidR="00D34F59" w:rsidRPr="00C3146C">
        <w:rPr>
          <w:rFonts w:ascii="Times New Roman" w:hAnsi="Times New Roman" w:cs="Times New Roman" w:hint="eastAsia"/>
        </w:rPr>
        <w:t>，</w:t>
      </w:r>
      <w:r w:rsidR="008B36FE" w:rsidRPr="00C3146C">
        <w:rPr>
          <w:rFonts w:ascii="Times New Roman" w:hAnsi="Times New Roman" w:cs="Times New Roman" w:hint="eastAsia"/>
        </w:rPr>
        <w:t>从根本上</w:t>
      </w:r>
      <w:r w:rsidR="00D34F59" w:rsidRPr="00C3146C">
        <w:rPr>
          <w:rFonts w:ascii="Times New Roman" w:hAnsi="Times New Roman" w:cs="Times New Roman" w:hint="eastAsia"/>
        </w:rPr>
        <w:t>解除政府第二类债务持续膨胀的</w:t>
      </w:r>
      <w:r w:rsidR="008B36FE" w:rsidRPr="00C3146C">
        <w:rPr>
          <w:rFonts w:ascii="Times New Roman" w:hAnsi="Times New Roman" w:cs="Times New Roman" w:hint="eastAsia"/>
        </w:rPr>
        <w:t>风险。至于永续债工具发行主体，须以中央本级财政单位作为发行人，向地方政府实施定向转移支付，同时成立社会化的永续债工具监督管理体系，督促地方政府公开、透明地使用募集资金，如永续债使用单位定期向监督管理单位提交资金使用进度及投资标的</w:t>
      </w:r>
      <w:r w:rsidR="008B36FE" w:rsidRPr="00C3146C">
        <w:rPr>
          <w:rFonts w:ascii="Times New Roman" w:hAnsi="Times New Roman" w:cs="Times New Roman" w:hint="eastAsia"/>
        </w:rPr>
        <w:lastRenderedPageBreak/>
        <w:t>运营维护情况、后由监督管理单位公开发布。</w:t>
      </w:r>
      <w:r w:rsidR="00482C5E" w:rsidRPr="00C3146C">
        <w:rPr>
          <w:rFonts w:ascii="Times New Roman" w:hAnsi="Times New Roman" w:cs="Times New Roman" w:hint="eastAsia"/>
        </w:rPr>
        <w:t>发行永续债工具须另附一个基本前提，</w:t>
      </w:r>
      <w:r w:rsidR="0052154B">
        <w:rPr>
          <w:rFonts w:ascii="Times New Roman" w:hAnsi="Times New Roman" w:cs="Times New Roman" w:hint="eastAsia"/>
        </w:rPr>
        <w:t>利息</w:t>
      </w:r>
      <w:r w:rsidR="00482C5E" w:rsidRPr="00C3146C">
        <w:rPr>
          <w:rFonts w:ascii="Times New Roman" w:hAnsi="Times New Roman" w:cs="Times New Roman" w:hint="eastAsia"/>
        </w:rPr>
        <w:t>不允许以</w:t>
      </w:r>
      <w:r w:rsidR="00482C5E" w:rsidRPr="00190F89">
        <w:rPr>
          <w:rFonts w:ascii="Times New Roman" w:hAnsi="Times New Roman" w:cs="Times New Roman" w:hint="eastAsia"/>
        </w:rPr>
        <w:t>再融资的方式偿还，</w:t>
      </w:r>
      <w:r w:rsidR="00C847AE" w:rsidRPr="00190F89">
        <w:rPr>
          <w:rFonts w:ascii="Times New Roman" w:hAnsi="Times New Roman" w:cs="Times New Roman" w:hint="eastAsia"/>
        </w:rPr>
        <w:t>倒逼</w:t>
      </w:r>
      <w:r w:rsidR="00482C5E" w:rsidRPr="00190F89">
        <w:rPr>
          <w:rFonts w:ascii="Times New Roman" w:hAnsi="Times New Roman" w:cs="Times New Roman" w:hint="eastAsia"/>
        </w:rPr>
        <w:t>政府财政收支体系改革。</w:t>
      </w:r>
    </w:p>
    <w:p w14:paraId="068BF89F" w14:textId="7DBBE77A" w:rsidR="00985260" w:rsidRPr="00C3146C" w:rsidRDefault="00D34F59" w:rsidP="00E0707D">
      <w:pPr>
        <w:spacing w:line="360" w:lineRule="auto"/>
        <w:ind w:firstLineChars="200" w:firstLine="480"/>
        <w:rPr>
          <w:rFonts w:ascii="Times New Roman" w:hAnsi="Times New Roman" w:cs="Times New Roman"/>
        </w:rPr>
      </w:pPr>
      <w:r w:rsidRPr="00190F89">
        <w:rPr>
          <w:rFonts w:ascii="Times New Roman" w:hAnsi="Times New Roman" w:cs="Times New Roman" w:hint="eastAsia"/>
        </w:rPr>
        <w:t>通过提高永续债工具</w:t>
      </w:r>
      <w:r w:rsidR="00190F89" w:rsidRPr="00190F89">
        <w:rPr>
          <w:rFonts w:ascii="Times New Roman" w:hAnsi="Times New Roman" w:cs="Times New Roman" w:hint="eastAsia"/>
        </w:rPr>
        <w:t>的</w:t>
      </w:r>
      <w:r w:rsidRPr="00190F89">
        <w:rPr>
          <w:rFonts w:ascii="Times New Roman" w:hAnsi="Times New Roman" w:cs="Times New Roman" w:hint="eastAsia"/>
        </w:rPr>
        <w:t>票面利率、</w:t>
      </w:r>
      <w:r w:rsidR="00097CAB" w:rsidRPr="00190F89">
        <w:rPr>
          <w:rFonts w:ascii="Times New Roman" w:hAnsi="Times New Roman" w:cs="Times New Roman" w:hint="eastAsia"/>
        </w:rPr>
        <w:t>健全政府永续债工具</w:t>
      </w:r>
      <w:r w:rsidR="00190F89" w:rsidRPr="00190F89">
        <w:rPr>
          <w:rFonts w:ascii="Times New Roman" w:hAnsi="Times New Roman" w:cs="Times New Roman" w:hint="eastAsia"/>
        </w:rPr>
        <w:t>的</w:t>
      </w:r>
      <w:r w:rsidR="00097CAB" w:rsidRPr="00190F89">
        <w:rPr>
          <w:rFonts w:ascii="Times New Roman" w:hAnsi="Times New Roman" w:cs="Times New Roman" w:hint="eastAsia"/>
        </w:rPr>
        <w:t>做市商制度等</w:t>
      </w:r>
      <w:r w:rsidR="00097CAB" w:rsidRPr="00C3146C">
        <w:rPr>
          <w:rFonts w:ascii="Times New Roman" w:hAnsi="Times New Roman" w:cs="Times New Roman" w:hint="eastAsia"/>
        </w:rPr>
        <w:t>举措，提高永续债工具的流动性，使其成为仅次于国债的高等级固定收益工具。</w:t>
      </w:r>
      <w:r w:rsidR="000D5F05" w:rsidRPr="00C3146C">
        <w:rPr>
          <w:rFonts w:ascii="Times New Roman" w:hAnsi="Times New Roman" w:cs="Times New Roman" w:hint="eastAsia"/>
        </w:rPr>
        <w:t>政府永续债工具的发行创新，离不开金融体系的支持。为此，我们需要做出必要的金融体系改革</w:t>
      </w:r>
      <w:r w:rsidR="00350B85" w:rsidRPr="00C3146C">
        <w:rPr>
          <w:rFonts w:ascii="Times New Roman" w:hAnsi="Times New Roman" w:cs="Times New Roman" w:hint="eastAsia"/>
        </w:rPr>
        <w:t>，</w:t>
      </w:r>
      <w:r w:rsidR="00482C5E" w:rsidRPr="00C3146C">
        <w:rPr>
          <w:rFonts w:ascii="Times New Roman" w:hAnsi="Times New Roman" w:cs="Times New Roman" w:hint="eastAsia"/>
        </w:rPr>
        <w:t>通盘考虑债务工具和权益类工具的结构性目标，以国家规划引导社会资金流动，而不是</w:t>
      </w:r>
      <w:r w:rsidR="0019290E" w:rsidRPr="00C3146C">
        <w:rPr>
          <w:rFonts w:ascii="Times New Roman" w:hAnsi="Times New Roman" w:cs="Times New Roman" w:hint="eastAsia"/>
        </w:rPr>
        <w:t>放任</w:t>
      </w:r>
      <w:r w:rsidR="00482C5E" w:rsidRPr="00C3146C">
        <w:rPr>
          <w:rFonts w:ascii="Times New Roman" w:hAnsi="Times New Roman" w:cs="Times New Roman" w:hint="eastAsia"/>
        </w:rPr>
        <w:t>市场自由决策。</w:t>
      </w:r>
    </w:p>
    <w:p w14:paraId="520A3A22" w14:textId="0D2D4AEC" w:rsidR="00A4463A" w:rsidRDefault="00C34610" w:rsidP="00E0707D">
      <w:pPr>
        <w:spacing w:line="360" w:lineRule="auto"/>
        <w:ind w:firstLineChars="200" w:firstLine="480"/>
        <w:rPr>
          <w:rFonts w:ascii="Times New Roman" w:hAnsi="Times New Roman" w:cs="Times New Roman"/>
        </w:rPr>
      </w:pPr>
      <w:r w:rsidRPr="00C3146C">
        <w:rPr>
          <w:rFonts w:ascii="Times New Roman" w:hAnsi="Times New Roman" w:cs="Times New Roman" w:hint="eastAsia"/>
        </w:rPr>
        <w:t>以股票市场为例</w:t>
      </w:r>
      <w:r w:rsidR="00985260" w:rsidRPr="00C3146C">
        <w:rPr>
          <w:rFonts w:ascii="Times New Roman" w:hAnsi="Times New Roman" w:cs="Times New Roman" w:hint="eastAsia"/>
        </w:rPr>
        <w:t>。</w:t>
      </w:r>
      <w:r w:rsidRPr="00C3146C">
        <w:rPr>
          <w:rFonts w:ascii="Times New Roman" w:hAnsi="Times New Roman" w:cs="Times New Roman" w:hint="eastAsia"/>
        </w:rPr>
        <w:t>一级市场的初衷</w:t>
      </w:r>
      <w:r w:rsidR="00985260" w:rsidRPr="00C3146C">
        <w:rPr>
          <w:rFonts w:ascii="Times New Roman" w:hAnsi="Times New Roman" w:cs="Times New Roman" w:hint="eastAsia"/>
        </w:rPr>
        <w:t>是</w:t>
      </w:r>
      <w:r w:rsidRPr="00C3146C">
        <w:rPr>
          <w:rFonts w:ascii="Times New Roman" w:hAnsi="Times New Roman" w:cs="Times New Roman" w:hint="eastAsia"/>
        </w:rPr>
        <w:t>为企业扩产提供便利化的融资工具</w:t>
      </w:r>
      <w:r w:rsidR="00952509">
        <w:rPr>
          <w:rFonts w:ascii="Times New Roman" w:hAnsi="Times New Roman" w:cs="Times New Roman" w:hint="eastAsia"/>
        </w:rPr>
        <w:t>，</w:t>
      </w:r>
      <w:r w:rsidR="00985260" w:rsidRPr="00C3146C">
        <w:rPr>
          <w:rFonts w:ascii="Times New Roman" w:hAnsi="Times New Roman" w:cs="Times New Roman" w:hint="eastAsia"/>
        </w:rPr>
        <w:t>而不是为大股东套现提供专项服务。</w:t>
      </w:r>
      <w:r w:rsidR="00985260" w:rsidRPr="00190F89">
        <w:rPr>
          <w:rFonts w:ascii="Times New Roman" w:hAnsi="Times New Roman" w:cs="Times New Roman" w:hint="eastAsia"/>
        </w:rPr>
        <w:t>考虑到中国企业股权的集中程度，大多数企业原始股东会在</w:t>
      </w:r>
      <w:r w:rsidR="00985260" w:rsidRPr="00190F89">
        <w:rPr>
          <w:rFonts w:ascii="Times New Roman" w:hAnsi="Times New Roman" w:cs="Times New Roman"/>
        </w:rPr>
        <w:t>IPO</w:t>
      </w:r>
      <w:r w:rsidR="00985260" w:rsidRPr="00190F89">
        <w:rPr>
          <w:rFonts w:ascii="Times New Roman" w:hAnsi="Times New Roman" w:cs="Times New Roman" w:hint="eastAsia"/>
        </w:rPr>
        <w:t>后减持套现，增加二级股票市场流通股本，使股票市场最终变成</w:t>
      </w:r>
      <w:r w:rsidR="00F00A76" w:rsidRPr="00190F89">
        <w:rPr>
          <w:rFonts w:ascii="Times New Roman" w:hAnsi="Times New Roman" w:cs="Times New Roman" w:hint="eastAsia"/>
        </w:rPr>
        <w:t>原始</w:t>
      </w:r>
      <w:r w:rsidR="00985260" w:rsidRPr="00190F89">
        <w:rPr>
          <w:rFonts w:ascii="Times New Roman" w:hAnsi="Times New Roman" w:cs="Times New Roman" w:hint="eastAsia"/>
        </w:rPr>
        <w:t>股东套现的专项服务工具。</w:t>
      </w:r>
      <w:r w:rsidR="00E96ACD" w:rsidRPr="00C3146C">
        <w:rPr>
          <w:rFonts w:ascii="Times New Roman" w:hAnsi="Times New Roman" w:cs="Times New Roman" w:hint="eastAsia"/>
        </w:rPr>
        <w:t>股票二级市场的本质是财富再分配，而不是创造新增财富，从美国股票市场的发展趋势看，富人通过二级市场获利的能力远超中低收入群体，形成再分配环节的两极分化。</w:t>
      </w:r>
      <w:r w:rsidR="002D69F2" w:rsidRPr="00C3146C">
        <w:rPr>
          <w:rFonts w:ascii="Times New Roman" w:hAnsi="Times New Roman" w:cs="Times New Roman" w:hint="eastAsia"/>
        </w:rPr>
        <w:t>如果一味地扩大</w:t>
      </w:r>
      <w:r w:rsidR="002D69F2" w:rsidRPr="00C3146C">
        <w:rPr>
          <w:rFonts w:ascii="Times New Roman" w:hAnsi="Times New Roman" w:cs="Times New Roman" w:hint="eastAsia"/>
        </w:rPr>
        <w:t>IPO</w:t>
      </w:r>
      <w:r w:rsidR="002D69F2" w:rsidRPr="00C3146C">
        <w:rPr>
          <w:rFonts w:ascii="Times New Roman" w:hAnsi="Times New Roman" w:cs="Times New Roman" w:hint="eastAsia"/>
        </w:rPr>
        <w:t>规模，其结果必然是再分配的恶化，这与共同富裕的社会主义目标背道而驰。</w:t>
      </w:r>
      <w:r w:rsidR="00A4463A" w:rsidRPr="00C3146C">
        <w:rPr>
          <w:rFonts w:ascii="Times New Roman" w:hAnsi="Times New Roman" w:cs="Times New Roman" w:hint="eastAsia"/>
        </w:rPr>
        <w:t>此外，股票市场规模的快速扩张</w:t>
      </w:r>
      <w:r w:rsidR="008E0565">
        <w:rPr>
          <w:rFonts w:ascii="Times New Roman" w:hAnsi="Times New Roman" w:cs="Times New Roman" w:hint="eastAsia"/>
        </w:rPr>
        <w:t>，</w:t>
      </w:r>
      <w:r w:rsidR="00A4463A" w:rsidRPr="00C3146C">
        <w:rPr>
          <w:rFonts w:ascii="Times New Roman" w:hAnsi="Times New Roman" w:cs="Times New Roman" w:hint="eastAsia"/>
        </w:rPr>
        <w:t>意味着一旦遭遇重大经济波动，国家还需承担托底金融资产价格的社会预期，这会形成一种国家保护金融资产价格的公众预期，加速国家经济的金融化趋势。</w:t>
      </w:r>
    </w:p>
    <w:p w14:paraId="19783AE1" w14:textId="57892A34" w:rsidR="009872DD" w:rsidRDefault="001030E8" w:rsidP="0012509A">
      <w:pPr>
        <w:spacing w:line="360" w:lineRule="auto"/>
        <w:ind w:firstLineChars="200" w:firstLine="480"/>
        <w:rPr>
          <w:rFonts w:ascii="Times New Roman" w:hAnsi="Times New Roman" w:cs="Times New Roman"/>
        </w:rPr>
      </w:pPr>
      <w:r w:rsidRPr="00C3146C">
        <w:rPr>
          <w:rFonts w:ascii="Times New Roman" w:hAnsi="Times New Roman" w:cs="Times New Roman" w:hint="eastAsia"/>
        </w:rPr>
        <w:t>本文不是一种总结性</w:t>
      </w:r>
      <w:r w:rsidR="006F2302" w:rsidRPr="00C3146C">
        <w:rPr>
          <w:rFonts w:ascii="Times New Roman" w:hAnsi="Times New Roman" w:cs="Times New Roman" w:hint="eastAsia"/>
        </w:rPr>
        <w:t>陈述</w:t>
      </w:r>
      <w:r w:rsidRPr="00C3146C">
        <w:rPr>
          <w:rFonts w:ascii="Times New Roman" w:hAnsi="Times New Roman" w:cs="Times New Roman" w:hint="eastAsia"/>
        </w:rPr>
        <w:t>，正相反，它是一系列研究的开端。</w:t>
      </w:r>
    </w:p>
    <w:p w14:paraId="4424F710" w14:textId="59270969" w:rsidR="003E2133" w:rsidRDefault="003E2133" w:rsidP="0012509A">
      <w:pPr>
        <w:spacing w:line="360" w:lineRule="auto"/>
        <w:ind w:firstLineChars="200" w:firstLine="480"/>
        <w:rPr>
          <w:rFonts w:ascii="Times New Roman" w:hAnsi="Times New Roman" w:cs="Times New Roman"/>
        </w:rPr>
      </w:pPr>
    </w:p>
    <w:p w14:paraId="3E452175" w14:textId="20740A1C" w:rsidR="003E2133" w:rsidRPr="00BE517C" w:rsidRDefault="003E2133">
      <w:pPr>
        <w:spacing w:line="360" w:lineRule="auto"/>
        <w:jc w:val="center"/>
        <w:rPr>
          <w:rFonts w:ascii="仿宋" w:eastAsia="仿宋" w:hAnsi="仿宋" w:cs="Times New Roman"/>
          <w:i/>
        </w:rPr>
      </w:pPr>
      <w:r w:rsidRPr="00BE517C">
        <w:rPr>
          <w:rFonts w:ascii="仿宋" w:eastAsia="仿宋" w:hAnsi="仿宋" w:cs="Times New Roman" w:hint="eastAsia"/>
          <w:i/>
        </w:rPr>
        <w:t>第一作者系复旦大学中国研究院助理研究员</w:t>
      </w:r>
    </w:p>
    <w:p w14:paraId="49A0F0DD" w14:textId="42B99F1D" w:rsidR="003E2133" w:rsidRPr="00C3146C" w:rsidRDefault="003E2133" w:rsidP="00BE517C">
      <w:pPr>
        <w:spacing w:line="360" w:lineRule="auto"/>
        <w:jc w:val="center"/>
        <w:rPr>
          <w:rFonts w:ascii="Times New Roman" w:hAnsi="Times New Roman" w:cs="Times New Roman"/>
        </w:rPr>
      </w:pPr>
      <w:r w:rsidRPr="00BE517C">
        <w:rPr>
          <w:rFonts w:ascii="仿宋" w:eastAsia="仿宋" w:hAnsi="仿宋" w:cs="Times New Roman" w:hint="eastAsia"/>
          <w:i/>
        </w:rPr>
        <w:t>第二作者系中国商用飞机有限责任公司预算高级主管</w:t>
      </w:r>
    </w:p>
    <w:sectPr w:rsidR="003E2133" w:rsidRPr="00C3146C" w:rsidSect="00252595">
      <w:footerReference w:type="default" r:id="rId20"/>
      <w:footnotePr>
        <w:numFmt w:val="decimalEnclosedCircleChinese"/>
        <w:numRestart w:val="eachPage"/>
      </w:foot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71FBC" w14:textId="77777777" w:rsidR="00BC17AA" w:rsidRDefault="00BC17AA" w:rsidP="001E4D09">
      <w:r>
        <w:separator/>
      </w:r>
    </w:p>
  </w:endnote>
  <w:endnote w:type="continuationSeparator" w:id="0">
    <w:p w14:paraId="0C140DA1" w14:textId="77777777" w:rsidR="00BC17AA" w:rsidRDefault="00BC17AA" w:rsidP="001E4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9"/>
      </w:rPr>
      <w:id w:val="1722249409"/>
      <w:docPartObj>
        <w:docPartGallery w:val="Page Numbers (Bottom of Page)"/>
        <w:docPartUnique/>
      </w:docPartObj>
    </w:sdtPr>
    <w:sdtContent>
      <w:p w14:paraId="4428A9C5" w14:textId="77777777" w:rsidR="00E02A5D" w:rsidRDefault="00E02A5D" w:rsidP="00E02A5D">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14:paraId="6705C24E" w14:textId="77777777" w:rsidR="00E02A5D" w:rsidRDefault="00E02A5D" w:rsidP="00134F2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A8BF4" w14:textId="77777777" w:rsidR="00E02A5D" w:rsidRDefault="00E02A5D" w:rsidP="00134F20">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9"/>
        <w:rFonts w:ascii="Times New Roman" w:hAnsi="Times New Roman" w:cs="Times New Roman"/>
      </w:rPr>
      <w:id w:val="-1850323028"/>
      <w:docPartObj>
        <w:docPartGallery w:val="Page Numbers (Bottom of Page)"/>
        <w:docPartUnique/>
      </w:docPartObj>
    </w:sdtPr>
    <w:sdtContent>
      <w:p w14:paraId="60C2FC46" w14:textId="77777777" w:rsidR="00E02A5D" w:rsidRPr="00134F20" w:rsidRDefault="00E02A5D" w:rsidP="00E02A5D">
        <w:pPr>
          <w:pStyle w:val="a7"/>
          <w:framePr w:wrap="none" w:vAnchor="text" w:hAnchor="margin" w:xAlign="right" w:y="1"/>
          <w:rPr>
            <w:rStyle w:val="a9"/>
            <w:rFonts w:ascii="Times New Roman" w:hAnsi="Times New Roman" w:cs="Times New Roman"/>
          </w:rPr>
        </w:pPr>
        <w:r w:rsidRPr="00134F20">
          <w:rPr>
            <w:rStyle w:val="a9"/>
            <w:rFonts w:ascii="Times New Roman" w:hAnsi="Times New Roman" w:cs="Times New Roman"/>
          </w:rPr>
          <w:fldChar w:fldCharType="begin"/>
        </w:r>
        <w:r w:rsidRPr="00134F20">
          <w:rPr>
            <w:rStyle w:val="a9"/>
            <w:rFonts w:ascii="Times New Roman" w:hAnsi="Times New Roman" w:cs="Times New Roman"/>
          </w:rPr>
          <w:instrText xml:space="preserve"> PAGE </w:instrText>
        </w:r>
        <w:r w:rsidRPr="00134F20">
          <w:rPr>
            <w:rStyle w:val="a9"/>
            <w:rFonts w:ascii="Times New Roman" w:hAnsi="Times New Roman" w:cs="Times New Roman"/>
          </w:rPr>
          <w:fldChar w:fldCharType="separate"/>
        </w:r>
        <w:r w:rsidRPr="00134F20">
          <w:rPr>
            <w:rStyle w:val="a9"/>
            <w:rFonts w:ascii="Times New Roman" w:hAnsi="Times New Roman" w:cs="Times New Roman"/>
            <w:noProof/>
          </w:rPr>
          <w:t>1</w:t>
        </w:r>
        <w:r w:rsidRPr="00134F20">
          <w:rPr>
            <w:rStyle w:val="a9"/>
            <w:rFonts w:ascii="Times New Roman" w:hAnsi="Times New Roman" w:cs="Times New Roman"/>
          </w:rPr>
          <w:fldChar w:fldCharType="end"/>
        </w:r>
      </w:p>
    </w:sdtContent>
  </w:sdt>
  <w:p w14:paraId="335500B7" w14:textId="77777777" w:rsidR="00E02A5D" w:rsidRDefault="00E02A5D" w:rsidP="00134F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04F214" w14:textId="77777777" w:rsidR="00BC17AA" w:rsidRDefault="00BC17AA" w:rsidP="001E4D09">
      <w:r>
        <w:separator/>
      </w:r>
    </w:p>
  </w:footnote>
  <w:footnote w:type="continuationSeparator" w:id="0">
    <w:p w14:paraId="314E0849" w14:textId="77777777" w:rsidR="00BC17AA" w:rsidRDefault="00BC17AA" w:rsidP="001E4D09">
      <w:r>
        <w:continuationSeparator/>
      </w:r>
    </w:p>
  </w:footnote>
  <w:footnote w:id="1">
    <w:p w14:paraId="07BD1BF2" w14:textId="2BBF4989" w:rsidR="00EB643F" w:rsidRPr="002016C5" w:rsidRDefault="00EB643F" w:rsidP="00EB643F">
      <w:pPr>
        <w:pStyle w:val="a3"/>
      </w:pPr>
      <w:r w:rsidRPr="00143BE2">
        <w:rPr>
          <w:rStyle w:val="a5"/>
          <w:rFonts w:ascii="Times New Roman" w:eastAsia="宋体" w:hAnsi="Times New Roman" w:cs="Times New Roman"/>
        </w:rPr>
        <w:footnoteRef/>
      </w:r>
      <w:r w:rsidRPr="00143BE2">
        <w:rPr>
          <w:rFonts w:ascii="Times New Roman" w:eastAsia="宋体" w:hAnsi="Times New Roman" w:cs="Times New Roman"/>
        </w:rPr>
        <w:t xml:space="preserve"> </w:t>
      </w:r>
      <w:r w:rsidRPr="00143BE2">
        <w:rPr>
          <w:rFonts w:ascii="Times New Roman" w:eastAsia="宋体" w:hAnsi="Times New Roman" w:cs="Times New Roman"/>
        </w:rPr>
        <w:t>国民经济核算有三条演化路径，分别是美国经济分析</w:t>
      </w:r>
      <w:r w:rsidRPr="00D22A8F">
        <w:rPr>
          <w:rFonts w:ascii="Times New Roman" w:eastAsia="宋体" w:hAnsi="Times New Roman" w:cs="Times New Roman"/>
        </w:rPr>
        <w:t>局</w:t>
      </w:r>
      <w:r w:rsidRPr="00D22A8F">
        <w:rPr>
          <w:rFonts w:ascii="Times New Roman" w:eastAsia="宋体" w:hAnsi="Times New Roman" w:cs="Times New Roman"/>
        </w:rPr>
        <w:t>(BEA)</w:t>
      </w:r>
      <w:r w:rsidRPr="00D22A8F">
        <w:rPr>
          <w:rFonts w:ascii="Times New Roman" w:eastAsia="宋体" w:hAnsi="Times New Roman" w:cs="Times New Roman"/>
        </w:rPr>
        <w:t>、国际联盟（</w:t>
      </w:r>
      <w:r w:rsidRPr="00D22A8F">
        <w:rPr>
          <w:rFonts w:ascii="Times New Roman" w:eastAsia="宋体" w:hAnsi="Times New Roman" w:cs="Times New Roman"/>
        </w:rPr>
        <w:t>the League of Nations</w:t>
      </w:r>
      <w:r w:rsidRPr="00D22A8F">
        <w:rPr>
          <w:rFonts w:ascii="Times New Roman" w:eastAsia="宋体" w:hAnsi="Times New Roman" w:cs="Times New Roman"/>
        </w:rPr>
        <w:t>，简称</w:t>
      </w:r>
      <w:r w:rsidRPr="00D22A8F">
        <w:rPr>
          <w:rFonts w:ascii="Times New Roman" w:eastAsia="宋体" w:hAnsi="Times New Roman" w:cs="Times New Roman" w:hint="eastAsia"/>
        </w:rPr>
        <w:t>“</w:t>
      </w:r>
      <w:r w:rsidRPr="00D22A8F">
        <w:rPr>
          <w:rFonts w:ascii="Times New Roman" w:eastAsia="宋体" w:hAnsi="Times New Roman" w:cs="Times New Roman"/>
        </w:rPr>
        <w:t>国联</w:t>
      </w:r>
      <w:r w:rsidRPr="00D22A8F">
        <w:rPr>
          <w:rFonts w:ascii="Times New Roman" w:eastAsia="宋体" w:hAnsi="Times New Roman" w:cs="Times New Roman" w:hint="eastAsia"/>
        </w:rPr>
        <w:t>”</w:t>
      </w:r>
      <w:r w:rsidRPr="00D22A8F">
        <w:rPr>
          <w:rFonts w:ascii="Times New Roman" w:eastAsia="宋体" w:hAnsi="Times New Roman" w:cs="Times New Roman"/>
        </w:rPr>
        <w:t>）和俄罗斯苏维埃联邦社会主义共和国，前两者主导的</w:t>
      </w:r>
      <w:r w:rsidRPr="00D22A8F">
        <w:rPr>
          <w:rFonts w:ascii="Times New Roman" w:eastAsia="宋体" w:hAnsi="Times New Roman" w:cs="Times New Roman" w:hint="eastAsia"/>
        </w:rPr>
        <w:t>国民经济账户体系（</w:t>
      </w:r>
      <w:r w:rsidRPr="00D22A8F">
        <w:rPr>
          <w:rFonts w:ascii="Times New Roman" w:eastAsia="宋体" w:hAnsi="Times New Roman" w:cs="Times New Roman"/>
          <w:iCs/>
        </w:rPr>
        <w:t>System of National Accounts</w:t>
      </w:r>
      <w:r w:rsidRPr="00D22A8F">
        <w:rPr>
          <w:rFonts w:ascii="Times New Roman" w:eastAsia="宋体" w:hAnsi="Times New Roman" w:cs="Times New Roman" w:hint="eastAsia"/>
        </w:rPr>
        <w:t>，简称</w:t>
      </w:r>
      <w:r w:rsidRPr="00D22A8F">
        <w:rPr>
          <w:rFonts w:ascii="Times New Roman" w:eastAsia="宋体" w:hAnsi="Times New Roman" w:cs="Times New Roman"/>
        </w:rPr>
        <w:t>SNA</w:t>
      </w:r>
      <w:r w:rsidRPr="00D22A8F">
        <w:rPr>
          <w:rFonts w:ascii="Times New Roman" w:eastAsia="宋体" w:hAnsi="Times New Roman" w:cs="Times New Roman" w:hint="eastAsia"/>
        </w:rPr>
        <w:t>）</w:t>
      </w:r>
      <w:r w:rsidRPr="00D22A8F">
        <w:rPr>
          <w:rFonts w:ascii="Times New Roman" w:eastAsia="宋体" w:hAnsi="Times New Roman" w:cs="Times New Roman"/>
        </w:rPr>
        <w:t>以市场化和货币化为核算的基本前提，后者主导的物质产品平衡表体系</w:t>
      </w:r>
      <w:r w:rsidRPr="00D22A8F">
        <w:rPr>
          <w:rFonts w:ascii="Times New Roman" w:eastAsia="宋体" w:hAnsi="Times New Roman" w:cs="Times New Roman" w:hint="eastAsia"/>
        </w:rPr>
        <w:t>（</w:t>
      </w:r>
      <w:r w:rsidRPr="00D22A8F">
        <w:rPr>
          <w:rFonts w:ascii="Times New Roman" w:eastAsia="宋体" w:hAnsi="Times New Roman" w:cs="Times New Roman"/>
        </w:rPr>
        <w:t>System of Material Product Balance</w:t>
      </w:r>
      <w:r w:rsidRPr="00D22A8F">
        <w:rPr>
          <w:rFonts w:ascii="Times New Roman" w:eastAsia="宋体" w:hAnsi="Times New Roman" w:cs="Times New Roman" w:hint="eastAsia"/>
        </w:rPr>
        <w:t>，简称</w:t>
      </w:r>
      <w:r w:rsidRPr="00D22A8F">
        <w:rPr>
          <w:rFonts w:ascii="Times New Roman" w:eastAsia="宋体" w:hAnsi="Times New Roman" w:cs="Times New Roman"/>
        </w:rPr>
        <w:t>MPS</w:t>
      </w:r>
      <w:r w:rsidRPr="00D22A8F">
        <w:rPr>
          <w:rFonts w:ascii="Times New Roman" w:eastAsia="宋体" w:hAnsi="Times New Roman" w:cs="Times New Roman" w:hint="eastAsia"/>
        </w:rPr>
        <w:t>）</w:t>
      </w:r>
      <w:r w:rsidRPr="00D22A8F">
        <w:rPr>
          <w:rFonts w:ascii="Times New Roman" w:eastAsia="宋体" w:hAnsi="Times New Roman" w:cs="Times New Roman"/>
        </w:rPr>
        <w:t>以国家计划和产品出厂指导价为</w:t>
      </w:r>
      <w:r w:rsidRPr="00D22A8F">
        <w:rPr>
          <w:rFonts w:ascii="Times New Roman" w:eastAsia="宋体" w:hAnsi="Times New Roman" w:cs="Times New Roman" w:hint="eastAsia"/>
        </w:rPr>
        <w:t>核算的</w:t>
      </w:r>
      <w:r w:rsidRPr="00D22A8F">
        <w:rPr>
          <w:rFonts w:ascii="Times New Roman" w:eastAsia="宋体" w:hAnsi="Times New Roman" w:cs="Times New Roman"/>
        </w:rPr>
        <w:t>基本前提。为聚焦美国经济，本文重点展示了美国</w:t>
      </w:r>
      <w:r w:rsidRPr="00D22A8F">
        <w:rPr>
          <w:rFonts w:ascii="Times New Roman" w:eastAsia="宋体" w:hAnsi="Times New Roman" w:cs="Times New Roman"/>
        </w:rPr>
        <w:t>BEA</w:t>
      </w:r>
      <w:r w:rsidRPr="00D22A8F">
        <w:rPr>
          <w:rFonts w:ascii="Times New Roman" w:eastAsia="宋体" w:hAnsi="Times New Roman" w:cs="Times New Roman"/>
        </w:rPr>
        <w:t>主导的</w:t>
      </w:r>
      <w:r w:rsidRPr="00D22A8F">
        <w:rPr>
          <w:rFonts w:ascii="Times New Roman" w:eastAsia="宋体" w:hAnsi="Times New Roman" w:cs="Times New Roman" w:hint="eastAsia"/>
        </w:rPr>
        <w:t>NIPAs</w:t>
      </w:r>
      <w:r w:rsidRPr="00D22A8F">
        <w:rPr>
          <w:rFonts w:ascii="Times New Roman" w:eastAsia="宋体" w:hAnsi="Times New Roman" w:cs="Times New Roman" w:hint="eastAsia"/>
        </w:rPr>
        <w:t>（</w:t>
      </w:r>
      <w:r w:rsidRPr="00D22A8F">
        <w:rPr>
          <w:rFonts w:ascii="Times New Roman" w:eastAsia="宋体" w:hAnsi="Times New Roman" w:cs="Times New Roman"/>
          <w:iCs/>
        </w:rPr>
        <w:t>National Income and Product Accounts</w:t>
      </w:r>
      <w:r w:rsidRPr="00D22A8F">
        <w:rPr>
          <w:rFonts w:ascii="Times New Roman" w:eastAsia="宋体" w:hAnsi="Times New Roman" w:cs="Times New Roman" w:hint="eastAsia"/>
        </w:rPr>
        <w:t>）</w:t>
      </w:r>
      <w:r w:rsidRPr="00D22A8F">
        <w:rPr>
          <w:rFonts w:ascii="Times New Roman" w:eastAsia="宋体" w:hAnsi="Times New Roman" w:cs="Times New Roman"/>
        </w:rPr>
        <w:t>体系</w:t>
      </w:r>
      <w:r w:rsidRPr="00D22A8F">
        <w:rPr>
          <w:rFonts w:ascii="Times New Roman" w:eastAsia="宋体" w:hAnsi="Times New Roman" w:cs="Times New Roman" w:hint="eastAsia"/>
        </w:rPr>
        <w:t>的</w:t>
      </w:r>
      <w:r w:rsidRPr="00D22A8F">
        <w:rPr>
          <w:rFonts w:ascii="Times New Roman" w:eastAsia="宋体" w:hAnsi="Times New Roman" w:cs="Times New Roman"/>
        </w:rPr>
        <w:t>演化进程。</w:t>
      </w:r>
      <w:r w:rsidRPr="00D22A8F">
        <w:rPr>
          <w:rFonts w:ascii="Times New Roman" w:eastAsia="宋体" w:hAnsi="Times New Roman" w:cs="Times New Roman" w:hint="eastAsia"/>
        </w:rPr>
        <w:t>本文以</w:t>
      </w:r>
      <w:r w:rsidRPr="00D22A8F">
        <w:rPr>
          <w:rFonts w:ascii="Times New Roman" w:eastAsia="宋体" w:hAnsi="Times New Roman" w:cs="Times New Roman" w:hint="eastAsia"/>
        </w:rPr>
        <w:t>SNA</w:t>
      </w:r>
      <w:r w:rsidRPr="00D22A8F">
        <w:rPr>
          <w:rFonts w:ascii="Times New Roman" w:eastAsia="宋体" w:hAnsi="Times New Roman" w:cs="Times New Roman" w:hint="eastAsia"/>
        </w:rPr>
        <w:t>统计口径区分表内表外，</w:t>
      </w:r>
      <w:r w:rsidRPr="00D22A8F">
        <w:rPr>
          <w:rFonts w:ascii="Times New Roman" w:eastAsia="宋体" w:hAnsi="Times New Roman" w:cs="Times New Roman" w:hint="eastAsia"/>
        </w:rPr>
        <w:t>SNA</w:t>
      </w:r>
      <w:r w:rsidRPr="00D22A8F">
        <w:rPr>
          <w:rFonts w:ascii="Times New Roman" w:eastAsia="宋体" w:hAnsi="Times New Roman" w:cs="Times New Roman" w:hint="eastAsia"/>
        </w:rPr>
        <w:t>统计口径内称表内、</w:t>
      </w:r>
      <w:r>
        <w:rPr>
          <w:rFonts w:ascii="Times New Roman" w:eastAsia="宋体" w:hAnsi="Times New Roman" w:cs="Times New Roman" w:hint="eastAsia"/>
        </w:rPr>
        <w:t>统计口径外称表外。</w:t>
      </w:r>
    </w:p>
  </w:footnote>
  <w:footnote w:id="2">
    <w:p w14:paraId="5EBAB213" w14:textId="56772D76" w:rsidR="00E02A5D" w:rsidRPr="00143BE2" w:rsidRDefault="00E02A5D">
      <w:pPr>
        <w:pStyle w:val="a3"/>
        <w:rPr>
          <w:rFonts w:ascii="Times New Roman" w:eastAsia="宋体" w:hAnsi="Times New Roman" w:cs="Times New Roman"/>
        </w:rPr>
      </w:pPr>
      <w:r w:rsidRPr="00143BE2">
        <w:rPr>
          <w:rStyle w:val="a5"/>
          <w:rFonts w:ascii="Times New Roman" w:eastAsia="宋体" w:hAnsi="Times New Roman" w:cs="Times New Roman"/>
        </w:rPr>
        <w:footnoteRef/>
      </w:r>
      <w:r w:rsidRPr="00143BE2">
        <w:rPr>
          <w:rFonts w:ascii="Times New Roman" w:eastAsia="宋体" w:hAnsi="Times New Roman" w:cs="Times New Roman"/>
        </w:rPr>
        <w:t xml:space="preserve"> </w:t>
      </w:r>
      <w:r>
        <w:rPr>
          <w:rFonts w:ascii="Times New Roman" w:eastAsia="宋体" w:hAnsi="Times New Roman" w:cs="Times New Roman" w:hint="eastAsia"/>
        </w:rPr>
        <w:t>参见</w:t>
      </w:r>
      <w:r w:rsidRPr="00143BE2">
        <w:rPr>
          <w:rFonts w:ascii="Times New Roman" w:eastAsia="宋体" w:hAnsi="Times New Roman" w:cs="Times New Roman"/>
        </w:rPr>
        <w:t>国家统计局</w:t>
      </w:r>
      <w:r>
        <w:rPr>
          <w:rFonts w:ascii="Times New Roman" w:eastAsia="宋体" w:hAnsi="Times New Roman" w:cs="Times New Roman" w:hint="eastAsia"/>
        </w:rPr>
        <w:t>：</w:t>
      </w:r>
      <w:r w:rsidRPr="00143BE2">
        <w:rPr>
          <w:rFonts w:ascii="Times New Roman" w:eastAsia="宋体" w:hAnsi="Times New Roman" w:cs="Times New Roman"/>
        </w:rPr>
        <w:t>《中国国民经济核算体系</w:t>
      </w:r>
      <w:r w:rsidRPr="00143BE2">
        <w:rPr>
          <w:rFonts w:ascii="Times New Roman" w:eastAsia="宋体" w:hAnsi="Times New Roman" w:cs="Times New Roman"/>
        </w:rPr>
        <w:t>2016</w:t>
      </w:r>
      <w:r w:rsidRPr="00143BE2">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hint="eastAsia"/>
        </w:rPr>
        <w:t>2017</w:t>
      </w:r>
      <w:r>
        <w:rPr>
          <w:rFonts w:ascii="Times New Roman" w:eastAsia="宋体" w:hAnsi="Times New Roman" w:cs="Times New Roman" w:hint="eastAsia"/>
        </w:rPr>
        <w:t>年，</w:t>
      </w:r>
      <w:r w:rsidRPr="00143BE2">
        <w:rPr>
          <w:rFonts w:ascii="Times New Roman" w:eastAsia="宋体" w:hAnsi="Times New Roman" w:cs="Times New Roman"/>
        </w:rPr>
        <w:t>第</w:t>
      </w:r>
      <w:r w:rsidRPr="00143BE2">
        <w:rPr>
          <w:rFonts w:ascii="Times New Roman" w:eastAsia="宋体" w:hAnsi="Times New Roman" w:cs="Times New Roman"/>
        </w:rPr>
        <w:t>1</w:t>
      </w:r>
      <w:r>
        <w:rPr>
          <w:rFonts w:ascii="Times New Roman" w:eastAsia="宋体" w:hAnsi="Times New Roman" w:cs="Times New Roman" w:hint="eastAsia"/>
        </w:rPr>
        <w:t>1</w:t>
      </w:r>
      <w:r w:rsidRPr="00143BE2">
        <w:rPr>
          <w:rFonts w:ascii="Times New Roman" w:eastAsia="宋体" w:hAnsi="Times New Roman" w:cs="Times New Roman"/>
        </w:rPr>
        <w:t>页</w:t>
      </w:r>
      <w:r>
        <w:rPr>
          <w:rFonts w:ascii="Times New Roman" w:eastAsia="宋体" w:hAnsi="Times New Roman" w:cs="Times New Roman" w:hint="eastAsia"/>
        </w:rPr>
        <w:t>。</w:t>
      </w:r>
    </w:p>
  </w:footnote>
  <w:footnote w:id="3">
    <w:p w14:paraId="3D96857F" w14:textId="35810BD2" w:rsidR="00E02A5D" w:rsidRPr="006754B5" w:rsidRDefault="00E02A5D" w:rsidP="008F0CD8">
      <w:pPr>
        <w:pStyle w:val="a3"/>
        <w:rPr>
          <w:rFonts w:ascii="Times New Roman" w:eastAsia="宋体" w:hAnsi="Times New Roman" w:cs="Times New Roman"/>
        </w:rPr>
      </w:pPr>
      <w:r w:rsidRPr="00143BE2">
        <w:rPr>
          <w:rStyle w:val="a5"/>
          <w:rFonts w:ascii="Times New Roman" w:eastAsia="宋体" w:hAnsi="Times New Roman" w:cs="Times New Roman"/>
        </w:rPr>
        <w:footnoteRef/>
      </w:r>
      <w:r w:rsidRPr="00143BE2">
        <w:rPr>
          <w:rFonts w:ascii="Times New Roman" w:eastAsia="宋体" w:hAnsi="Times New Roman" w:cs="Times New Roman"/>
        </w:rPr>
        <w:t xml:space="preserve"> </w:t>
      </w:r>
      <w:r w:rsidR="0065748A">
        <w:rPr>
          <w:rFonts w:ascii="Times New Roman" w:eastAsia="宋体" w:hAnsi="Times New Roman" w:cs="Times New Roman" w:hint="eastAsia"/>
        </w:rPr>
        <w:t>U.S.</w:t>
      </w:r>
      <w:r w:rsidR="0065748A">
        <w:rPr>
          <w:rFonts w:ascii="Times New Roman" w:eastAsia="宋体" w:hAnsi="Times New Roman" w:cs="Times New Roman"/>
        </w:rPr>
        <w:t xml:space="preserve"> Bureau of Economic Analysis</w:t>
      </w:r>
      <w:r>
        <w:rPr>
          <w:rFonts w:ascii="Times New Roman" w:eastAsia="宋体" w:hAnsi="Times New Roman" w:cs="Times New Roman" w:hint="eastAsia"/>
        </w:rPr>
        <w:t>（</w:t>
      </w:r>
      <w:r>
        <w:rPr>
          <w:rFonts w:ascii="Times New Roman" w:eastAsia="宋体" w:hAnsi="Times New Roman" w:cs="Times New Roman" w:hint="eastAsia"/>
        </w:rPr>
        <w:t>BEA</w:t>
      </w:r>
      <w:r>
        <w:rPr>
          <w:rFonts w:ascii="Times New Roman" w:eastAsia="宋体" w:hAnsi="Times New Roman" w:cs="Times New Roman" w:hint="eastAsia"/>
        </w:rPr>
        <w:t>）</w:t>
      </w:r>
      <w:r w:rsidRPr="006754B5">
        <w:rPr>
          <w:rFonts w:ascii="Times New Roman" w:eastAsia="宋体" w:hAnsi="Times New Roman" w:cs="Times New Roman" w:hint="eastAsia"/>
        </w:rPr>
        <w:t>,</w:t>
      </w:r>
      <w:r w:rsidRPr="006754B5">
        <w:rPr>
          <w:rFonts w:ascii="Times New Roman" w:eastAsia="宋体" w:hAnsi="Times New Roman" w:cs="Times New Roman"/>
        </w:rPr>
        <w:t xml:space="preserve"> Concepts and Methods of the U.S. National Income and Product Accounts, December 2023.</w:t>
      </w:r>
    </w:p>
  </w:footnote>
  <w:footnote w:id="4">
    <w:p w14:paraId="4C64C75D" w14:textId="712663D1" w:rsidR="00E02A5D" w:rsidRPr="00143BE2" w:rsidRDefault="00E02A5D">
      <w:pPr>
        <w:pStyle w:val="a3"/>
        <w:rPr>
          <w:rFonts w:ascii="Times New Roman" w:eastAsia="宋体" w:hAnsi="Times New Roman" w:cs="Times New Roman"/>
        </w:rPr>
      </w:pPr>
      <w:r w:rsidRPr="00143BE2">
        <w:rPr>
          <w:rStyle w:val="a5"/>
          <w:rFonts w:ascii="Times New Roman" w:eastAsia="宋体" w:hAnsi="Times New Roman" w:cs="Times New Roman"/>
        </w:rPr>
        <w:footnoteRef/>
      </w:r>
      <w:r w:rsidRPr="00143BE2">
        <w:rPr>
          <w:rFonts w:ascii="Times New Roman" w:eastAsia="宋体" w:hAnsi="Times New Roman" w:cs="Times New Roman"/>
        </w:rPr>
        <w:t xml:space="preserve"> </w:t>
      </w:r>
      <w:r>
        <w:rPr>
          <w:rFonts w:ascii="Times New Roman" w:eastAsia="宋体" w:hAnsi="Times New Roman" w:cs="Times New Roman" w:hint="eastAsia"/>
        </w:rPr>
        <w:t>I</w:t>
      </w:r>
      <w:r>
        <w:rPr>
          <w:rFonts w:ascii="Times New Roman" w:eastAsia="宋体" w:hAnsi="Times New Roman" w:cs="Times New Roman"/>
        </w:rPr>
        <w:t>bid.</w:t>
      </w:r>
    </w:p>
  </w:footnote>
  <w:footnote w:id="5">
    <w:p w14:paraId="46DE2586" w14:textId="04EE2EDA" w:rsidR="00E02A5D" w:rsidRPr="001B1C84" w:rsidRDefault="00E02A5D">
      <w:pPr>
        <w:pStyle w:val="a3"/>
        <w:rPr>
          <w:rFonts w:ascii="Times New Roman" w:eastAsia="宋体" w:hAnsi="Times New Roman" w:cs="Times New Roman"/>
        </w:rPr>
      </w:pPr>
      <w:r w:rsidRPr="001B1C84">
        <w:rPr>
          <w:rStyle w:val="a5"/>
          <w:rFonts w:ascii="Times New Roman" w:eastAsia="宋体" w:hAnsi="Times New Roman" w:cs="Times New Roman"/>
        </w:rPr>
        <w:footnoteRef/>
      </w:r>
      <w:r w:rsidRPr="001B1C84">
        <w:rPr>
          <w:rFonts w:ascii="Times New Roman" w:eastAsia="宋体" w:hAnsi="Times New Roman" w:cs="Times New Roman"/>
        </w:rPr>
        <w:t xml:space="preserve"> </w:t>
      </w:r>
      <w:r w:rsidRPr="001B1C84">
        <w:rPr>
          <w:rFonts w:ascii="Times New Roman" w:eastAsia="宋体" w:hAnsi="Times New Roman" w:cs="Times New Roman"/>
        </w:rPr>
        <w:t>在美国国民经济核算体系中，</w:t>
      </w:r>
      <w:r>
        <w:rPr>
          <w:rFonts w:ascii="Times New Roman" w:eastAsia="宋体" w:hAnsi="Times New Roman" w:cs="Times New Roman" w:hint="eastAsia"/>
        </w:rPr>
        <w:t>NIPAs</w:t>
      </w:r>
      <w:r w:rsidRPr="001B1C84">
        <w:rPr>
          <w:rFonts w:ascii="Times New Roman" w:eastAsia="宋体" w:hAnsi="Times New Roman" w:cs="Times New Roman"/>
        </w:rPr>
        <w:t>只包括</w:t>
      </w:r>
      <w:r w:rsidRPr="001B1C84">
        <w:rPr>
          <w:rFonts w:ascii="Times New Roman" w:eastAsia="宋体" w:hAnsi="Times New Roman" w:cs="Times New Roman"/>
        </w:rPr>
        <w:t>GDP</w:t>
      </w:r>
      <w:r w:rsidRPr="001B1C84">
        <w:rPr>
          <w:rFonts w:ascii="Times New Roman" w:eastAsia="宋体" w:hAnsi="Times New Roman" w:cs="Times New Roman"/>
        </w:rPr>
        <w:t>、</w:t>
      </w:r>
      <w:r w:rsidRPr="001B1C84">
        <w:rPr>
          <w:rFonts w:ascii="Times New Roman" w:eastAsia="宋体" w:hAnsi="Times New Roman" w:cs="Times New Roman"/>
        </w:rPr>
        <w:t>GDI</w:t>
      </w:r>
      <w:r w:rsidRPr="001B1C84">
        <w:rPr>
          <w:rFonts w:ascii="Times New Roman" w:eastAsia="宋体" w:hAnsi="Times New Roman" w:cs="Times New Roman"/>
        </w:rPr>
        <w:t>两种核算口径，工业经济账户（</w:t>
      </w:r>
      <w:r w:rsidRPr="001B1C84">
        <w:rPr>
          <w:rFonts w:ascii="Times New Roman" w:eastAsia="宋体" w:hAnsi="Times New Roman" w:cs="Times New Roman"/>
        </w:rPr>
        <w:t>IEAs</w:t>
      </w:r>
      <w:r w:rsidRPr="001B1C84">
        <w:rPr>
          <w:rFonts w:ascii="Times New Roman" w:eastAsia="宋体" w:hAnsi="Times New Roman" w:cs="Times New Roman"/>
        </w:rPr>
        <w:t>）核算主要产业部门的投入产出情况（</w:t>
      </w:r>
      <w:r w:rsidRPr="001B1C84">
        <w:rPr>
          <w:rFonts w:ascii="Times New Roman" w:eastAsia="宋体" w:hAnsi="Times New Roman" w:cs="Times New Roman"/>
        </w:rPr>
        <w:t>I-O</w:t>
      </w:r>
      <w:r w:rsidRPr="001B1C84">
        <w:rPr>
          <w:rFonts w:ascii="Times New Roman" w:eastAsia="宋体" w:hAnsi="Times New Roman" w:cs="Times New Roman"/>
        </w:rPr>
        <w:t>账户），即增加值法，该核算方法由</w:t>
      </w:r>
      <w:r w:rsidRPr="001B1C84">
        <w:rPr>
          <w:rFonts w:ascii="Times New Roman" w:eastAsia="宋体" w:hAnsi="Times New Roman" w:cs="Times New Roman"/>
        </w:rPr>
        <w:t>1973</w:t>
      </w:r>
      <w:r w:rsidRPr="001B1C84">
        <w:rPr>
          <w:rFonts w:ascii="Times New Roman" w:eastAsia="宋体" w:hAnsi="Times New Roman" w:cs="Times New Roman"/>
        </w:rPr>
        <w:t>年诺贝尔经济学奖得主俄裔经济学家</w:t>
      </w:r>
      <w:r w:rsidRPr="0097332E">
        <w:rPr>
          <w:rFonts w:ascii="Times New Roman" w:eastAsia="宋体" w:hAnsi="Times New Roman" w:cs="Times New Roman"/>
        </w:rPr>
        <w:t>华西里</w:t>
      </w:r>
      <w:r>
        <w:rPr>
          <w:rFonts w:ascii="Times New Roman" w:eastAsia="宋体" w:hAnsi="Times New Roman" w:cs="Times New Roman" w:hint="eastAsia"/>
        </w:rPr>
        <w:t>·</w:t>
      </w:r>
      <w:r w:rsidRPr="0097332E">
        <w:rPr>
          <w:rFonts w:ascii="Times New Roman" w:eastAsia="宋体" w:hAnsi="Times New Roman" w:cs="Times New Roman"/>
        </w:rPr>
        <w:t>列昂惕夫</w:t>
      </w:r>
      <w:r w:rsidRPr="008F0CD8">
        <w:rPr>
          <w:rFonts w:ascii="Times New Roman" w:eastAsia="宋体" w:hAnsi="Times New Roman" w:cs="Times New Roman" w:hint="eastAsia"/>
        </w:rPr>
        <w:t>（</w:t>
      </w:r>
      <w:r w:rsidRPr="00BE517C">
        <w:rPr>
          <w:rFonts w:ascii="Times New Roman" w:eastAsia="宋体" w:hAnsi="Times New Roman" w:cs="Times New Roman"/>
          <w:iCs/>
        </w:rPr>
        <w:t>Wassily Leontief</w:t>
      </w:r>
      <w:r w:rsidRPr="008F0CD8">
        <w:rPr>
          <w:rFonts w:ascii="Times New Roman" w:eastAsia="宋体" w:hAnsi="Times New Roman" w:cs="Times New Roman" w:hint="eastAsia"/>
        </w:rPr>
        <w:t>）</w:t>
      </w:r>
      <w:r w:rsidRPr="001B1C84">
        <w:rPr>
          <w:rFonts w:ascii="Times New Roman" w:eastAsia="宋体" w:hAnsi="Times New Roman" w:cs="Times New Roman"/>
        </w:rPr>
        <w:t>引入。</w:t>
      </w:r>
      <w:r w:rsidRPr="001B1C84">
        <w:rPr>
          <w:rFonts w:ascii="Times New Roman" w:eastAsia="宋体" w:hAnsi="Times New Roman" w:cs="Times New Roman"/>
        </w:rPr>
        <w:t>SNA</w:t>
      </w:r>
      <w:r w:rsidRPr="001B1C84">
        <w:rPr>
          <w:rFonts w:ascii="Times New Roman" w:eastAsia="宋体" w:hAnsi="Times New Roman" w:cs="Times New Roman"/>
        </w:rPr>
        <w:t>的核算数据源是抽样调查数据，</w:t>
      </w:r>
      <w:r w:rsidRPr="001B1C84">
        <w:rPr>
          <w:rFonts w:ascii="Times New Roman" w:eastAsia="宋体" w:hAnsi="Times New Roman" w:cs="Times New Roman"/>
        </w:rPr>
        <w:t>IEAs</w:t>
      </w:r>
      <w:r w:rsidRPr="001B1C84">
        <w:rPr>
          <w:rFonts w:ascii="Times New Roman" w:eastAsia="宋体" w:hAnsi="Times New Roman" w:cs="Times New Roman"/>
        </w:rPr>
        <w:t>账户的数据源是每五年一次的经济普查数据。</w:t>
      </w:r>
    </w:p>
  </w:footnote>
  <w:footnote w:id="6">
    <w:p w14:paraId="1A5B00AA" w14:textId="3534CEE8" w:rsidR="00E02A5D" w:rsidRDefault="00E02A5D" w:rsidP="00E242E7">
      <w:pPr>
        <w:pStyle w:val="a3"/>
      </w:pPr>
      <w:r>
        <w:rPr>
          <w:rStyle w:val="a5"/>
        </w:rPr>
        <w:footnoteRef/>
      </w:r>
      <w:r>
        <w:t xml:space="preserve"> </w:t>
      </w:r>
      <w:r w:rsidRPr="007B1FC7">
        <w:rPr>
          <w:rFonts w:ascii="Times New Roman" w:eastAsia="宋体" w:hAnsi="Times New Roman" w:cs="Times New Roman"/>
        </w:rPr>
        <w:t>SNA</w:t>
      </w:r>
      <w:r w:rsidRPr="007B1FC7">
        <w:rPr>
          <w:rFonts w:ascii="Times New Roman" w:eastAsia="宋体" w:hAnsi="Times New Roman" w:cs="Times New Roman"/>
        </w:rPr>
        <w:t>按照权责发生制、市场估算为核算准则，对家庭自住房按市价计算房租</w:t>
      </w:r>
      <w:r w:rsidR="0090418D">
        <w:rPr>
          <w:rFonts w:ascii="Times New Roman" w:eastAsia="宋体" w:hAnsi="Times New Roman" w:cs="Times New Roman" w:hint="eastAsia"/>
        </w:rPr>
        <w:t>，</w:t>
      </w:r>
      <w:r w:rsidRPr="007B1FC7">
        <w:rPr>
          <w:rFonts w:ascii="Times New Roman" w:eastAsia="宋体" w:hAnsi="Times New Roman" w:cs="Times New Roman"/>
        </w:rPr>
        <w:t>同时计提房租收入和固定资产折旧，银行为吸引储蓄开展的市场营销服务、非营利组织为居民提供的服务等项目以市价估算计入家庭消费支出。</w:t>
      </w:r>
    </w:p>
  </w:footnote>
  <w:footnote w:id="7">
    <w:p w14:paraId="0D7CE7FF" w14:textId="4E4FF38C" w:rsidR="009B07FD" w:rsidRPr="009B07FD" w:rsidRDefault="009B07FD">
      <w:pPr>
        <w:pStyle w:val="a3"/>
      </w:pPr>
      <w:r>
        <w:rPr>
          <w:rStyle w:val="a5"/>
        </w:rPr>
        <w:footnoteRef/>
      </w:r>
      <w:r>
        <w:t xml:space="preserve"> </w:t>
      </w:r>
      <w:r w:rsidR="00EE4022" w:rsidRPr="00EE4022">
        <w:rPr>
          <w:rFonts w:ascii="Times New Roman" w:eastAsia="宋体" w:hAnsi="Times New Roman" w:cs="Times New Roman"/>
        </w:rPr>
        <w:t>陈平在分析中国现代化的难度时，选取了</w:t>
      </w:r>
      <w:r w:rsidR="00EE4022" w:rsidRPr="00EE4022">
        <w:rPr>
          <w:rFonts w:ascii="Times New Roman" w:eastAsia="宋体" w:hAnsi="Times New Roman" w:cs="Times New Roman"/>
        </w:rPr>
        <w:t>1</w:t>
      </w:r>
      <w:r w:rsidR="00EE4022" w:rsidRPr="00EE4022">
        <w:rPr>
          <w:rFonts w:ascii="Times New Roman" w:eastAsia="宋体" w:hAnsi="Times New Roman" w:cs="Times New Roman"/>
        </w:rPr>
        <w:t>亿人口以上的大国或地区作为参照系。</w:t>
      </w:r>
      <w:r w:rsidR="00EE4022">
        <w:rPr>
          <w:rFonts w:ascii="Times New Roman" w:eastAsia="宋体" w:hAnsi="Times New Roman" w:cs="Times New Roman" w:hint="eastAsia"/>
        </w:rPr>
        <w:t>（参见，陈平：《</w:t>
      </w:r>
      <w:r w:rsidR="00EE4022" w:rsidRPr="00EE4022">
        <w:rPr>
          <w:rFonts w:ascii="Times New Roman" w:eastAsia="宋体" w:hAnsi="Times New Roman" w:cs="Times New Roman"/>
        </w:rPr>
        <w:t>中华文明的复兴和经济理论的创新</w:t>
      </w:r>
      <w:r w:rsidR="00EE4022">
        <w:rPr>
          <w:rFonts w:ascii="Times New Roman" w:eastAsia="宋体" w:hAnsi="Times New Roman" w:cs="Times New Roman" w:hint="eastAsia"/>
        </w:rPr>
        <w:t>》，东方学刊，</w:t>
      </w:r>
      <w:r w:rsidR="00EE4022">
        <w:rPr>
          <w:rFonts w:ascii="Times New Roman" w:eastAsia="宋体" w:hAnsi="Times New Roman" w:cs="Times New Roman" w:hint="eastAsia"/>
        </w:rPr>
        <w:t>2018</w:t>
      </w:r>
      <w:r w:rsidR="00EE4022">
        <w:rPr>
          <w:rFonts w:ascii="Times New Roman" w:eastAsia="宋体" w:hAnsi="Times New Roman" w:cs="Times New Roman" w:hint="eastAsia"/>
        </w:rPr>
        <w:t>年冬季刊</w:t>
      </w:r>
      <w:r w:rsidR="00AA1D86">
        <w:rPr>
          <w:rFonts w:ascii="Times New Roman" w:eastAsia="宋体" w:hAnsi="Times New Roman" w:cs="Times New Roman" w:hint="eastAsia"/>
        </w:rPr>
        <w:t>。</w:t>
      </w:r>
    </w:p>
  </w:footnote>
  <w:footnote w:id="8">
    <w:p w14:paraId="2AE587D9" w14:textId="78041F1E" w:rsidR="00470AA5" w:rsidRPr="00870CFB" w:rsidRDefault="00470AA5">
      <w:pPr>
        <w:pStyle w:val="a3"/>
        <w:rPr>
          <w:rFonts w:ascii="Times New Roman" w:eastAsia="宋体" w:hAnsi="Times New Roman" w:cs="Times New Roman"/>
        </w:rPr>
      </w:pPr>
      <w:r>
        <w:rPr>
          <w:rStyle w:val="a5"/>
        </w:rPr>
        <w:footnoteRef/>
      </w:r>
      <w:r>
        <w:t xml:space="preserve"> </w:t>
      </w:r>
      <w:r w:rsidR="00870CFB" w:rsidRPr="00CF7783">
        <w:rPr>
          <w:rFonts w:ascii="Times New Roman" w:eastAsia="宋体" w:hAnsi="Times New Roman" w:cs="Times New Roman"/>
          <w:highlight w:val="yellow"/>
        </w:rPr>
        <w:t>2023</w:t>
      </w:r>
      <w:r w:rsidR="00870CFB" w:rsidRPr="00CF7783">
        <w:rPr>
          <w:rFonts w:ascii="Times New Roman" w:eastAsia="宋体" w:hAnsi="Times New Roman" w:cs="Times New Roman"/>
          <w:highlight w:val="yellow"/>
        </w:rPr>
        <w:t>年美国家庭消费支出</w:t>
      </w:r>
      <w:r w:rsidR="00870CFB" w:rsidRPr="00CF7783">
        <w:rPr>
          <w:rFonts w:ascii="Times New Roman" w:eastAsia="宋体" w:hAnsi="Times New Roman" w:cs="Times New Roman"/>
          <w:highlight w:val="yellow"/>
        </w:rPr>
        <w:t>18.8</w:t>
      </w:r>
      <w:r w:rsidR="00870CFB" w:rsidRPr="00CF7783">
        <w:rPr>
          <w:rFonts w:ascii="Times New Roman" w:eastAsia="宋体" w:hAnsi="Times New Roman" w:cs="Times New Roman"/>
          <w:highlight w:val="yellow"/>
        </w:rPr>
        <w:t>万亿美元，扣除自住房房租</w:t>
      </w:r>
      <w:r w:rsidR="00870CFB" w:rsidRPr="00CF7783">
        <w:rPr>
          <w:rFonts w:ascii="Times New Roman" w:eastAsia="宋体" w:hAnsi="Times New Roman" w:cs="Times New Roman"/>
          <w:highlight w:val="yellow"/>
        </w:rPr>
        <w:t>2.2</w:t>
      </w:r>
      <w:r w:rsidR="00870CFB" w:rsidRPr="00CF7783">
        <w:rPr>
          <w:rFonts w:ascii="Times New Roman" w:eastAsia="宋体" w:hAnsi="Times New Roman" w:cs="Times New Roman"/>
          <w:highlight w:val="yellow"/>
        </w:rPr>
        <w:t>万亿、</w:t>
      </w:r>
      <w:r w:rsidR="00870CFB" w:rsidRPr="00CF7783">
        <w:rPr>
          <w:rFonts w:ascii="Times New Roman" w:eastAsia="宋体" w:hAnsi="Times New Roman" w:cs="Times New Roman"/>
          <w:highlight w:val="yellow"/>
        </w:rPr>
        <w:t>NGO</w:t>
      </w:r>
      <w:r w:rsidR="00870CFB" w:rsidRPr="00CF7783">
        <w:rPr>
          <w:rFonts w:ascii="Times New Roman" w:eastAsia="宋体" w:hAnsi="Times New Roman" w:cs="Times New Roman"/>
          <w:highlight w:val="yellow"/>
        </w:rPr>
        <w:t>未实际付款服务</w:t>
      </w:r>
      <w:r w:rsidR="00870CFB" w:rsidRPr="00CF7783">
        <w:rPr>
          <w:rFonts w:ascii="Times New Roman" w:eastAsia="宋体" w:hAnsi="Times New Roman" w:cs="Times New Roman"/>
          <w:highlight w:val="yellow"/>
        </w:rPr>
        <w:t>5541</w:t>
      </w:r>
      <w:r w:rsidR="00870CFB" w:rsidRPr="00CF7783">
        <w:rPr>
          <w:rFonts w:ascii="Times New Roman" w:eastAsia="宋体" w:hAnsi="Times New Roman" w:cs="Times New Roman"/>
          <w:highlight w:val="yellow"/>
        </w:rPr>
        <w:t>亿美元、未实际支付金融服务</w:t>
      </w:r>
      <w:r w:rsidR="00870CFB" w:rsidRPr="00CF7783">
        <w:rPr>
          <w:rFonts w:ascii="Times New Roman" w:eastAsia="宋体" w:hAnsi="Times New Roman" w:cs="Times New Roman"/>
          <w:highlight w:val="yellow"/>
        </w:rPr>
        <w:t>5114</w:t>
      </w:r>
      <w:r w:rsidR="00870CFB" w:rsidRPr="00CF7783">
        <w:rPr>
          <w:rFonts w:ascii="Times New Roman" w:eastAsia="宋体" w:hAnsi="Times New Roman" w:cs="Times New Roman"/>
          <w:highlight w:val="yellow"/>
        </w:rPr>
        <w:t>亿美元，得到家庭实际支出数据。</w:t>
      </w:r>
      <w:r w:rsidR="00A60BBD" w:rsidRPr="00CF7783">
        <w:rPr>
          <w:rFonts w:ascii="Times New Roman" w:eastAsia="宋体" w:hAnsi="Times New Roman" w:cs="Times New Roman" w:hint="eastAsia"/>
          <w:highlight w:val="yellow"/>
        </w:rPr>
        <w:t>收入来自</w:t>
      </w:r>
      <w:r w:rsidR="00A60BBD" w:rsidRPr="00CF7783">
        <w:rPr>
          <w:rFonts w:ascii="Times New Roman" w:eastAsia="宋体" w:hAnsi="Times New Roman" w:cs="Times New Roman" w:hint="eastAsia"/>
          <w:highlight w:val="yellow"/>
        </w:rPr>
        <w:t>GDI</w:t>
      </w:r>
      <w:r w:rsidR="00A60BBD" w:rsidRPr="00CF7783">
        <w:rPr>
          <w:rFonts w:ascii="Times New Roman" w:eastAsia="宋体" w:hAnsi="Times New Roman" w:cs="Times New Roman" w:hint="eastAsia"/>
          <w:highlight w:val="yellow"/>
        </w:rPr>
        <w:t>劳动者报酬数据。家庭营业盈余和折旧分别为</w:t>
      </w:r>
      <w:r w:rsidR="00A60BBD" w:rsidRPr="00CF7783">
        <w:rPr>
          <w:rFonts w:ascii="Times New Roman" w:eastAsia="宋体" w:hAnsi="Times New Roman" w:cs="Times New Roman" w:hint="eastAsia"/>
          <w:highlight w:val="yellow"/>
        </w:rPr>
        <w:t>6.9</w:t>
      </w:r>
      <w:r w:rsidR="00A60BBD" w:rsidRPr="00CF7783">
        <w:rPr>
          <w:rFonts w:ascii="Times New Roman" w:eastAsia="宋体" w:hAnsi="Times New Roman" w:cs="Times New Roman" w:hint="eastAsia"/>
          <w:highlight w:val="yellow"/>
        </w:rPr>
        <w:t>万亿美元、</w:t>
      </w:r>
      <w:r w:rsidR="00A60BBD" w:rsidRPr="00CF7783">
        <w:rPr>
          <w:rFonts w:ascii="Times New Roman" w:eastAsia="宋体" w:hAnsi="Times New Roman" w:cs="Times New Roman" w:hint="eastAsia"/>
          <w:highlight w:val="yellow"/>
        </w:rPr>
        <w:t>2.9</w:t>
      </w:r>
      <w:r w:rsidR="00A60BBD" w:rsidRPr="00CF7783">
        <w:rPr>
          <w:rFonts w:ascii="Times New Roman" w:eastAsia="宋体" w:hAnsi="Times New Roman" w:cs="Times New Roman" w:hint="eastAsia"/>
          <w:highlight w:val="yellow"/>
        </w:rPr>
        <w:t>万亿美元，追加投资来自</w:t>
      </w:r>
      <w:r w:rsidR="00A60BBD" w:rsidRPr="00CF7783">
        <w:rPr>
          <w:rFonts w:ascii="Times New Roman" w:eastAsia="宋体" w:hAnsi="Times New Roman" w:cs="Times New Roman" w:hint="eastAsia"/>
          <w:highlight w:val="yellow"/>
        </w:rPr>
        <w:t>GDP</w:t>
      </w:r>
      <w:r w:rsidR="00A60BBD" w:rsidRPr="00CF7783">
        <w:rPr>
          <w:rFonts w:ascii="Times New Roman" w:eastAsia="宋体" w:hAnsi="Times New Roman" w:cs="Times New Roman" w:hint="eastAsia"/>
          <w:highlight w:val="yellow"/>
        </w:rPr>
        <w:t>企业投资数据。</w:t>
      </w:r>
      <w:r w:rsidR="006033A1" w:rsidRPr="00CF7783">
        <w:rPr>
          <w:rFonts w:ascii="Times New Roman" w:eastAsia="宋体" w:hAnsi="Times New Roman" w:cs="Times New Roman" w:hint="eastAsia"/>
          <w:highlight w:val="yellow"/>
        </w:rPr>
        <w:t>数</w:t>
      </w:r>
      <w:r w:rsidR="006033A1" w:rsidRPr="00CF7783">
        <w:rPr>
          <w:rFonts w:ascii="Times New Roman" w:eastAsia="宋体" w:hAnsi="Times New Roman" w:cs="Times New Roman"/>
          <w:highlight w:val="yellow"/>
        </w:rPr>
        <w:t>据来自</w:t>
      </w:r>
      <w:r w:rsidR="006033A1" w:rsidRPr="00CF7783">
        <w:rPr>
          <w:rFonts w:ascii="Times New Roman" w:eastAsia="宋体" w:hAnsi="Times New Roman" w:cs="Times New Roman"/>
          <w:highlight w:val="yellow"/>
        </w:rPr>
        <w:t>U.S. Bureau of Economic Analysis, Interactive Data Tables</w:t>
      </w:r>
      <w:r w:rsidR="006033A1" w:rsidRPr="00CF7783">
        <w:rPr>
          <w:rFonts w:ascii="Times New Roman" w:eastAsia="宋体" w:hAnsi="Times New Roman" w:cs="Times New Roman"/>
          <w:highlight w:val="yellow"/>
        </w:rPr>
        <w:t>，详见</w:t>
      </w:r>
      <w:hyperlink r:id="rId1" w:history="1">
        <w:r w:rsidR="006033A1" w:rsidRPr="00CF7783">
          <w:rPr>
            <w:rStyle w:val="af4"/>
            <w:rFonts w:ascii="Times New Roman" w:eastAsia="宋体" w:hAnsi="Times New Roman" w:cs="Times New Roman"/>
            <w:highlight w:val="yellow"/>
          </w:rPr>
          <w:t>https://www.bea.gov/itable/national-gdp-and-personal-income</w:t>
        </w:r>
      </w:hyperlink>
      <w:r w:rsidR="006033A1" w:rsidRPr="00CF7783">
        <w:rPr>
          <w:rFonts w:ascii="Times New Roman" w:eastAsia="宋体" w:hAnsi="Times New Roman" w:cs="Times New Roman"/>
          <w:highlight w:val="yellow"/>
        </w:rPr>
        <w:t xml:space="preserve">, </w:t>
      </w:r>
      <w:r w:rsidR="00C46339" w:rsidRPr="00CF7783">
        <w:rPr>
          <w:rFonts w:ascii="Times New Roman" w:eastAsia="宋体" w:hAnsi="Times New Roman" w:cs="Times New Roman"/>
          <w:highlight w:val="yellow"/>
        </w:rPr>
        <w:t xml:space="preserve">retrieved </w:t>
      </w:r>
      <w:r w:rsidR="009B5BB3" w:rsidRPr="00CF7783">
        <w:rPr>
          <w:rFonts w:ascii="Times New Roman" w:eastAsia="宋体" w:hAnsi="Times New Roman" w:cs="Times New Roman" w:hint="eastAsia"/>
          <w:highlight w:val="yellow"/>
        </w:rPr>
        <w:t>Dec</w:t>
      </w:r>
      <w:r w:rsidR="00C46339" w:rsidRPr="00CF7783">
        <w:rPr>
          <w:rFonts w:ascii="Times New Roman" w:eastAsia="宋体" w:hAnsi="Times New Roman" w:cs="Times New Roman"/>
          <w:highlight w:val="yellow"/>
        </w:rPr>
        <w:t>.</w:t>
      </w:r>
      <w:r w:rsidR="009B5BB3" w:rsidRPr="00CF7783">
        <w:rPr>
          <w:rFonts w:ascii="Times New Roman" w:eastAsia="宋体" w:hAnsi="Times New Roman" w:cs="Times New Roman" w:hint="eastAsia"/>
          <w:highlight w:val="yellow"/>
        </w:rPr>
        <w:t>12</w:t>
      </w:r>
      <w:r w:rsidR="006033A1" w:rsidRPr="00CF7783">
        <w:rPr>
          <w:rFonts w:ascii="Times New Roman" w:eastAsia="宋体" w:hAnsi="Times New Roman" w:cs="Times New Roman"/>
          <w:highlight w:val="yellow"/>
        </w:rPr>
        <w:t>,2024</w:t>
      </w:r>
    </w:p>
  </w:footnote>
  <w:footnote w:id="9">
    <w:p w14:paraId="0365A4DA" w14:textId="6389872F" w:rsidR="00E02A5D" w:rsidRPr="009C1049" w:rsidRDefault="00E02A5D" w:rsidP="009C1049">
      <w:pPr>
        <w:pStyle w:val="a3"/>
        <w:rPr>
          <w:rFonts w:ascii="Times New Roman" w:eastAsia="宋体" w:hAnsi="Times New Roman" w:cs="Times New Roman"/>
          <w:i/>
        </w:rPr>
      </w:pPr>
      <w:r w:rsidRPr="00143BE2">
        <w:rPr>
          <w:rStyle w:val="a5"/>
          <w:rFonts w:ascii="Times New Roman" w:eastAsia="宋体" w:hAnsi="Times New Roman" w:cs="Times New Roman"/>
        </w:rPr>
        <w:footnoteRef/>
      </w:r>
      <w:r w:rsidRPr="00143BE2">
        <w:rPr>
          <w:rFonts w:ascii="Times New Roman" w:eastAsia="宋体" w:hAnsi="Times New Roman" w:cs="Times New Roman"/>
        </w:rPr>
        <w:t xml:space="preserve"> </w:t>
      </w:r>
      <w:r w:rsidRPr="00143BE2">
        <w:rPr>
          <w:rFonts w:ascii="Times New Roman" w:eastAsia="宋体" w:hAnsi="Times New Roman" w:cs="Times New Roman"/>
        </w:rPr>
        <w:t>美国会计准则（</w:t>
      </w:r>
      <w:r w:rsidRPr="00143BE2">
        <w:rPr>
          <w:rFonts w:ascii="Times New Roman" w:eastAsia="宋体" w:hAnsi="Times New Roman" w:cs="Times New Roman"/>
        </w:rPr>
        <w:t>GAAP</w:t>
      </w:r>
      <w:r w:rsidRPr="00143BE2">
        <w:rPr>
          <w:rFonts w:ascii="Times New Roman" w:eastAsia="宋体" w:hAnsi="Times New Roman" w:cs="Times New Roman"/>
        </w:rPr>
        <w:t>）规定</w:t>
      </w:r>
      <w:r>
        <w:rPr>
          <w:rFonts w:ascii="Times New Roman" w:eastAsia="宋体" w:hAnsi="Times New Roman" w:cs="Times New Roman" w:hint="eastAsia"/>
        </w:rPr>
        <w:t>，</w:t>
      </w:r>
      <w:r w:rsidRPr="00143BE2">
        <w:rPr>
          <w:rFonts w:ascii="Times New Roman" w:eastAsia="宋体" w:hAnsi="Times New Roman" w:cs="Times New Roman"/>
        </w:rPr>
        <w:t>所有固定资产应以成本计价</w:t>
      </w:r>
      <w:r w:rsidRPr="009674DE">
        <w:rPr>
          <w:rFonts w:ascii="Times New Roman" w:eastAsia="宋体" w:hAnsi="Times New Roman" w:cs="Times New Roman"/>
        </w:rPr>
        <w:t>（</w:t>
      </w:r>
      <w:r w:rsidRPr="009674DE">
        <w:rPr>
          <w:rFonts w:ascii="Times New Roman" w:eastAsia="宋体" w:hAnsi="Times New Roman" w:cs="Times New Roman"/>
        </w:rPr>
        <w:t>All General PP&amp;E shall be recorded at cost</w:t>
      </w:r>
      <w:r w:rsidRPr="009674DE">
        <w:rPr>
          <w:rFonts w:ascii="Times New Roman" w:eastAsia="宋体" w:hAnsi="Times New Roman" w:cs="Times New Roman"/>
        </w:rPr>
        <w:t>）</w:t>
      </w:r>
      <w:r w:rsidRPr="00143BE2">
        <w:rPr>
          <w:rFonts w:ascii="Times New Roman" w:eastAsia="宋体" w:hAnsi="Times New Roman" w:cs="Times New Roman"/>
        </w:rPr>
        <w:t>，并在合理使用期间计提折旧（</w:t>
      </w:r>
      <w:r>
        <w:rPr>
          <w:rFonts w:ascii="Times New Roman" w:eastAsia="宋体" w:hAnsi="Times New Roman" w:cs="Times New Roman"/>
        </w:rPr>
        <w:t>d</w:t>
      </w:r>
      <w:r w:rsidRPr="00143BE2">
        <w:rPr>
          <w:rFonts w:ascii="Times New Roman" w:eastAsia="宋体" w:hAnsi="Times New Roman" w:cs="Times New Roman"/>
        </w:rPr>
        <w:t>epreciation</w:t>
      </w:r>
      <w:r w:rsidRPr="00143BE2">
        <w:rPr>
          <w:rFonts w:ascii="Times New Roman" w:eastAsia="宋体" w:hAnsi="Times New Roman" w:cs="Times New Roman"/>
        </w:rPr>
        <w:t>），折旧计</w:t>
      </w:r>
      <w:r w:rsidRPr="00D22A8F">
        <w:rPr>
          <w:rFonts w:ascii="Times New Roman" w:eastAsia="宋体" w:hAnsi="Times New Roman" w:cs="Times New Roman"/>
        </w:rPr>
        <w:t>入成本或费用。</w:t>
      </w:r>
      <w:r w:rsidR="00CC413C" w:rsidRPr="00D22A8F">
        <w:rPr>
          <w:rFonts w:ascii="Times New Roman" w:eastAsia="宋体" w:hAnsi="Times New Roman" w:cs="Times New Roman" w:hint="eastAsia"/>
        </w:rPr>
        <w:t>F</w:t>
      </w:r>
      <w:r w:rsidR="00CC413C" w:rsidRPr="00D22A8F">
        <w:rPr>
          <w:rFonts w:ascii="Times New Roman" w:eastAsia="宋体" w:hAnsi="Times New Roman" w:cs="Times New Roman"/>
        </w:rPr>
        <w:t>ASAB</w:t>
      </w:r>
      <w:r w:rsidR="00CC413C" w:rsidRPr="00D22A8F">
        <w:rPr>
          <w:rFonts w:ascii="Times New Roman" w:eastAsia="宋体" w:hAnsi="Times New Roman" w:cs="Times New Roman" w:hint="eastAsia"/>
        </w:rPr>
        <w:t>，</w:t>
      </w:r>
      <w:r w:rsidR="009C1049" w:rsidRPr="00D22A8F">
        <w:rPr>
          <w:rFonts w:ascii="Times New Roman" w:eastAsia="宋体" w:hAnsi="Times New Roman" w:cs="Times New Roman"/>
          <w:iCs/>
        </w:rPr>
        <w:t>FASAB Handbook of Federal</w:t>
      </w:r>
      <w:r w:rsidR="009C1049" w:rsidRPr="00D22A8F">
        <w:rPr>
          <w:rFonts w:ascii="Times New Roman" w:eastAsia="宋体" w:hAnsi="Times New Roman" w:cs="Times New Roman" w:hint="eastAsia"/>
          <w:iCs/>
        </w:rPr>
        <w:t xml:space="preserve"> </w:t>
      </w:r>
      <w:r w:rsidR="009C1049" w:rsidRPr="00D22A8F">
        <w:rPr>
          <w:rFonts w:ascii="Times New Roman" w:eastAsia="宋体" w:hAnsi="Times New Roman" w:cs="Times New Roman"/>
          <w:iCs/>
        </w:rPr>
        <w:t>Accounting Standards and Other</w:t>
      </w:r>
      <w:r w:rsidR="009C1049" w:rsidRPr="00D22A8F">
        <w:rPr>
          <w:rFonts w:ascii="Times New Roman" w:eastAsia="宋体" w:hAnsi="Times New Roman" w:cs="Times New Roman" w:hint="eastAsia"/>
          <w:iCs/>
        </w:rPr>
        <w:t xml:space="preserve"> </w:t>
      </w:r>
      <w:r w:rsidR="009C1049" w:rsidRPr="00D22A8F">
        <w:rPr>
          <w:rFonts w:ascii="Times New Roman" w:eastAsia="宋体" w:hAnsi="Times New Roman" w:cs="Times New Roman"/>
          <w:iCs/>
        </w:rPr>
        <w:t>Pronouncements, as Amended</w:t>
      </w:r>
      <w:r w:rsidRPr="00D22A8F">
        <w:rPr>
          <w:rFonts w:ascii="Times New Roman" w:eastAsia="宋体" w:hAnsi="Times New Roman" w:cs="Times New Roman" w:hint="eastAsia"/>
        </w:rPr>
        <w:t>，</w:t>
      </w:r>
      <w:r w:rsidRPr="00D22A8F">
        <w:rPr>
          <w:rFonts w:ascii="Times New Roman" w:eastAsia="宋体" w:hAnsi="Times New Roman" w:cs="Times New Roman"/>
        </w:rPr>
        <w:t>SFFAS 6</w:t>
      </w:r>
      <w:r w:rsidR="009C1049" w:rsidRPr="00D22A8F">
        <w:rPr>
          <w:rFonts w:ascii="Times New Roman" w:eastAsia="宋体" w:hAnsi="Times New Roman" w:cs="Times New Roman" w:hint="eastAsia"/>
        </w:rPr>
        <w:t>，</w:t>
      </w:r>
      <w:r w:rsidR="009C1049" w:rsidRPr="00D22A8F">
        <w:rPr>
          <w:rFonts w:ascii="Times New Roman" w:eastAsia="宋体" w:hAnsi="Times New Roman" w:cs="Times New Roman" w:hint="eastAsia"/>
        </w:rPr>
        <w:t>June 30,2024</w:t>
      </w:r>
      <w:r w:rsidRPr="00D22A8F">
        <w:rPr>
          <w:rFonts w:ascii="Times New Roman" w:eastAsia="宋体" w:hAnsi="Times New Roman" w:cs="Times New Roman" w:hint="eastAsia"/>
        </w:rPr>
        <w:t>。</w:t>
      </w:r>
      <w:r w:rsidR="009C1049" w:rsidRPr="00D22A8F">
        <w:rPr>
          <w:rFonts w:ascii="Times New Roman" w:eastAsia="宋体" w:hAnsi="Times New Roman" w:cs="Times New Roman" w:hint="eastAsia"/>
        </w:rPr>
        <w:t>详见</w:t>
      </w:r>
      <w:hyperlink r:id="rId2" w:history="1">
        <w:r w:rsidR="009C1049" w:rsidRPr="00D22A8F">
          <w:rPr>
            <w:rStyle w:val="af4"/>
            <w:rFonts w:ascii="Times New Roman" w:eastAsia="宋体" w:hAnsi="Times New Roman" w:cs="Times New Roman"/>
          </w:rPr>
          <w:t>https://files.fasab.gov/pdffiles/2024_FASAB%20Handbook.pdf</w:t>
        </w:r>
      </w:hyperlink>
      <w:r w:rsidR="009C1049" w:rsidRPr="00D22A8F">
        <w:rPr>
          <w:rFonts w:ascii="Times New Roman" w:eastAsia="宋体" w:hAnsi="Times New Roman" w:cs="Times New Roman" w:hint="eastAsia"/>
        </w:rPr>
        <w:t xml:space="preserve">, </w:t>
      </w:r>
      <w:r w:rsidR="00C46339">
        <w:rPr>
          <w:rFonts w:ascii="Times New Roman" w:eastAsia="宋体" w:hAnsi="Times New Roman" w:cs="Times New Roman"/>
        </w:rPr>
        <w:t xml:space="preserve">retrieved </w:t>
      </w:r>
      <w:r w:rsidR="009C1049" w:rsidRPr="00D22A8F">
        <w:rPr>
          <w:rFonts w:ascii="Times New Roman" w:eastAsia="宋体" w:hAnsi="Times New Roman" w:cs="Times New Roman" w:hint="eastAsia"/>
        </w:rPr>
        <w:t xml:space="preserve"> </w:t>
      </w:r>
      <w:r w:rsidR="00C46339">
        <w:rPr>
          <w:rFonts w:ascii="Times New Roman" w:eastAsia="宋体" w:hAnsi="Times New Roman" w:cs="Times New Roman" w:hint="eastAsia"/>
        </w:rPr>
        <w:t>Oct.7,2024</w:t>
      </w:r>
      <w:r w:rsidR="009C1049">
        <w:rPr>
          <w:rFonts w:ascii="Times New Roman" w:eastAsia="宋体" w:hAnsi="Times New Roman" w:cs="Times New Roman" w:hint="eastAsia"/>
        </w:rPr>
        <w:t>.</w:t>
      </w:r>
    </w:p>
  </w:footnote>
  <w:footnote w:id="10">
    <w:p w14:paraId="74D1243D" w14:textId="2FC62B82" w:rsidR="00E02A5D" w:rsidRPr="00D45004" w:rsidRDefault="00E02A5D" w:rsidP="00E02A5D">
      <w:pPr>
        <w:pStyle w:val="a3"/>
        <w:rPr>
          <w:rFonts w:ascii="Times New Roman" w:eastAsia="宋体" w:hAnsi="Times New Roman" w:cs="Times New Roman"/>
        </w:rPr>
      </w:pPr>
      <w:r>
        <w:rPr>
          <w:rStyle w:val="a5"/>
        </w:rPr>
        <w:footnoteRef/>
      </w:r>
      <w:r>
        <w:t xml:space="preserve"> </w:t>
      </w:r>
      <w:r w:rsidR="00D45004" w:rsidRPr="006F75F7">
        <w:rPr>
          <w:rFonts w:ascii="Times New Roman" w:eastAsia="宋体" w:hAnsi="Times New Roman" w:cs="Times New Roman"/>
          <w:highlight w:val="yellow"/>
        </w:rPr>
        <w:t>美国普通家庭的医保包括</w:t>
      </w:r>
      <w:r w:rsidR="00D45004" w:rsidRPr="006F75F7">
        <w:rPr>
          <w:rFonts w:ascii="Times New Roman" w:eastAsia="宋体" w:hAnsi="Times New Roman" w:cs="Times New Roman"/>
          <w:highlight w:val="yellow"/>
        </w:rPr>
        <w:t>Medicare</w:t>
      </w:r>
      <w:r w:rsidR="00D45004" w:rsidRPr="006F75F7">
        <w:rPr>
          <w:rFonts w:ascii="Times New Roman" w:eastAsia="宋体" w:hAnsi="Times New Roman" w:cs="Times New Roman"/>
          <w:highlight w:val="yellow"/>
        </w:rPr>
        <w:t>和</w:t>
      </w:r>
      <w:r w:rsidR="00D45004" w:rsidRPr="006F75F7">
        <w:rPr>
          <w:rFonts w:ascii="Times New Roman" w:eastAsia="宋体" w:hAnsi="Times New Roman" w:cs="Times New Roman"/>
          <w:highlight w:val="yellow"/>
        </w:rPr>
        <w:t>Medicaid</w:t>
      </w:r>
      <w:r w:rsidR="00D45004" w:rsidRPr="006F75F7">
        <w:rPr>
          <w:rFonts w:ascii="Times New Roman" w:eastAsia="宋体" w:hAnsi="Times New Roman" w:cs="Times New Roman"/>
          <w:highlight w:val="yellow"/>
        </w:rPr>
        <w:t>两类。</w:t>
      </w:r>
      <w:r w:rsidR="00D45004" w:rsidRPr="006F75F7">
        <w:rPr>
          <w:rFonts w:ascii="Times New Roman" w:eastAsia="宋体" w:hAnsi="Times New Roman" w:cs="Times New Roman"/>
          <w:highlight w:val="yellow"/>
        </w:rPr>
        <w:t>Medicare</w:t>
      </w:r>
      <w:r w:rsidR="00D45004" w:rsidRPr="006F75F7">
        <w:rPr>
          <w:rFonts w:ascii="Times New Roman" w:eastAsia="宋体" w:hAnsi="Times New Roman" w:cs="Times New Roman"/>
          <w:highlight w:val="yellow"/>
        </w:rPr>
        <w:t>以税的形式存在，雇主和雇员分别按照工资的</w:t>
      </w:r>
      <w:r w:rsidR="00D45004" w:rsidRPr="006F75F7">
        <w:rPr>
          <w:rFonts w:ascii="Times New Roman" w:eastAsia="宋体" w:hAnsi="Times New Roman" w:cs="Times New Roman"/>
          <w:highlight w:val="yellow"/>
        </w:rPr>
        <w:t>1.45%</w:t>
      </w:r>
      <w:r w:rsidR="00D45004" w:rsidRPr="006F75F7">
        <w:rPr>
          <w:rFonts w:ascii="Times New Roman" w:eastAsia="宋体" w:hAnsi="Times New Roman" w:cs="Times New Roman"/>
          <w:highlight w:val="yellow"/>
        </w:rPr>
        <w:t>缴纳</w:t>
      </w:r>
      <w:r w:rsidR="00D45004" w:rsidRPr="006F75F7">
        <w:rPr>
          <w:rFonts w:ascii="Times New Roman" w:eastAsia="宋体" w:hAnsi="Times New Roman" w:cs="Times New Roman"/>
          <w:highlight w:val="yellow"/>
        </w:rPr>
        <w:t>Medicare</w:t>
      </w:r>
      <w:r w:rsidR="00D45004" w:rsidRPr="006F75F7">
        <w:rPr>
          <w:rFonts w:ascii="Times New Roman" w:eastAsia="宋体" w:hAnsi="Times New Roman" w:cs="Times New Roman"/>
          <w:highlight w:val="yellow"/>
        </w:rPr>
        <w:t>税，雇员支付部分由雇主从工资中直接扣除，缴纳</w:t>
      </w:r>
      <w:r w:rsidR="00D45004" w:rsidRPr="006F75F7">
        <w:rPr>
          <w:rFonts w:ascii="Times New Roman" w:eastAsia="宋体" w:hAnsi="Times New Roman" w:cs="Times New Roman"/>
          <w:highlight w:val="yellow"/>
        </w:rPr>
        <w:t>Medicare</w:t>
      </w:r>
      <w:r w:rsidR="00D45004" w:rsidRPr="006F75F7">
        <w:rPr>
          <w:rFonts w:ascii="Times New Roman" w:eastAsia="宋体" w:hAnsi="Times New Roman" w:cs="Times New Roman"/>
          <w:highlight w:val="yellow"/>
        </w:rPr>
        <w:t>的雇员在</w:t>
      </w:r>
      <w:r w:rsidR="00D45004" w:rsidRPr="006F75F7">
        <w:rPr>
          <w:rFonts w:ascii="Times New Roman" w:eastAsia="宋体" w:hAnsi="Times New Roman" w:cs="Times New Roman"/>
          <w:highlight w:val="yellow"/>
        </w:rPr>
        <w:t>65</w:t>
      </w:r>
      <w:r w:rsidR="00D45004" w:rsidRPr="006F75F7">
        <w:rPr>
          <w:rFonts w:ascii="Times New Roman" w:eastAsia="宋体" w:hAnsi="Times New Roman" w:cs="Times New Roman"/>
          <w:highlight w:val="yellow"/>
        </w:rPr>
        <w:t>岁以后可以享受相应的医疗保险服务</w:t>
      </w:r>
      <w:r w:rsidR="00A21788">
        <w:rPr>
          <w:rFonts w:ascii="Times New Roman" w:eastAsia="宋体" w:hAnsi="Times New Roman" w:cs="Times New Roman" w:hint="eastAsia"/>
          <w:highlight w:val="yellow"/>
        </w:rPr>
        <w:t>，它包括用于支付医院费用的</w:t>
      </w:r>
      <w:r w:rsidR="00A21788">
        <w:rPr>
          <w:rFonts w:ascii="Times New Roman" w:eastAsia="宋体" w:hAnsi="Times New Roman" w:cs="Times New Roman" w:hint="eastAsia"/>
          <w:highlight w:val="yellow"/>
        </w:rPr>
        <w:t>Part A</w:t>
      </w:r>
      <w:r w:rsidR="00A21788">
        <w:rPr>
          <w:rFonts w:ascii="Times New Roman" w:eastAsia="宋体" w:hAnsi="Times New Roman" w:cs="Times New Roman" w:hint="eastAsia"/>
          <w:highlight w:val="yellow"/>
        </w:rPr>
        <w:t>，可以用来</w:t>
      </w:r>
      <w:r w:rsidR="00DD1025">
        <w:rPr>
          <w:rFonts w:ascii="Times New Roman" w:eastAsia="宋体" w:hAnsi="Times New Roman" w:cs="Times New Roman" w:hint="eastAsia"/>
          <w:highlight w:val="yellow"/>
        </w:rPr>
        <w:t>支付</w:t>
      </w:r>
      <w:r w:rsidR="00A21788">
        <w:rPr>
          <w:rFonts w:ascii="Times New Roman" w:eastAsia="宋体" w:hAnsi="Times New Roman" w:cs="Times New Roman" w:hint="eastAsia"/>
          <w:highlight w:val="yellow"/>
        </w:rPr>
        <w:t>医生费用的补充性保险</w:t>
      </w:r>
      <w:r w:rsidR="00A21788">
        <w:rPr>
          <w:rFonts w:ascii="Times New Roman" w:eastAsia="宋体" w:hAnsi="Times New Roman" w:cs="Times New Roman" w:hint="eastAsia"/>
          <w:highlight w:val="yellow"/>
        </w:rPr>
        <w:t>Part B</w:t>
      </w:r>
      <w:r w:rsidR="00A21788">
        <w:rPr>
          <w:rFonts w:ascii="Times New Roman" w:eastAsia="宋体" w:hAnsi="Times New Roman" w:cs="Times New Roman" w:hint="eastAsia"/>
          <w:highlight w:val="yellow"/>
        </w:rPr>
        <w:t>和用于支付医院药品费用的</w:t>
      </w:r>
      <w:r w:rsidR="00E97C60">
        <w:rPr>
          <w:rFonts w:ascii="Times New Roman" w:eastAsia="宋体" w:hAnsi="Times New Roman" w:cs="Times New Roman" w:hint="eastAsia"/>
          <w:highlight w:val="yellow"/>
        </w:rPr>
        <w:t>补充性保险</w:t>
      </w:r>
      <w:r w:rsidR="00A21788">
        <w:rPr>
          <w:rFonts w:ascii="Times New Roman" w:eastAsia="宋体" w:hAnsi="Times New Roman" w:cs="Times New Roman" w:hint="eastAsia"/>
          <w:highlight w:val="yellow"/>
        </w:rPr>
        <w:t>Part D</w:t>
      </w:r>
      <w:r w:rsidR="00D45004" w:rsidRPr="006F75F7">
        <w:rPr>
          <w:rFonts w:ascii="Times New Roman" w:eastAsia="宋体" w:hAnsi="Times New Roman" w:cs="Times New Roman" w:hint="eastAsia"/>
          <w:highlight w:val="yellow"/>
        </w:rPr>
        <w:t>。</w:t>
      </w:r>
      <w:r w:rsidRPr="006F75F7">
        <w:rPr>
          <w:rFonts w:ascii="Times New Roman" w:eastAsia="宋体" w:hAnsi="Times New Roman" w:cs="Times New Roman"/>
          <w:iCs/>
          <w:highlight w:val="yellow"/>
        </w:rPr>
        <w:t>Medicaid</w:t>
      </w:r>
      <w:r w:rsidR="00D45004" w:rsidRPr="006F75F7">
        <w:rPr>
          <w:rFonts w:ascii="Times New Roman" w:eastAsia="宋体" w:hAnsi="Times New Roman" w:cs="Times New Roman"/>
          <w:iCs/>
          <w:highlight w:val="yellow"/>
        </w:rPr>
        <w:t>以政府补贴形式存在，</w:t>
      </w:r>
      <w:r w:rsidRPr="006F75F7">
        <w:rPr>
          <w:rFonts w:ascii="Times New Roman" w:eastAsia="宋体" w:hAnsi="Times New Roman" w:cs="Times New Roman"/>
          <w:highlight w:val="yellow"/>
        </w:rPr>
        <w:t>是美国政府向低收入群体提供的一种医疗补贴方案，中高收入群体无法享受</w:t>
      </w:r>
      <w:r w:rsidRPr="006F75F7">
        <w:rPr>
          <w:rFonts w:ascii="Times New Roman" w:eastAsia="宋体" w:hAnsi="Times New Roman" w:cs="Times New Roman"/>
          <w:iCs/>
          <w:highlight w:val="yellow"/>
        </w:rPr>
        <w:t>Medicaid</w:t>
      </w:r>
      <w:r w:rsidRPr="006F75F7">
        <w:rPr>
          <w:rFonts w:ascii="Times New Roman" w:eastAsia="宋体" w:hAnsi="Times New Roman" w:cs="Times New Roman"/>
          <w:highlight w:val="yellow"/>
        </w:rPr>
        <w:t>服务</w:t>
      </w:r>
      <w:r w:rsidR="00D45004" w:rsidRPr="006F75F7">
        <w:rPr>
          <w:rFonts w:ascii="Times New Roman" w:eastAsia="宋体" w:hAnsi="Times New Roman" w:cs="Times New Roman" w:hint="eastAsia"/>
          <w:highlight w:val="yellow"/>
        </w:rPr>
        <w:t>，该笔支出由联邦通过转移支付的方式支付给</w:t>
      </w:r>
      <w:r w:rsidR="00263269" w:rsidRPr="006F75F7">
        <w:rPr>
          <w:rFonts w:ascii="Times New Roman" w:eastAsia="宋体" w:hAnsi="Times New Roman" w:cs="Times New Roman" w:hint="eastAsia"/>
          <w:highlight w:val="yellow"/>
        </w:rPr>
        <w:t>州</w:t>
      </w:r>
      <w:r w:rsidR="00D45004" w:rsidRPr="006F75F7">
        <w:rPr>
          <w:rFonts w:ascii="Times New Roman" w:eastAsia="宋体" w:hAnsi="Times New Roman" w:cs="Times New Roman" w:hint="eastAsia"/>
          <w:highlight w:val="yellow"/>
        </w:rPr>
        <w:t>政府，再通过各级州政府与对应的医疗机构结算。</w:t>
      </w:r>
    </w:p>
  </w:footnote>
  <w:footnote w:id="11">
    <w:p w14:paraId="475AC373" w14:textId="3F2882C5" w:rsidR="00E02A5D" w:rsidRDefault="00E02A5D" w:rsidP="00683734">
      <w:pPr>
        <w:pStyle w:val="a3"/>
      </w:pPr>
      <w:r>
        <w:rPr>
          <w:rStyle w:val="a5"/>
        </w:rPr>
        <w:footnoteRef/>
      </w:r>
      <w:r w:rsidR="0088709A" w:rsidRPr="006F75F7">
        <w:rPr>
          <w:rFonts w:ascii="Times New Roman" w:eastAsia="宋体" w:hAnsi="Times New Roman" w:cs="Times New Roman"/>
          <w:highlight w:val="yellow"/>
        </w:rPr>
        <w:t>美国普通雇员的社保包括两类。一类是雇主与雇员分别以工资的</w:t>
      </w:r>
      <w:r w:rsidR="0088709A" w:rsidRPr="006F75F7">
        <w:rPr>
          <w:rFonts w:ascii="Times New Roman" w:eastAsia="宋体" w:hAnsi="Times New Roman" w:cs="Times New Roman"/>
          <w:highlight w:val="yellow"/>
        </w:rPr>
        <w:t>6.2%</w:t>
      </w:r>
      <w:r w:rsidR="0088709A" w:rsidRPr="006F75F7">
        <w:rPr>
          <w:rFonts w:ascii="Times New Roman" w:eastAsia="宋体" w:hAnsi="Times New Roman" w:cs="Times New Roman"/>
          <w:highlight w:val="yellow"/>
        </w:rPr>
        <w:t>缴纳</w:t>
      </w:r>
      <w:r w:rsidR="00263269" w:rsidRPr="006F75F7">
        <w:rPr>
          <w:rFonts w:ascii="Times New Roman" w:eastAsia="宋体" w:hAnsi="Times New Roman" w:cs="Times New Roman"/>
          <w:highlight w:val="yellow"/>
        </w:rPr>
        <w:t>Social Security</w:t>
      </w:r>
      <w:r w:rsidR="0088709A" w:rsidRPr="006F75F7">
        <w:rPr>
          <w:rFonts w:ascii="Times New Roman" w:eastAsia="宋体" w:hAnsi="Times New Roman" w:cs="Times New Roman"/>
          <w:highlight w:val="yellow"/>
        </w:rPr>
        <w:t>，相应的税款进入美国财政部监管的</w:t>
      </w:r>
      <w:r w:rsidR="00683734" w:rsidRPr="006F75F7">
        <w:rPr>
          <w:rFonts w:ascii="Times New Roman" w:eastAsia="宋体" w:hAnsi="Times New Roman" w:cs="Times New Roman" w:hint="eastAsia"/>
          <w:highlight w:val="yellow"/>
        </w:rPr>
        <w:t>社保基金账户，即老年与幸存者保险信托基金（</w:t>
      </w:r>
      <w:r w:rsidR="00683734" w:rsidRPr="006F75F7">
        <w:rPr>
          <w:rFonts w:ascii="Times New Roman" w:eastAsia="宋体" w:hAnsi="Times New Roman" w:cs="Times New Roman"/>
          <w:highlight w:val="yellow"/>
        </w:rPr>
        <w:t>Old-Age and Survivors Insurance Trust Fund</w:t>
      </w:r>
      <w:r w:rsidR="00683734" w:rsidRPr="006F75F7">
        <w:rPr>
          <w:rFonts w:ascii="Times New Roman" w:eastAsia="宋体" w:hAnsi="Times New Roman" w:cs="Times New Roman" w:hint="eastAsia"/>
          <w:highlight w:val="yellow"/>
        </w:rPr>
        <w:t>）和残疾人保险信托账户（</w:t>
      </w:r>
      <w:r w:rsidR="00683734" w:rsidRPr="006F75F7">
        <w:rPr>
          <w:rFonts w:ascii="Times New Roman" w:eastAsia="宋体" w:hAnsi="Times New Roman" w:cs="Times New Roman"/>
          <w:highlight w:val="yellow"/>
        </w:rPr>
        <w:t>Disability Insurance</w:t>
      </w:r>
      <w:r w:rsidR="00683734" w:rsidRPr="006F75F7">
        <w:rPr>
          <w:rFonts w:ascii="Times New Roman" w:eastAsia="宋体" w:hAnsi="Times New Roman" w:cs="Times New Roman" w:hint="eastAsia"/>
          <w:highlight w:val="yellow"/>
        </w:rPr>
        <w:t xml:space="preserve"> </w:t>
      </w:r>
      <w:r w:rsidR="00D22A8F" w:rsidRPr="006F75F7">
        <w:rPr>
          <w:rFonts w:ascii="Times New Roman" w:eastAsia="宋体" w:hAnsi="Times New Roman" w:cs="Times New Roman"/>
          <w:highlight w:val="yellow"/>
        </w:rPr>
        <w:t>trust</w:t>
      </w:r>
      <w:r w:rsidR="00683734" w:rsidRPr="006F75F7">
        <w:rPr>
          <w:rFonts w:ascii="Times New Roman" w:eastAsia="宋体" w:hAnsi="Times New Roman" w:cs="Times New Roman"/>
          <w:highlight w:val="yellow"/>
        </w:rPr>
        <w:t xml:space="preserve"> Fund</w:t>
      </w:r>
      <w:r w:rsidR="00683734" w:rsidRPr="006F75F7">
        <w:rPr>
          <w:rFonts w:ascii="Times New Roman" w:eastAsia="宋体" w:hAnsi="Times New Roman" w:cs="Times New Roman" w:hint="eastAsia"/>
          <w:highlight w:val="yellow"/>
        </w:rPr>
        <w:t>），雇员达到退休年龄后注册领取养老金。另一类是企业与个人缴付的社会性养老基金，称</w:t>
      </w:r>
      <w:r w:rsidR="00683734" w:rsidRPr="006F75F7">
        <w:rPr>
          <w:rFonts w:ascii="Times New Roman" w:eastAsia="宋体" w:hAnsi="Times New Roman" w:cs="Times New Roman" w:hint="eastAsia"/>
          <w:highlight w:val="yellow"/>
        </w:rPr>
        <w:t>pension</w:t>
      </w:r>
      <w:r w:rsidR="00683734" w:rsidRPr="006F75F7">
        <w:rPr>
          <w:rFonts w:ascii="Times New Roman" w:eastAsia="宋体" w:hAnsi="Times New Roman" w:cs="Times New Roman" w:hint="eastAsia"/>
          <w:highlight w:val="yellow"/>
        </w:rPr>
        <w:t>，它包括</w:t>
      </w:r>
      <w:r w:rsidR="00683734" w:rsidRPr="006F75F7">
        <w:rPr>
          <w:rFonts w:ascii="Times New Roman" w:eastAsia="宋体" w:hAnsi="Times New Roman" w:cs="Times New Roman" w:hint="eastAsia"/>
          <w:highlight w:val="yellow"/>
        </w:rPr>
        <w:t>Defined Benefit Plan</w:t>
      </w:r>
      <w:r w:rsidR="00683734" w:rsidRPr="006F75F7">
        <w:rPr>
          <w:rFonts w:ascii="Times New Roman" w:eastAsia="宋体" w:hAnsi="Times New Roman" w:cs="Times New Roman" w:hint="eastAsia"/>
          <w:highlight w:val="yellow"/>
        </w:rPr>
        <w:t>和</w:t>
      </w:r>
      <w:r w:rsidR="00683734" w:rsidRPr="006F75F7">
        <w:rPr>
          <w:rFonts w:ascii="Times New Roman" w:eastAsia="宋体" w:hAnsi="Times New Roman" w:cs="Times New Roman" w:hint="eastAsia"/>
          <w:highlight w:val="yellow"/>
        </w:rPr>
        <w:t>Defined Contribution Plan</w:t>
      </w:r>
      <w:r w:rsidR="00683734" w:rsidRPr="006F75F7">
        <w:rPr>
          <w:rFonts w:ascii="Times New Roman" w:eastAsia="宋体" w:hAnsi="Times New Roman" w:cs="Times New Roman" w:hint="eastAsia"/>
          <w:highlight w:val="yellow"/>
        </w:rPr>
        <w:t>两种，缴付比例由雇主与雇员协商确定，这类基金是社会化运营，一般投向可公开交易的有价证券</w:t>
      </w:r>
      <w:r w:rsidR="001A3EF4">
        <w:rPr>
          <w:rFonts w:ascii="Times New Roman" w:eastAsia="宋体" w:hAnsi="Times New Roman" w:cs="Times New Roman" w:hint="eastAsia"/>
        </w:rPr>
        <w:t>。</w:t>
      </w:r>
    </w:p>
  </w:footnote>
  <w:footnote w:id="12">
    <w:p w14:paraId="71C636EE" w14:textId="71954D95" w:rsidR="00E02A5D" w:rsidRPr="002D714E" w:rsidRDefault="00E02A5D">
      <w:pPr>
        <w:pStyle w:val="a3"/>
        <w:rPr>
          <w:i/>
          <w:iCs/>
        </w:rPr>
      </w:pPr>
      <w:r>
        <w:rPr>
          <w:rStyle w:val="a5"/>
        </w:rPr>
        <w:footnoteRef/>
      </w:r>
      <w:r>
        <w:t xml:space="preserve"> </w:t>
      </w:r>
      <w:r w:rsidR="00CC413C">
        <w:rPr>
          <w:rFonts w:ascii="Times New Roman" w:hAnsi="Times New Roman" w:cs="Times New Roman" w:hint="eastAsia"/>
          <w:sz w:val="21"/>
          <w:szCs w:val="21"/>
        </w:rPr>
        <w:t xml:space="preserve">Federal Reserve </w:t>
      </w:r>
      <w:r w:rsidR="00CC413C" w:rsidRPr="00BF1FE6">
        <w:rPr>
          <w:rFonts w:ascii="Times New Roman" w:hAnsi="Times New Roman" w:cs="Times New Roman"/>
          <w:sz w:val="21"/>
          <w:szCs w:val="21"/>
        </w:rPr>
        <w:t>Statistical</w:t>
      </w:r>
      <w:r w:rsidR="00CC413C" w:rsidRPr="00BF1FE6">
        <w:rPr>
          <w:rFonts w:ascii="Times New Roman" w:hAnsi="Times New Roman" w:cs="Times New Roman" w:hint="eastAsia"/>
          <w:sz w:val="21"/>
          <w:szCs w:val="21"/>
        </w:rPr>
        <w:t xml:space="preserve"> Release</w:t>
      </w:r>
      <w:r w:rsidR="00CC413C" w:rsidRPr="009674DE">
        <w:rPr>
          <w:rFonts w:ascii="Times New Roman" w:hAnsi="Times New Roman" w:cs="Times New Roman" w:hint="eastAsia"/>
          <w:sz w:val="21"/>
          <w:szCs w:val="21"/>
        </w:rPr>
        <w:t xml:space="preserve">, </w:t>
      </w:r>
      <w:r w:rsidR="00CC413C" w:rsidRPr="009674DE">
        <w:rPr>
          <w:rFonts w:ascii="Times New Roman" w:hAnsi="Times New Roman" w:cs="Times New Roman"/>
          <w:sz w:val="21"/>
          <w:szCs w:val="21"/>
        </w:rPr>
        <w:t>Z.1 Financial Accounts of United States: Flow of Funds, Balance Sheets, and Integrated Macroeconomic Accounts Historical Annual Tables</w:t>
      </w:r>
      <w:r w:rsidR="00CC413C" w:rsidRPr="009674DE">
        <w:rPr>
          <w:rFonts w:ascii="Times New Roman" w:hAnsi="Times New Roman" w:cs="Times New Roman" w:hint="eastAsia"/>
          <w:sz w:val="21"/>
          <w:szCs w:val="21"/>
        </w:rPr>
        <w:t>,</w:t>
      </w:r>
      <w:r w:rsidR="00CC413C" w:rsidRPr="009674DE">
        <w:rPr>
          <w:rFonts w:ascii="Times New Roman" w:hAnsi="Times New Roman" w:cs="Times New Roman"/>
          <w:sz w:val="21"/>
          <w:szCs w:val="21"/>
        </w:rPr>
        <w:t xml:space="preserve"> </w:t>
      </w:r>
      <w:r w:rsidR="00CC413C">
        <w:rPr>
          <w:rFonts w:ascii="Times New Roman" w:hAnsi="Times New Roman" w:cs="Times New Roman" w:hint="eastAsia"/>
          <w:sz w:val="21"/>
          <w:szCs w:val="21"/>
        </w:rPr>
        <w:t>历年（</w:t>
      </w:r>
      <w:r w:rsidR="00CC413C">
        <w:rPr>
          <w:rFonts w:ascii="Times New Roman" w:hAnsi="Times New Roman" w:cs="Times New Roman" w:hint="eastAsia"/>
          <w:sz w:val="21"/>
          <w:szCs w:val="21"/>
        </w:rPr>
        <w:t>1945</w:t>
      </w:r>
      <w:r w:rsidR="00CC413C">
        <w:rPr>
          <w:rFonts w:ascii="Times New Roman" w:hAnsi="Times New Roman" w:cs="Times New Roman" w:hint="eastAsia"/>
          <w:sz w:val="21"/>
          <w:szCs w:val="21"/>
        </w:rPr>
        <w:t>—</w:t>
      </w:r>
      <w:r w:rsidR="00CC413C">
        <w:rPr>
          <w:rFonts w:ascii="Times New Roman" w:hAnsi="Times New Roman" w:cs="Times New Roman" w:hint="eastAsia"/>
          <w:sz w:val="21"/>
          <w:szCs w:val="21"/>
        </w:rPr>
        <w:t>2023</w:t>
      </w:r>
      <w:r w:rsidR="00CC413C">
        <w:rPr>
          <w:rFonts w:ascii="Times New Roman" w:hAnsi="Times New Roman" w:cs="Times New Roman" w:hint="eastAsia"/>
          <w:sz w:val="21"/>
          <w:szCs w:val="21"/>
        </w:rPr>
        <w:t>）。</w:t>
      </w:r>
    </w:p>
  </w:footnote>
  <w:footnote w:id="13">
    <w:p w14:paraId="107C9101" w14:textId="6A8AAC4F" w:rsidR="00C533F6" w:rsidRPr="000A42E5" w:rsidRDefault="00C533F6">
      <w:pPr>
        <w:pStyle w:val="a3"/>
      </w:pPr>
      <w:r>
        <w:rPr>
          <w:rStyle w:val="a5"/>
        </w:rPr>
        <w:footnoteRef/>
      </w:r>
      <w:r>
        <w:t xml:space="preserve"> </w:t>
      </w:r>
      <w:r w:rsidR="000A42E5" w:rsidRPr="00D44899">
        <w:rPr>
          <w:rFonts w:ascii="Times New Roman" w:eastAsia="宋体" w:hAnsi="Times New Roman" w:cs="Times New Roman"/>
        </w:rPr>
        <w:t>数据来自美联储</w:t>
      </w:r>
      <w:r w:rsidR="000A42E5" w:rsidRPr="00D44899">
        <w:rPr>
          <w:rFonts w:ascii="Times New Roman" w:eastAsia="宋体" w:hAnsi="Times New Roman" w:cs="Times New Roman"/>
        </w:rPr>
        <w:t>Z.1</w:t>
      </w:r>
      <w:r w:rsidR="000A42E5" w:rsidRPr="00D44899">
        <w:rPr>
          <w:rFonts w:ascii="Times New Roman" w:eastAsia="宋体" w:hAnsi="Times New Roman" w:cs="Times New Roman"/>
        </w:rPr>
        <w:t>报表</w:t>
      </w:r>
      <w:r w:rsidR="000A42E5" w:rsidRPr="00D44899">
        <w:rPr>
          <w:rFonts w:ascii="Times New Roman" w:eastAsia="宋体" w:hAnsi="Times New Roman" w:cs="Times New Roman"/>
        </w:rPr>
        <w:t>B.104 Balance Sheet of Nonfinancial Noncorporate Business</w:t>
      </w:r>
      <w:r w:rsidR="000A42E5" w:rsidRPr="00D44899">
        <w:rPr>
          <w:rFonts w:ascii="Times New Roman" w:eastAsia="宋体" w:hAnsi="Times New Roman" w:cs="Times New Roman"/>
        </w:rPr>
        <w:t>，详见</w:t>
      </w:r>
      <w:r w:rsidR="00CF7783">
        <w:rPr>
          <w:rFonts w:ascii="Times New Roman" w:eastAsia="宋体" w:hAnsi="Times New Roman" w:cs="Times New Roman"/>
        </w:rPr>
        <w:fldChar w:fldCharType="begin"/>
      </w:r>
      <w:r w:rsidR="00CF7783">
        <w:rPr>
          <w:rFonts w:ascii="Times New Roman" w:eastAsia="宋体" w:hAnsi="Times New Roman" w:cs="Times New Roman"/>
        </w:rPr>
        <w:instrText>HYPERLINK "</w:instrText>
      </w:r>
      <w:r w:rsidR="00CF7783" w:rsidRPr="00CF7783">
        <w:rPr>
          <w:rFonts w:ascii="Times New Roman" w:eastAsia="宋体" w:hAnsi="Times New Roman" w:cs="Times New Roman"/>
        </w:rPr>
        <w:instrText>https://www.federalreserve.gov/releases/z1/20240912/html/default.htm</w:instrText>
      </w:r>
      <w:r w:rsidR="00CF7783">
        <w:rPr>
          <w:rFonts w:ascii="Times New Roman" w:eastAsia="宋体" w:hAnsi="Times New Roman" w:cs="Times New Roman"/>
        </w:rPr>
        <w:instrText>"</w:instrText>
      </w:r>
      <w:r w:rsidR="00CF7783">
        <w:rPr>
          <w:rFonts w:ascii="Times New Roman" w:eastAsia="宋体" w:hAnsi="Times New Roman" w:cs="Times New Roman"/>
        </w:rPr>
      </w:r>
      <w:r w:rsidR="00CF7783">
        <w:rPr>
          <w:rFonts w:ascii="Times New Roman" w:eastAsia="宋体" w:hAnsi="Times New Roman" w:cs="Times New Roman"/>
        </w:rPr>
        <w:fldChar w:fldCharType="separate"/>
      </w:r>
      <w:r w:rsidR="00CF7783" w:rsidRPr="00E0677A">
        <w:rPr>
          <w:rStyle w:val="af4"/>
          <w:rFonts w:ascii="Times New Roman" w:eastAsia="宋体" w:hAnsi="Times New Roman" w:cs="Times New Roman"/>
        </w:rPr>
        <w:t>https://www.federalreserve.gov/releases/z1/20240912/html/default.htm</w:t>
      </w:r>
      <w:r w:rsidR="00CF7783">
        <w:rPr>
          <w:rFonts w:ascii="Times New Roman" w:eastAsia="宋体" w:hAnsi="Times New Roman" w:cs="Times New Roman"/>
        </w:rPr>
        <w:fldChar w:fldCharType="end"/>
      </w:r>
      <w:r w:rsidR="00CF7783">
        <w:rPr>
          <w:rFonts w:ascii="Times New Roman" w:eastAsia="宋体" w:hAnsi="Times New Roman" w:cs="Times New Roman" w:hint="eastAsia"/>
        </w:rPr>
        <w:t xml:space="preserve">, </w:t>
      </w:r>
      <w:r w:rsidR="00C46339">
        <w:rPr>
          <w:rFonts w:ascii="Times New Roman" w:eastAsia="宋体" w:hAnsi="Times New Roman" w:cs="Times New Roman"/>
        </w:rPr>
        <w:t>retrieved Oct.7,2024</w:t>
      </w:r>
    </w:p>
  </w:footnote>
  <w:footnote w:id="14">
    <w:p w14:paraId="26F95EE3" w14:textId="04191C0E" w:rsidR="00E02A5D" w:rsidRPr="00315924" w:rsidRDefault="00E02A5D">
      <w:pPr>
        <w:pStyle w:val="a3"/>
      </w:pPr>
      <w:r>
        <w:rPr>
          <w:rStyle w:val="a5"/>
        </w:rPr>
        <w:footnoteRef/>
      </w:r>
      <w:r>
        <w:t xml:space="preserve"> </w:t>
      </w:r>
      <w:r w:rsidRPr="00777661">
        <w:rPr>
          <w:rFonts w:ascii="Times New Roman" w:eastAsia="宋体" w:hAnsi="Times New Roman" w:cs="Times New Roman"/>
        </w:rPr>
        <w:t>利润率为净利润与营收的比例关系，与企业营收相比，</w:t>
      </w:r>
      <w:r w:rsidRPr="00777661">
        <w:rPr>
          <w:rFonts w:ascii="Times New Roman" w:eastAsia="宋体" w:hAnsi="Times New Roman" w:cs="Times New Roman"/>
        </w:rPr>
        <w:t>GDI</w:t>
      </w:r>
      <w:r w:rsidRPr="00777661">
        <w:rPr>
          <w:rFonts w:ascii="Times New Roman" w:eastAsia="宋体" w:hAnsi="Times New Roman" w:cs="Times New Roman"/>
        </w:rPr>
        <w:t>缺少原材料等中间品投入数据。</w:t>
      </w:r>
      <w:r>
        <w:rPr>
          <w:rFonts w:ascii="Times New Roman" w:eastAsia="宋体" w:hAnsi="Times New Roman" w:cs="Times New Roman" w:hint="eastAsia"/>
        </w:rPr>
        <w:t>在供应链相对稳定的情况下，企业原材料投入与人工保持相对稳定的比例，因此可以假定营收是</w:t>
      </w:r>
      <w:r>
        <w:rPr>
          <w:rFonts w:ascii="Times New Roman" w:eastAsia="宋体" w:hAnsi="Times New Roman" w:cs="Times New Roman" w:hint="eastAsia"/>
        </w:rPr>
        <w:t>GDI</w:t>
      </w:r>
      <w:r>
        <w:rPr>
          <w:rFonts w:ascii="Times New Roman" w:eastAsia="宋体" w:hAnsi="Times New Roman" w:cs="Times New Roman" w:hint="eastAsia"/>
        </w:rPr>
        <w:t>与劳动者报酬</w:t>
      </w:r>
      <w:r w:rsidRPr="00DE5F8D">
        <w:rPr>
          <w:rFonts w:ascii="Times New Roman" w:eastAsia="宋体" w:hAnsi="Times New Roman" w:cs="Times New Roman" w:hint="eastAsia"/>
        </w:rPr>
        <w:t>固定倍数的加总，该指标与</w:t>
      </w:r>
      <w:r w:rsidRPr="00DE5F8D">
        <w:rPr>
          <w:rFonts w:ascii="Times New Roman" w:eastAsia="宋体" w:hAnsi="Times New Roman" w:cs="Times New Roman" w:hint="eastAsia"/>
        </w:rPr>
        <w:t>GDI</w:t>
      </w:r>
      <w:r w:rsidRPr="00DE5F8D">
        <w:rPr>
          <w:rFonts w:ascii="Times New Roman" w:eastAsia="宋体" w:hAnsi="Times New Roman" w:cs="Times New Roman" w:hint="eastAsia"/>
        </w:rPr>
        <w:t>呈现波动关系。为简化计，以企业税后利润与</w:t>
      </w:r>
      <w:r w:rsidRPr="00DE5F8D">
        <w:rPr>
          <w:rFonts w:ascii="Times New Roman" w:eastAsia="宋体" w:hAnsi="Times New Roman" w:cs="Times New Roman" w:hint="eastAsia"/>
        </w:rPr>
        <w:t>GDI</w:t>
      </w:r>
      <w:r w:rsidRPr="00DE5F8D">
        <w:rPr>
          <w:rFonts w:ascii="Times New Roman" w:eastAsia="宋体" w:hAnsi="Times New Roman" w:cs="Times New Roman" w:hint="eastAsia"/>
        </w:rPr>
        <w:t>的比例关系为模拟利润</w:t>
      </w:r>
      <w:r w:rsidR="001F2B93" w:rsidRPr="00DE5F8D">
        <w:rPr>
          <w:rFonts w:ascii="Times New Roman" w:eastAsia="宋体" w:hAnsi="Times New Roman" w:cs="Times New Roman" w:hint="eastAsia"/>
        </w:rPr>
        <w:t>率</w:t>
      </w:r>
      <w:r w:rsidRPr="00DE5F8D">
        <w:rPr>
          <w:rFonts w:ascii="Times New Roman" w:eastAsia="宋体" w:hAnsi="Times New Roman" w:cs="Times New Roman" w:hint="eastAsia"/>
        </w:rPr>
        <w:t>。真实</w:t>
      </w:r>
      <w:r>
        <w:rPr>
          <w:rFonts w:ascii="Times New Roman" w:eastAsia="宋体" w:hAnsi="Times New Roman" w:cs="Times New Roman" w:hint="eastAsia"/>
        </w:rPr>
        <w:t>的利润率比模拟利润率低，例如</w:t>
      </w:r>
      <w:r w:rsidR="001F2B93">
        <w:rPr>
          <w:rFonts w:ascii="Times New Roman" w:eastAsia="宋体" w:hAnsi="Times New Roman" w:cs="Times New Roman" w:hint="eastAsia"/>
        </w:rPr>
        <w:t>，</w:t>
      </w:r>
      <w:r>
        <w:rPr>
          <w:rFonts w:ascii="Times New Roman" w:eastAsia="宋体" w:hAnsi="Times New Roman" w:cs="Times New Roman" w:hint="eastAsia"/>
        </w:rPr>
        <w:t>原材料等投入是人工的</w:t>
      </w:r>
      <w:r>
        <w:rPr>
          <w:rFonts w:ascii="Times New Roman" w:eastAsia="宋体" w:hAnsi="Times New Roman" w:cs="Times New Roman" w:hint="eastAsia"/>
        </w:rPr>
        <w:t>2</w:t>
      </w:r>
      <w:r>
        <w:rPr>
          <w:rFonts w:ascii="Times New Roman" w:eastAsia="宋体" w:hAnsi="Times New Roman" w:cs="Times New Roman" w:hint="eastAsia"/>
        </w:rPr>
        <w:t>倍时，美国企业营收估算数据为</w:t>
      </w:r>
      <w:r>
        <w:rPr>
          <w:rFonts w:ascii="Times New Roman" w:eastAsia="宋体" w:hAnsi="Times New Roman" w:cs="Times New Roman" w:hint="eastAsia"/>
        </w:rPr>
        <w:t>55</w:t>
      </w:r>
      <w:r>
        <w:rPr>
          <w:rFonts w:ascii="Times New Roman" w:eastAsia="宋体" w:hAnsi="Times New Roman" w:cs="Times New Roman" w:hint="eastAsia"/>
        </w:rPr>
        <w:t>万亿美元，实际净利润率为</w:t>
      </w:r>
      <w:r>
        <w:rPr>
          <w:rFonts w:ascii="Times New Roman" w:eastAsia="宋体" w:hAnsi="Times New Roman" w:cs="Times New Roman" w:hint="eastAsia"/>
        </w:rPr>
        <w:t>3.9%</w:t>
      </w:r>
      <w:r>
        <w:rPr>
          <w:rFonts w:ascii="Times New Roman" w:eastAsia="宋体" w:hAnsi="Times New Roman" w:cs="Times New Roman" w:hint="eastAsia"/>
        </w:rPr>
        <w:t>。</w:t>
      </w:r>
      <w:r w:rsidR="001F2B93" w:rsidRPr="006F75F7">
        <w:rPr>
          <w:rFonts w:ascii="Times New Roman" w:eastAsia="宋体" w:hAnsi="Times New Roman" w:cs="Times New Roman" w:hint="eastAsia"/>
          <w:highlight w:val="yellow"/>
        </w:rPr>
        <w:t>二</w:t>
      </w:r>
      <w:r w:rsidRPr="006F75F7">
        <w:rPr>
          <w:rFonts w:ascii="Times New Roman" w:eastAsia="宋体" w:hAnsi="Times New Roman" w:cs="Times New Roman" w:hint="eastAsia"/>
          <w:highlight w:val="yellow"/>
        </w:rPr>
        <w:t>战后初期，美国企业制造业比例相对较高，</w:t>
      </w:r>
      <w:r w:rsidR="00F96AC2" w:rsidRPr="006F75F7">
        <w:rPr>
          <w:rFonts w:ascii="Times New Roman" w:eastAsia="宋体" w:hAnsi="Times New Roman" w:cs="Times New Roman" w:hint="eastAsia"/>
          <w:highlight w:val="yellow"/>
        </w:rPr>
        <w:t>原材料、资本折旧支出占比较高，</w:t>
      </w:r>
      <w:r w:rsidRPr="006F75F7">
        <w:rPr>
          <w:rFonts w:ascii="Times New Roman" w:eastAsia="宋体" w:hAnsi="Times New Roman" w:cs="Times New Roman" w:hint="eastAsia"/>
          <w:highlight w:val="yellow"/>
        </w:rPr>
        <w:t>人工占生产成本比例较低，相应的企业利润率会低一些</w:t>
      </w:r>
      <w:r w:rsidR="00F96AC2" w:rsidRPr="006F75F7">
        <w:rPr>
          <w:rFonts w:ascii="Times New Roman" w:eastAsia="宋体" w:hAnsi="Times New Roman" w:cs="Times New Roman" w:hint="eastAsia"/>
          <w:highlight w:val="yellow"/>
        </w:rPr>
        <w:t>，如通用汽车</w:t>
      </w:r>
      <w:r w:rsidR="00F96AC2" w:rsidRPr="006F75F7">
        <w:rPr>
          <w:rFonts w:ascii="Times New Roman" w:eastAsia="宋体" w:hAnsi="Times New Roman" w:cs="Times New Roman" w:hint="eastAsia"/>
          <w:highlight w:val="yellow"/>
        </w:rPr>
        <w:t>2023</w:t>
      </w:r>
      <w:r w:rsidR="00F96AC2" w:rsidRPr="006F75F7">
        <w:rPr>
          <w:rFonts w:ascii="Times New Roman" w:eastAsia="宋体" w:hAnsi="Times New Roman" w:cs="Times New Roman" w:hint="eastAsia"/>
          <w:highlight w:val="yellow"/>
        </w:rPr>
        <w:t>财年</w:t>
      </w:r>
      <w:r w:rsidR="00AD04B7" w:rsidRPr="006F75F7">
        <w:rPr>
          <w:rFonts w:ascii="Times New Roman" w:eastAsia="宋体" w:hAnsi="Times New Roman" w:cs="Times New Roman" w:hint="eastAsia"/>
          <w:highlight w:val="yellow"/>
        </w:rPr>
        <w:t>净</w:t>
      </w:r>
      <w:r w:rsidR="00F96AC2" w:rsidRPr="006F75F7">
        <w:rPr>
          <w:rFonts w:ascii="Times New Roman" w:eastAsia="宋体" w:hAnsi="Times New Roman" w:cs="Times New Roman" w:hint="eastAsia"/>
          <w:highlight w:val="yellow"/>
        </w:rPr>
        <w:t>利率为</w:t>
      </w:r>
      <w:r w:rsidR="00F96AC2" w:rsidRPr="006F75F7">
        <w:rPr>
          <w:rFonts w:ascii="Times New Roman" w:eastAsia="宋体" w:hAnsi="Times New Roman" w:cs="Times New Roman" w:hint="eastAsia"/>
          <w:highlight w:val="yellow"/>
        </w:rPr>
        <w:t>8.9%</w:t>
      </w:r>
      <w:r w:rsidRPr="006F75F7">
        <w:rPr>
          <w:rFonts w:ascii="Times New Roman" w:eastAsia="宋体" w:hAnsi="Times New Roman" w:cs="Times New Roman" w:hint="eastAsia"/>
          <w:highlight w:val="yellow"/>
        </w:rPr>
        <w:t>。如今，美国服务业比例偏高，人工占生产成本的比例较高，对应的利润率会高一些</w:t>
      </w:r>
      <w:r w:rsidR="00AD04B7" w:rsidRPr="006F75F7">
        <w:rPr>
          <w:rFonts w:ascii="Times New Roman" w:eastAsia="宋体" w:hAnsi="Times New Roman" w:cs="Times New Roman" w:hint="eastAsia"/>
          <w:highlight w:val="yellow"/>
        </w:rPr>
        <w:t>，如</w:t>
      </w:r>
      <w:r w:rsidR="007D4D99" w:rsidRPr="006F75F7">
        <w:rPr>
          <w:rFonts w:ascii="Times New Roman" w:eastAsia="宋体" w:hAnsi="Times New Roman" w:cs="Times New Roman" w:hint="eastAsia"/>
          <w:highlight w:val="yellow"/>
        </w:rPr>
        <w:t>谷歌</w:t>
      </w:r>
      <w:r w:rsidR="00AD04B7" w:rsidRPr="006F75F7">
        <w:rPr>
          <w:rFonts w:ascii="Times New Roman" w:eastAsia="宋体" w:hAnsi="Times New Roman" w:cs="Times New Roman" w:hint="eastAsia"/>
          <w:highlight w:val="yellow"/>
        </w:rPr>
        <w:t>母公司</w:t>
      </w:r>
      <w:r w:rsidR="007D4D99" w:rsidRPr="006F75F7">
        <w:rPr>
          <w:rFonts w:ascii="Times New Roman" w:eastAsia="宋体" w:hAnsi="Times New Roman" w:cs="Times New Roman"/>
          <w:highlight w:val="yellow"/>
        </w:rPr>
        <w:t>Alphabet</w:t>
      </w:r>
      <w:r w:rsidR="007D4D99" w:rsidRPr="006F75F7">
        <w:rPr>
          <w:rFonts w:ascii="Times New Roman" w:eastAsia="宋体" w:hAnsi="Times New Roman" w:cs="Times New Roman" w:hint="eastAsia"/>
          <w:highlight w:val="yellow"/>
        </w:rPr>
        <w:t xml:space="preserve"> </w:t>
      </w:r>
      <w:r w:rsidR="00AD04B7" w:rsidRPr="006F75F7">
        <w:rPr>
          <w:rFonts w:ascii="Times New Roman" w:eastAsia="宋体" w:hAnsi="Times New Roman" w:cs="Times New Roman" w:hint="eastAsia"/>
          <w:highlight w:val="yellow"/>
        </w:rPr>
        <w:t>2023</w:t>
      </w:r>
      <w:r w:rsidR="00AD04B7" w:rsidRPr="006F75F7">
        <w:rPr>
          <w:rFonts w:ascii="Times New Roman" w:eastAsia="宋体" w:hAnsi="Times New Roman" w:cs="Times New Roman" w:hint="eastAsia"/>
          <w:highlight w:val="yellow"/>
        </w:rPr>
        <w:t>财年的净利润率高达</w:t>
      </w:r>
      <w:r w:rsidR="00AD04B7" w:rsidRPr="006F75F7">
        <w:rPr>
          <w:rFonts w:ascii="Times New Roman" w:eastAsia="宋体" w:hAnsi="Times New Roman" w:cs="Times New Roman" w:hint="eastAsia"/>
          <w:highlight w:val="yellow"/>
        </w:rPr>
        <w:t>29.0%</w:t>
      </w:r>
      <w:r w:rsidR="007D4D99" w:rsidRPr="006F75F7">
        <w:rPr>
          <w:rFonts w:ascii="Times New Roman" w:eastAsia="宋体" w:hAnsi="Times New Roman" w:cs="Times New Roman" w:hint="eastAsia"/>
          <w:highlight w:val="yellow"/>
        </w:rPr>
        <w:t>、黑石</w:t>
      </w:r>
      <w:r w:rsidR="007D4D99" w:rsidRPr="006F75F7">
        <w:rPr>
          <w:rFonts w:ascii="Times New Roman" w:eastAsia="宋体" w:hAnsi="Times New Roman" w:cs="Times New Roman" w:hint="eastAsia"/>
          <w:highlight w:val="yellow"/>
        </w:rPr>
        <w:t>2023</w:t>
      </w:r>
      <w:r w:rsidR="007D4D99" w:rsidRPr="006F75F7">
        <w:rPr>
          <w:rFonts w:ascii="Times New Roman" w:eastAsia="宋体" w:hAnsi="Times New Roman" w:cs="Times New Roman" w:hint="eastAsia"/>
          <w:highlight w:val="yellow"/>
        </w:rPr>
        <w:t>财年的净利润率</w:t>
      </w:r>
      <w:r w:rsidR="007D4D99" w:rsidRPr="006F75F7">
        <w:rPr>
          <w:rFonts w:ascii="Times New Roman" w:eastAsia="宋体" w:hAnsi="Times New Roman" w:cs="Times New Roman" w:hint="eastAsia"/>
          <w:highlight w:val="yellow"/>
        </w:rPr>
        <w:t>30.4%</w:t>
      </w:r>
      <w:r w:rsidR="00D11298" w:rsidRPr="006F75F7">
        <w:rPr>
          <w:rFonts w:ascii="Times New Roman" w:eastAsia="宋体" w:hAnsi="Times New Roman" w:cs="Times New Roman" w:hint="eastAsia"/>
          <w:highlight w:val="yellow"/>
        </w:rPr>
        <w:t>。但是，服务业净利润率高于制造业并不是放之四海而皆准，</w:t>
      </w:r>
      <w:r w:rsidR="004478C8" w:rsidRPr="006F75F7">
        <w:rPr>
          <w:rFonts w:ascii="Times New Roman" w:eastAsia="宋体" w:hAnsi="Times New Roman" w:cs="Times New Roman" w:hint="eastAsia"/>
          <w:highlight w:val="yellow"/>
        </w:rPr>
        <w:t>批发等传统服务业的净利润率相对较低，</w:t>
      </w:r>
      <w:r w:rsidR="00D11298" w:rsidRPr="006F75F7">
        <w:rPr>
          <w:rFonts w:ascii="Times New Roman" w:eastAsia="宋体" w:hAnsi="Times New Roman" w:cs="Times New Roman" w:hint="eastAsia"/>
          <w:highlight w:val="yellow"/>
        </w:rPr>
        <w:t>如沃尔玛</w:t>
      </w:r>
      <w:r w:rsidR="004478C8" w:rsidRPr="006F75F7">
        <w:rPr>
          <w:rFonts w:ascii="Times New Roman" w:eastAsia="宋体" w:hAnsi="Times New Roman" w:cs="Times New Roman" w:hint="eastAsia"/>
          <w:highlight w:val="yellow"/>
        </w:rPr>
        <w:t>2023</w:t>
      </w:r>
      <w:r w:rsidR="004478C8" w:rsidRPr="006F75F7">
        <w:rPr>
          <w:rFonts w:ascii="Times New Roman" w:eastAsia="宋体" w:hAnsi="Times New Roman" w:cs="Times New Roman" w:hint="eastAsia"/>
          <w:highlight w:val="yellow"/>
        </w:rPr>
        <w:t>财年</w:t>
      </w:r>
      <w:r w:rsidR="00D11298" w:rsidRPr="006F75F7">
        <w:rPr>
          <w:rFonts w:ascii="Times New Roman" w:eastAsia="宋体" w:hAnsi="Times New Roman" w:cs="Times New Roman" w:hint="eastAsia"/>
          <w:highlight w:val="yellow"/>
        </w:rPr>
        <w:t>的净利润率仅为</w:t>
      </w:r>
      <w:r w:rsidR="004478C8" w:rsidRPr="006F75F7">
        <w:rPr>
          <w:rFonts w:ascii="Times New Roman" w:eastAsia="宋体" w:hAnsi="Times New Roman" w:cs="Times New Roman" w:hint="eastAsia"/>
          <w:highlight w:val="yellow"/>
        </w:rPr>
        <w:t>2.4%</w:t>
      </w:r>
      <w:r w:rsidR="004478C8" w:rsidRPr="006F75F7">
        <w:rPr>
          <w:rFonts w:ascii="Times New Roman" w:eastAsia="宋体" w:hAnsi="Times New Roman" w:cs="Times New Roman" w:hint="eastAsia"/>
          <w:highlight w:val="yellow"/>
        </w:rPr>
        <w:t>、联合保险集团</w:t>
      </w:r>
      <w:r w:rsidR="004478C8" w:rsidRPr="006F75F7">
        <w:rPr>
          <w:rFonts w:ascii="Times New Roman" w:eastAsia="宋体" w:hAnsi="Times New Roman" w:cs="Times New Roman" w:hint="eastAsia"/>
          <w:highlight w:val="yellow"/>
        </w:rPr>
        <w:t>2023</w:t>
      </w:r>
      <w:r w:rsidR="004478C8" w:rsidRPr="006F75F7">
        <w:rPr>
          <w:rFonts w:ascii="Times New Roman" w:eastAsia="宋体" w:hAnsi="Times New Roman" w:cs="Times New Roman" w:hint="eastAsia"/>
          <w:highlight w:val="yellow"/>
        </w:rPr>
        <w:t>财年净利润率</w:t>
      </w:r>
      <w:r w:rsidR="004478C8" w:rsidRPr="006F75F7">
        <w:rPr>
          <w:rFonts w:ascii="Times New Roman" w:eastAsia="宋体" w:hAnsi="Times New Roman" w:cs="Times New Roman" w:hint="eastAsia"/>
          <w:highlight w:val="yellow"/>
        </w:rPr>
        <w:t>6.2%</w:t>
      </w:r>
      <w:r w:rsidR="004478C8" w:rsidRPr="006F75F7">
        <w:rPr>
          <w:rFonts w:ascii="Times New Roman" w:eastAsia="宋体" w:hAnsi="Times New Roman" w:cs="Times New Roman" w:hint="eastAsia"/>
          <w:highlight w:val="yellow"/>
        </w:rPr>
        <w:t>，但美国服务业最大的增量是信息科技、金融等高收费高净值部门，因而整体拉高了美国服务业的净利润率。</w:t>
      </w:r>
    </w:p>
  </w:footnote>
  <w:footnote w:id="15">
    <w:p w14:paraId="47BA01D5" w14:textId="72D47938" w:rsidR="00E02A5D" w:rsidRDefault="00E02A5D">
      <w:pPr>
        <w:pStyle w:val="a3"/>
      </w:pPr>
      <w:r>
        <w:rPr>
          <w:rStyle w:val="a5"/>
        </w:rPr>
        <w:footnoteRef/>
      </w:r>
      <w:r>
        <w:t xml:space="preserve"> </w:t>
      </w:r>
      <w:r w:rsidRPr="00B50777">
        <w:rPr>
          <w:rFonts w:ascii="Times New Roman" w:eastAsia="黑体" w:hAnsi="Times New Roman" w:cs="Times New Roman"/>
        </w:rPr>
        <w:t>Jacqueline Fiore</w:t>
      </w:r>
      <w:r w:rsidR="001F2B93">
        <w:rPr>
          <w:rFonts w:ascii="Times New Roman" w:eastAsia="黑体" w:hAnsi="Times New Roman" w:cs="Times New Roman"/>
        </w:rPr>
        <w:t xml:space="preserve">, </w:t>
      </w:r>
      <w:r w:rsidRPr="00B50777">
        <w:rPr>
          <w:rFonts w:ascii="Times New Roman" w:eastAsia="黑体" w:hAnsi="Times New Roman" w:cs="Times New Roman"/>
        </w:rPr>
        <w:t>et</w:t>
      </w:r>
      <w:r w:rsidR="001F2B93">
        <w:rPr>
          <w:rFonts w:ascii="Times New Roman" w:eastAsia="黑体" w:hAnsi="Times New Roman" w:cs="Times New Roman"/>
        </w:rPr>
        <w:t xml:space="preserve"> </w:t>
      </w:r>
      <w:r w:rsidRPr="00B50777">
        <w:rPr>
          <w:rFonts w:ascii="Times New Roman" w:eastAsia="黑体" w:hAnsi="Times New Roman" w:cs="Times New Roman"/>
        </w:rPr>
        <w:t>al.</w:t>
      </w:r>
      <w:r w:rsidR="001F2B93">
        <w:rPr>
          <w:rFonts w:ascii="Times New Roman" w:eastAsia="黑体" w:hAnsi="Times New Roman" w:cs="Times New Roman"/>
        </w:rPr>
        <w:t>,</w:t>
      </w:r>
      <w:r w:rsidRPr="00B50777">
        <w:rPr>
          <w:rFonts w:ascii="Times New Roman" w:eastAsia="黑体" w:hAnsi="Times New Roman" w:cs="Times New Roman"/>
        </w:rPr>
        <w:t xml:space="preserve"> </w:t>
      </w:r>
      <w:r w:rsidR="001F2B93" w:rsidRPr="001F2B93">
        <w:rPr>
          <w:rFonts w:ascii="Times New Roman" w:eastAsia="黑体" w:hAnsi="Times New Roman" w:cs="Times New Roman"/>
        </w:rPr>
        <w:t>“</w:t>
      </w:r>
      <w:r w:rsidRPr="00BE517C">
        <w:rPr>
          <w:rFonts w:ascii="Times New Roman" w:eastAsia="黑体" w:hAnsi="Times New Roman" w:cs="Times New Roman"/>
          <w:iCs/>
        </w:rPr>
        <w:t xml:space="preserve">National Health Expenditure Projections, 2023–32: Payer Trends Diverge </w:t>
      </w:r>
      <w:r w:rsidR="0090418D">
        <w:rPr>
          <w:rFonts w:ascii="Times New Roman" w:eastAsia="黑体" w:hAnsi="Times New Roman" w:cs="Times New Roman"/>
          <w:iCs/>
        </w:rPr>
        <w:t>a</w:t>
      </w:r>
      <w:r w:rsidRPr="00BE517C">
        <w:rPr>
          <w:rFonts w:ascii="Times New Roman" w:eastAsia="黑体" w:hAnsi="Times New Roman" w:cs="Times New Roman"/>
          <w:iCs/>
        </w:rPr>
        <w:t>s Pandemic-Related Policies Fade</w:t>
      </w:r>
      <w:r w:rsidR="001F2B93" w:rsidRPr="00BE517C">
        <w:rPr>
          <w:rFonts w:ascii="Times New Roman" w:eastAsia="黑体" w:hAnsi="Times New Roman" w:cs="Times New Roman"/>
          <w:iCs/>
        </w:rPr>
        <w:t>”</w:t>
      </w:r>
      <w:r w:rsidRPr="001F2B93">
        <w:rPr>
          <w:rFonts w:ascii="Times New Roman" w:eastAsia="黑体" w:hAnsi="Times New Roman" w:cs="Times New Roman"/>
        </w:rPr>
        <w:t>,</w:t>
      </w:r>
      <w:r w:rsidRPr="00B50777">
        <w:rPr>
          <w:rFonts w:ascii="Times New Roman" w:eastAsia="黑体" w:hAnsi="Times New Roman" w:cs="Times New Roman"/>
        </w:rPr>
        <w:t xml:space="preserve"> </w:t>
      </w:r>
      <w:r w:rsidRPr="00BE517C">
        <w:rPr>
          <w:rFonts w:ascii="Times New Roman" w:eastAsia="黑体" w:hAnsi="Times New Roman" w:cs="Times New Roman"/>
          <w:i/>
        </w:rPr>
        <w:t>Health Affairs</w:t>
      </w:r>
      <w:r w:rsidRPr="00B50777">
        <w:rPr>
          <w:rFonts w:ascii="Times New Roman" w:eastAsia="黑体" w:hAnsi="Times New Roman" w:cs="Times New Roman"/>
        </w:rPr>
        <w:t xml:space="preserve">, </w:t>
      </w:r>
      <w:r>
        <w:rPr>
          <w:rFonts w:ascii="Times New Roman" w:eastAsia="黑体" w:hAnsi="Times New Roman" w:cs="Times New Roman" w:hint="eastAsia"/>
        </w:rPr>
        <w:t xml:space="preserve">2024, </w:t>
      </w:r>
      <w:r w:rsidRPr="00B50777">
        <w:rPr>
          <w:rFonts w:ascii="Times New Roman" w:eastAsia="黑体" w:hAnsi="Times New Roman" w:cs="Times New Roman"/>
        </w:rPr>
        <w:t xml:space="preserve">Vol.43, </w:t>
      </w:r>
      <w:r>
        <w:rPr>
          <w:rFonts w:ascii="Times New Roman" w:eastAsia="黑体" w:hAnsi="Times New Roman" w:cs="Times New Roman" w:hint="eastAsia"/>
        </w:rPr>
        <w:t>p</w:t>
      </w:r>
      <w:r w:rsidRPr="00B50777">
        <w:rPr>
          <w:rFonts w:ascii="Times New Roman" w:eastAsia="黑体" w:hAnsi="Times New Roman" w:cs="Times New Roman"/>
        </w:rPr>
        <w:t>.7</w:t>
      </w:r>
    </w:p>
  </w:footnote>
  <w:footnote w:id="16">
    <w:p w14:paraId="4059BF15" w14:textId="4D1846C9" w:rsidR="001F2B93" w:rsidRPr="0087297D" w:rsidRDefault="001F2B93" w:rsidP="001F2B93">
      <w:pPr>
        <w:pStyle w:val="a3"/>
      </w:pPr>
      <w:r>
        <w:rPr>
          <w:rStyle w:val="a5"/>
        </w:rPr>
        <w:footnoteRef/>
      </w:r>
      <w:r>
        <w:t xml:space="preserve"> </w:t>
      </w:r>
      <w:r w:rsidRPr="001C47F6">
        <w:rPr>
          <w:rFonts w:ascii="宋体" w:eastAsia="宋体" w:hAnsi="宋体" w:hint="eastAsia"/>
        </w:rPr>
        <w:t>需要进一步说明的是</w:t>
      </w:r>
      <w:r w:rsidR="0090418D" w:rsidRPr="001C47F6">
        <w:rPr>
          <w:rFonts w:ascii="宋体" w:eastAsia="宋体" w:hAnsi="宋体" w:hint="eastAsia"/>
        </w:rPr>
        <w:t>：</w:t>
      </w:r>
      <w:r w:rsidRPr="0087297D">
        <w:rPr>
          <w:rFonts w:ascii="Times New Roman" w:eastAsia="宋体" w:hAnsi="Times New Roman" w:cs="Times New Roman"/>
        </w:rPr>
        <w:t>医疗</w:t>
      </w:r>
      <w:r>
        <w:rPr>
          <w:rFonts w:ascii="Times New Roman" w:eastAsia="宋体" w:hAnsi="Times New Roman" w:cs="Times New Roman" w:hint="eastAsia"/>
        </w:rPr>
        <w:t>保险</w:t>
      </w:r>
      <w:r>
        <w:rPr>
          <w:rFonts w:ascii="Times New Roman" w:eastAsia="宋体" w:hAnsi="Times New Roman" w:cs="Times New Roman" w:hint="eastAsia"/>
        </w:rPr>
        <w:t>Part D</w:t>
      </w:r>
      <w:r w:rsidRPr="0087297D">
        <w:rPr>
          <w:rFonts w:ascii="Times New Roman" w:eastAsia="宋体" w:hAnsi="Times New Roman" w:cs="Times New Roman"/>
        </w:rPr>
        <w:t>中包括部分处方药，这部分支出直接计入了家庭医疗支出</w:t>
      </w:r>
      <w:r>
        <w:rPr>
          <w:rFonts w:ascii="Times New Roman" w:eastAsia="宋体" w:hAnsi="Times New Roman" w:cs="Times New Roman" w:hint="eastAsia"/>
        </w:rPr>
        <w:t>；</w:t>
      </w:r>
      <w:r w:rsidRPr="0087297D">
        <w:rPr>
          <w:rFonts w:ascii="Times New Roman" w:eastAsia="宋体" w:hAnsi="Times New Roman" w:cs="Times New Roman"/>
        </w:rPr>
        <w:t>家庭药品支出指家庭在院外购买的自用药品。</w:t>
      </w:r>
    </w:p>
  </w:footnote>
  <w:footnote w:id="17">
    <w:p w14:paraId="0A170AE9" w14:textId="6904BDD5" w:rsidR="0002245C" w:rsidRPr="00C042DF" w:rsidRDefault="0002245C" w:rsidP="0002245C">
      <w:pPr>
        <w:pStyle w:val="a3"/>
      </w:pPr>
      <w:r>
        <w:rPr>
          <w:rStyle w:val="a5"/>
        </w:rPr>
        <w:footnoteRef/>
      </w:r>
      <w:r>
        <w:t xml:space="preserve"> </w:t>
      </w:r>
      <w:r w:rsidR="000F2BDB" w:rsidRPr="006F75F7">
        <w:rPr>
          <w:rFonts w:ascii="Times New Roman" w:eastAsia="宋体" w:hAnsi="Times New Roman" w:cs="Times New Roman"/>
          <w:highlight w:val="yellow"/>
        </w:rPr>
        <w:t>美国的医疗体系较为复杂，公立医院、私立医院、私立诊所和社区护理机构并存。</w:t>
      </w:r>
      <w:r w:rsidR="000F2BDB" w:rsidRPr="006F75F7">
        <w:rPr>
          <w:rFonts w:ascii="Times New Roman" w:eastAsia="宋体" w:hAnsi="Times New Roman" w:cs="Times New Roman"/>
          <w:highlight w:val="yellow"/>
        </w:rPr>
        <w:t>在医院注册的执业医生占全部医生的比例极低，</w:t>
      </w:r>
      <w:r w:rsidRPr="006F75F7">
        <w:rPr>
          <w:rFonts w:ascii="Times New Roman" w:eastAsia="宋体" w:hAnsi="Times New Roman" w:cs="Times New Roman"/>
          <w:highlight w:val="yellow"/>
        </w:rPr>
        <w:t>据美国医学院联合会</w:t>
      </w:r>
      <w:r w:rsidRPr="006F75F7">
        <w:rPr>
          <w:rFonts w:ascii="Times New Roman" w:eastAsia="宋体" w:hAnsi="Times New Roman" w:cs="Times New Roman"/>
          <w:highlight w:val="yellow"/>
        </w:rPr>
        <w:t>(Association of American Medical Colleges</w:t>
      </w:r>
      <w:r w:rsidRPr="006F75F7">
        <w:rPr>
          <w:rFonts w:ascii="Times New Roman" w:eastAsia="宋体" w:hAnsi="Times New Roman" w:cs="Times New Roman"/>
          <w:highlight w:val="yellow"/>
        </w:rPr>
        <w:t>，简称</w:t>
      </w:r>
      <w:r w:rsidRPr="006F75F7">
        <w:rPr>
          <w:rFonts w:ascii="Times New Roman" w:eastAsia="宋体" w:hAnsi="Times New Roman" w:cs="Times New Roman"/>
          <w:highlight w:val="yellow"/>
        </w:rPr>
        <w:t>AAMC)</w:t>
      </w:r>
      <w:r w:rsidRPr="006F75F7">
        <w:rPr>
          <w:rFonts w:ascii="Times New Roman" w:eastAsia="宋体" w:hAnsi="Times New Roman" w:cs="Times New Roman"/>
          <w:highlight w:val="yellow"/>
        </w:rPr>
        <w:t>统计显示，</w:t>
      </w:r>
      <w:r w:rsidRPr="006F75F7">
        <w:rPr>
          <w:rFonts w:ascii="Times New Roman" w:eastAsia="宋体" w:hAnsi="Times New Roman" w:cs="Times New Roman"/>
          <w:highlight w:val="yellow"/>
        </w:rPr>
        <w:t>2023</w:t>
      </w:r>
      <w:r w:rsidRPr="006F75F7">
        <w:rPr>
          <w:rFonts w:ascii="Times New Roman" w:eastAsia="宋体" w:hAnsi="Times New Roman" w:cs="Times New Roman"/>
          <w:highlight w:val="yellow"/>
        </w:rPr>
        <w:t>年全美仅有</w:t>
      </w:r>
      <w:r w:rsidRPr="006F75F7">
        <w:rPr>
          <w:rFonts w:ascii="Times New Roman" w:eastAsia="宋体" w:hAnsi="Times New Roman" w:cs="Times New Roman"/>
          <w:highlight w:val="yellow"/>
        </w:rPr>
        <w:t>14.1%</w:t>
      </w:r>
      <w:r w:rsidRPr="006F75F7">
        <w:rPr>
          <w:rFonts w:ascii="Times New Roman" w:eastAsia="宋体" w:hAnsi="Times New Roman" w:cs="Times New Roman"/>
          <w:highlight w:val="yellow"/>
        </w:rPr>
        <w:t>的医生全职受雇于医院（</w:t>
      </w:r>
      <w:r w:rsidRPr="006F75F7">
        <w:rPr>
          <w:rFonts w:ascii="Times New Roman" w:eastAsia="宋体" w:hAnsi="Times New Roman" w:cs="Times New Roman"/>
          <w:highlight w:val="yellow"/>
        </w:rPr>
        <w:t>AAMC, U.S. Physician Workforce Data Dashboard 2024</w:t>
      </w:r>
      <w:r w:rsidRPr="006F75F7">
        <w:rPr>
          <w:rFonts w:ascii="Times New Roman" w:eastAsia="宋体" w:hAnsi="Times New Roman" w:cs="Times New Roman"/>
          <w:highlight w:val="yellow"/>
        </w:rPr>
        <w:t>，详见</w:t>
      </w:r>
      <w:r w:rsidRPr="006F75F7">
        <w:rPr>
          <w:rFonts w:ascii="Times New Roman" w:eastAsia="宋体" w:hAnsi="Times New Roman" w:cs="Times New Roman"/>
          <w:highlight w:val="yellow"/>
        </w:rPr>
        <w:fldChar w:fldCharType="begin"/>
      </w:r>
      <w:r w:rsidRPr="006F75F7">
        <w:rPr>
          <w:rFonts w:ascii="Times New Roman" w:eastAsia="宋体" w:hAnsi="Times New Roman" w:cs="Times New Roman"/>
          <w:highlight w:val="yellow"/>
        </w:rPr>
        <w:instrText>HYPERLINK "https://www.aamc.org/data-reports/report/us-physician-workforce-data-dashboard"</w:instrText>
      </w:r>
      <w:r w:rsidRPr="006F75F7">
        <w:rPr>
          <w:rFonts w:ascii="Times New Roman" w:eastAsia="宋体" w:hAnsi="Times New Roman" w:cs="Times New Roman"/>
          <w:highlight w:val="yellow"/>
        </w:rPr>
      </w:r>
      <w:r w:rsidRPr="006F75F7">
        <w:rPr>
          <w:rFonts w:ascii="Times New Roman" w:eastAsia="宋体" w:hAnsi="Times New Roman" w:cs="Times New Roman"/>
          <w:highlight w:val="yellow"/>
        </w:rPr>
        <w:fldChar w:fldCharType="separate"/>
      </w:r>
      <w:r w:rsidRPr="006F75F7">
        <w:rPr>
          <w:rStyle w:val="af4"/>
          <w:rFonts w:ascii="Times New Roman" w:eastAsia="宋体" w:hAnsi="Times New Roman" w:cs="Times New Roman"/>
          <w:highlight w:val="yellow"/>
        </w:rPr>
        <w:t>https://www.aamc.org/data-reports/report/us-physician-workforce-data-dashboard</w:t>
      </w:r>
      <w:r w:rsidRPr="006F75F7">
        <w:rPr>
          <w:rFonts w:ascii="Times New Roman" w:eastAsia="宋体" w:hAnsi="Times New Roman" w:cs="Times New Roman"/>
          <w:highlight w:val="yellow"/>
        </w:rPr>
        <w:fldChar w:fldCharType="end"/>
      </w:r>
      <w:r w:rsidRPr="006F75F7">
        <w:rPr>
          <w:rFonts w:ascii="Times New Roman" w:eastAsia="宋体" w:hAnsi="Times New Roman" w:cs="Times New Roman"/>
          <w:highlight w:val="yellow"/>
        </w:rPr>
        <w:t xml:space="preserve">, </w:t>
      </w:r>
      <w:r w:rsidR="00C46339" w:rsidRPr="006F75F7">
        <w:rPr>
          <w:rFonts w:ascii="Times New Roman" w:eastAsia="宋体" w:hAnsi="Times New Roman" w:cs="Times New Roman"/>
          <w:highlight w:val="yellow"/>
        </w:rPr>
        <w:t xml:space="preserve">retrieved </w:t>
      </w:r>
      <w:r w:rsidRPr="006F75F7">
        <w:rPr>
          <w:rFonts w:ascii="Times New Roman" w:eastAsia="宋体" w:hAnsi="Times New Roman" w:cs="Times New Roman"/>
          <w:highlight w:val="yellow"/>
        </w:rPr>
        <w:t xml:space="preserve"> </w:t>
      </w:r>
      <w:r w:rsidR="00C46339" w:rsidRPr="006F75F7">
        <w:rPr>
          <w:rFonts w:ascii="Times New Roman" w:eastAsia="宋体" w:hAnsi="Times New Roman" w:cs="Times New Roman"/>
          <w:highlight w:val="yellow"/>
        </w:rPr>
        <w:t>Oct.7</w:t>
      </w:r>
      <w:r w:rsidRPr="006F75F7">
        <w:rPr>
          <w:rFonts w:ascii="Times New Roman" w:eastAsia="宋体" w:hAnsi="Times New Roman" w:cs="Times New Roman"/>
          <w:highlight w:val="yellow"/>
        </w:rPr>
        <w:t>,2024</w:t>
      </w:r>
      <w:r w:rsidRPr="006F75F7">
        <w:rPr>
          <w:rFonts w:ascii="Times New Roman" w:eastAsia="宋体" w:hAnsi="Times New Roman" w:cs="Times New Roman"/>
          <w:highlight w:val="yellow"/>
        </w:rPr>
        <w:t>）。</w:t>
      </w:r>
      <w:r w:rsidR="000F2BDB" w:rsidRPr="006F75F7">
        <w:rPr>
          <w:rFonts w:ascii="Times New Roman" w:eastAsia="宋体" w:hAnsi="Times New Roman" w:cs="Times New Roman" w:hint="eastAsia"/>
          <w:highlight w:val="yellow"/>
        </w:rPr>
        <w:t>大量执业医生在规模相对较小的私立诊所注册，据</w:t>
      </w:r>
      <w:r w:rsidRPr="006F75F7">
        <w:rPr>
          <w:rFonts w:ascii="Times New Roman" w:eastAsia="宋体" w:hAnsi="Times New Roman" w:cs="Times New Roman"/>
          <w:highlight w:val="yellow"/>
        </w:rPr>
        <w:t>美</w:t>
      </w:r>
      <w:r w:rsidRPr="006F75F7">
        <w:rPr>
          <w:rFonts w:ascii="Times New Roman" w:eastAsia="宋体" w:hAnsi="Times New Roman" w:cs="Times New Roman" w:hint="eastAsia"/>
          <w:highlight w:val="yellow"/>
        </w:rPr>
        <w:t>国国家健康统计中心（</w:t>
      </w:r>
      <w:r w:rsidRPr="006F75F7">
        <w:rPr>
          <w:rFonts w:ascii="Times New Roman" w:eastAsia="宋体" w:hAnsi="Times New Roman" w:cs="Times New Roman"/>
          <w:highlight w:val="yellow"/>
        </w:rPr>
        <w:t>National Center for Health Statistics</w:t>
      </w:r>
      <w:r w:rsidRPr="006F75F7">
        <w:rPr>
          <w:rFonts w:ascii="Times New Roman" w:eastAsia="宋体" w:hAnsi="Times New Roman" w:cs="Times New Roman" w:hint="eastAsia"/>
          <w:highlight w:val="yellow"/>
        </w:rPr>
        <w:t>）</w:t>
      </w:r>
      <w:r w:rsidRPr="006F75F7">
        <w:rPr>
          <w:rFonts w:ascii="Times New Roman" w:eastAsia="宋体" w:hAnsi="Times New Roman" w:cs="Times New Roman"/>
          <w:highlight w:val="yellow"/>
        </w:rPr>
        <w:t>公布的全国门诊服务调查统计显示，全美有</w:t>
      </w:r>
      <w:r w:rsidRPr="006F75F7">
        <w:rPr>
          <w:rFonts w:ascii="Times New Roman" w:eastAsia="宋体" w:hAnsi="Times New Roman" w:cs="Times New Roman"/>
          <w:highlight w:val="yellow"/>
        </w:rPr>
        <w:t>32.2</w:t>
      </w:r>
      <w:r w:rsidRPr="006F75F7">
        <w:rPr>
          <w:rFonts w:ascii="Times New Roman" w:eastAsia="宋体" w:hAnsi="Times New Roman" w:cs="Times New Roman"/>
          <w:highlight w:val="yellow"/>
        </w:rPr>
        <w:t>万医生在门诊工作，其中单一医生、</w:t>
      </w:r>
      <w:r w:rsidRPr="006F75F7">
        <w:rPr>
          <w:rFonts w:ascii="Times New Roman" w:eastAsia="宋体" w:hAnsi="Times New Roman" w:cs="Times New Roman"/>
          <w:highlight w:val="yellow"/>
        </w:rPr>
        <w:t>2</w:t>
      </w:r>
      <w:r w:rsidRPr="006F75F7">
        <w:rPr>
          <w:rFonts w:ascii="Times New Roman" w:eastAsia="宋体" w:hAnsi="Times New Roman" w:cs="Times New Roman"/>
          <w:highlight w:val="yellow"/>
        </w:rPr>
        <w:t>名医生、</w:t>
      </w:r>
      <w:r w:rsidRPr="006F75F7">
        <w:rPr>
          <w:rFonts w:ascii="Times New Roman" w:eastAsia="宋体" w:hAnsi="Times New Roman" w:cs="Times New Roman"/>
          <w:highlight w:val="yellow"/>
        </w:rPr>
        <w:t>3</w:t>
      </w:r>
      <w:r w:rsidRPr="006F75F7">
        <w:rPr>
          <w:rFonts w:ascii="Times New Roman" w:eastAsia="宋体" w:hAnsi="Times New Roman" w:cs="Times New Roman" w:hint="eastAsia"/>
          <w:highlight w:val="yellow"/>
        </w:rPr>
        <w:t>—</w:t>
      </w:r>
      <w:r w:rsidRPr="006F75F7">
        <w:rPr>
          <w:rFonts w:ascii="Times New Roman" w:eastAsia="宋体" w:hAnsi="Times New Roman" w:cs="Times New Roman"/>
          <w:highlight w:val="yellow"/>
        </w:rPr>
        <w:t>5</w:t>
      </w:r>
      <w:r w:rsidRPr="006F75F7">
        <w:rPr>
          <w:rFonts w:ascii="Times New Roman" w:eastAsia="宋体" w:hAnsi="Times New Roman" w:cs="Times New Roman"/>
          <w:highlight w:val="yellow"/>
        </w:rPr>
        <w:t>名医生、</w:t>
      </w:r>
      <w:r w:rsidRPr="006F75F7">
        <w:rPr>
          <w:rFonts w:ascii="Times New Roman" w:eastAsia="宋体" w:hAnsi="Times New Roman" w:cs="Times New Roman"/>
          <w:highlight w:val="yellow"/>
        </w:rPr>
        <w:t>6</w:t>
      </w:r>
      <w:r w:rsidRPr="006F75F7">
        <w:rPr>
          <w:rFonts w:ascii="Times New Roman" w:eastAsia="宋体" w:hAnsi="Times New Roman" w:cs="Times New Roman" w:hint="eastAsia"/>
          <w:highlight w:val="yellow"/>
        </w:rPr>
        <w:t>—</w:t>
      </w:r>
      <w:r w:rsidRPr="006F75F7">
        <w:rPr>
          <w:rFonts w:ascii="Times New Roman" w:eastAsia="宋体" w:hAnsi="Times New Roman" w:cs="Times New Roman"/>
          <w:highlight w:val="yellow"/>
        </w:rPr>
        <w:t>10</w:t>
      </w:r>
      <w:r w:rsidRPr="006F75F7">
        <w:rPr>
          <w:rFonts w:ascii="Times New Roman" w:eastAsia="宋体" w:hAnsi="Times New Roman" w:cs="Times New Roman"/>
          <w:highlight w:val="yellow"/>
        </w:rPr>
        <w:t>名医生、</w:t>
      </w:r>
      <w:r w:rsidRPr="006F75F7">
        <w:rPr>
          <w:rFonts w:ascii="Times New Roman" w:eastAsia="宋体" w:hAnsi="Times New Roman" w:cs="Times New Roman"/>
          <w:highlight w:val="yellow"/>
        </w:rPr>
        <w:t>11</w:t>
      </w:r>
      <w:r w:rsidRPr="006F75F7">
        <w:rPr>
          <w:rFonts w:ascii="Times New Roman" w:eastAsia="宋体" w:hAnsi="Times New Roman" w:cs="Times New Roman"/>
          <w:highlight w:val="yellow"/>
        </w:rPr>
        <w:t>名以上医生的门诊服务的医生数分别为</w:t>
      </w:r>
      <w:r w:rsidRPr="006F75F7">
        <w:rPr>
          <w:rFonts w:ascii="Times New Roman" w:eastAsia="宋体" w:hAnsi="Times New Roman" w:cs="Times New Roman"/>
          <w:highlight w:val="yellow"/>
        </w:rPr>
        <w:t>11.4</w:t>
      </w:r>
      <w:r w:rsidRPr="006F75F7">
        <w:rPr>
          <w:rFonts w:ascii="Times New Roman" w:eastAsia="宋体" w:hAnsi="Times New Roman" w:cs="Times New Roman"/>
          <w:highlight w:val="yellow"/>
        </w:rPr>
        <w:t>万、</w:t>
      </w:r>
      <w:r w:rsidRPr="006F75F7">
        <w:rPr>
          <w:rFonts w:ascii="Times New Roman" w:eastAsia="宋体" w:hAnsi="Times New Roman" w:cs="Times New Roman"/>
          <w:highlight w:val="yellow"/>
        </w:rPr>
        <w:t>3</w:t>
      </w:r>
      <w:r w:rsidRPr="006F75F7">
        <w:rPr>
          <w:rFonts w:ascii="Times New Roman" w:eastAsia="宋体" w:hAnsi="Times New Roman" w:cs="Times New Roman"/>
          <w:highlight w:val="yellow"/>
        </w:rPr>
        <w:t>万、</w:t>
      </w:r>
      <w:r w:rsidRPr="006F75F7">
        <w:rPr>
          <w:rFonts w:ascii="Times New Roman" w:eastAsia="宋体" w:hAnsi="Times New Roman" w:cs="Times New Roman"/>
          <w:highlight w:val="yellow"/>
        </w:rPr>
        <w:t>8.7</w:t>
      </w:r>
      <w:r w:rsidRPr="006F75F7">
        <w:rPr>
          <w:rFonts w:ascii="Times New Roman" w:eastAsia="宋体" w:hAnsi="Times New Roman" w:cs="Times New Roman"/>
          <w:highlight w:val="yellow"/>
        </w:rPr>
        <w:t>万、</w:t>
      </w:r>
      <w:r w:rsidRPr="006F75F7">
        <w:rPr>
          <w:rFonts w:ascii="Times New Roman" w:eastAsia="宋体" w:hAnsi="Times New Roman" w:cs="Times New Roman"/>
          <w:highlight w:val="yellow"/>
        </w:rPr>
        <w:t>5.3</w:t>
      </w:r>
      <w:r w:rsidRPr="006F75F7">
        <w:rPr>
          <w:rFonts w:ascii="Times New Roman" w:eastAsia="宋体" w:hAnsi="Times New Roman" w:cs="Times New Roman"/>
          <w:highlight w:val="yellow"/>
        </w:rPr>
        <w:t>万、</w:t>
      </w:r>
      <w:r w:rsidRPr="006F75F7">
        <w:rPr>
          <w:rFonts w:ascii="Times New Roman" w:eastAsia="宋体" w:hAnsi="Times New Roman" w:cs="Times New Roman"/>
          <w:highlight w:val="yellow"/>
        </w:rPr>
        <w:t>3.6</w:t>
      </w:r>
      <w:r w:rsidRPr="006F75F7">
        <w:rPr>
          <w:rFonts w:ascii="Times New Roman" w:eastAsia="宋体" w:hAnsi="Times New Roman" w:cs="Times New Roman"/>
          <w:highlight w:val="yellow"/>
        </w:rPr>
        <w:t>万。在这些门诊中，专科门诊</w:t>
      </w:r>
      <w:r w:rsidRPr="006F75F7">
        <w:rPr>
          <w:rFonts w:ascii="Times New Roman" w:eastAsia="宋体" w:hAnsi="Times New Roman" w:cs="Times New Roman" w:hint="eastAsia"/>
          <w:highlight w:val="yellow"/>
        </w:rPr>
        <w:t>占比</w:t>
      </w:r>
      <w:r w:rsidRPr="006F75F7">
        <w:rPr>
          <w:rFonts w:ascii="Times New Roman" w:eastAsia="宋体" w:hAnsi="Times New Roman" w:cs="Times New Roman"/>
          <w:highlight w:val="yellow"/>
        </w:rPr>
        <w:t>74.4%</w:t>
      </w:r>
      <w:r w:rsidRPr="006F75F7">
        <w:rPr>
          <w:rFonts w:ascii="Times New Roman" w:eastAsia="宋体" w:hAnsi="Times New Roman" w:cs="Times New Roman" w:hint="eastAsia"/>
          <w:highlight w:val="yellow"/>
        </w:rPr>
        <w:t>（</w:t>
      </w:r>
      <w:r w:rsidRPr="006F75F7">
        <w:rPr>
          <w:rFonts w:ascii="Times New Roman" w:eastAsia="宋体" w:hAnsi="Times New Roman" w:cs="Times New Roman"/>
          <w:highlight w:val="yellow"/>
        </w:rPr>
        <w:t>National Center for Health Statistics, National Ambulatory Medical Care Survey, 2018-2019.</w:t>
      </w:r>
      <w:r w:rsidRPr="006F75F7">
        <w:rPr>
          <w:rFonts w:ascii="Times New Roman" w:eastAsia="宋体" w:hAnsi="Times New Roman" w:cs="Times New Roman" w:hint="eastAsia"/>
          <w:highlight w:val="yellow"/>
        </w:rPr>
        <w:t>详见</w:t>
      </w:r>
      <w:r w:rsidRPr="006F75F7">
        <w:rPr>
          <w:rFonts w:ascii="Times New Roman" w:eastAsia="宋体" w:hAnsi="Times New Roman" w:cs="Times New Roman"/>
          <w:highlight w:val="yellow"/>
        </w:rPr>
        <w:t>https://www.cdc.gov/nchs/data/nehrs/NAMCS-MDDO-Tables-2018-2019-508.pdf</w:t>
      </w:r>
      <w:r w:rsidRPr="006F75F7">
        <w:rPr>
          <w:rFonts w:ascii="Times New Roman" w:eastAsia="宋体" w:hAnsi="Times New Roman" w:cs="Times New Roman" w:hint="eastAsia"/>
          <w:highlight w:val="yellow"/>
        </w:rPr>
        <w:t xml:space="preserve">, </w:t>
      </w:r>
      <w:r w:rsidR="00C46339" w:rsidRPr="006F75F7">
        <w:rPr>
          <w:rFonts w:ascii="Times New Roman" w:eastAsia="宋体" w:hAnsi="Times New Roman" w:cs="Times New Roman"/>
          <w:highlight w:val="yellow"/>
        </w:rPr>
        <w:t xml:space="preserve">retrieved </w:t>
      </w:r>
      <w:r w:rsidRPr="006F75F7">
        <w:rPr>
          <w:rFonts w:ascii="Times New Roman" w:eastAsia="宋体" w:hAnsi="Times New Roman" w:cs="Times New Roman" w:hint="eastAsia"/>
          <w:highlight w:val="yellow"/>
        </w:rPr>
        <w:t xml:space="preserve"> De.12,2024</w:t>
      </w:r>
      <w:r w:rsidRPr="006F75F7">
        <w:rPr>
          <w:rFonts w:ascii="Times New Roman" w:eastAsia="宋体" w:hAnsi="Times New Roman" w:cs="Times New Roman" w:hint="eastAsia"/>
          <w:highlight w:val="yellow"/>
        </w:rPr>
        <w:t>）</w:t>
      </w:r>
      <w:r w:rsidRPr="006F75F7">
        <w:rPr>
          <w:rFonts w:ascii="Times New Roman" w:eastAsia="宋体" w:hAnsi="Times New Roman" w:cs="Times New Roman"/>
          <w:highlight w:val="yellow"/>
        </w:rPr>
        <w:t>。</w:t>
      </w:r>
      <w:r w:rsidR="000F2BDB" w:rsidRPr="006F75F7">
        <w:rPr>
          <w:rFonts w:ascii="Times New Roman" w:eastAsia="宋体" w:hAnsi="Times New Roman" w:cs="Times New Roman" w:hint="eastAsia"/>
          <w:highlight w:val="yellow"/>
        </w:rPr>
        <w:t>护理费用的支付又分为医院护理和社区护理，其中医院护理部分由注册执业护士提供服务，费用由医院统一收取。但大量老年人的护理任务由社区护理结构承担，护理人员多数为非注册执业护士，这部分护理费用由社区护理机构直接收取，州和地方政府通过</w:t>
      </w:r>
      <w:proofErr w:type="spellStart"/>
      <w:r w:rsidR="000F2BDB" w:rsidRPr="006F75F7">
        <w:rPr>
          <w:rFonts w:ascii="Times New Roman" w:eastAsia="宋体" w:hAnsi="Times New Roman" w:cs="Times New Roman" w:hint="eastAsia"/>
          <w:highlight w:val="yellow"/>
        </w:rPr>
        <w:t>Meicaid</w:t>
      </w:r>
      <w:proofErr w:type="spellEnd"/>
      <w:r w:rsidR="000F2BDB" w:rsidRPr="006F75F7">
        <w:rPr>
          <w:rFonts w:ascii="Times New Roman" w:eastAsia="宋体" w:hAnsi="Times New Roman" w:cs="Times New Roman" w:hint="eastAsia"/>
          <w:highlight w:val="yellow"/>
        </w:rPr>
        <w:t>按人头结算，这部分护理费用在统计中</w:t>
      </w:r>
      <w:r w:rsidR="000F2BDB" w:rsidRPr="006F75F7">
        <w:rPr>
          <w:rFonts w:ascii="Times New Roman" w:eastAsia="宋体" w:hAnsi="Times New Roman" w:cs="Times New Roman"/>
          <w:highlight w:val="yellow"/>
        </w:rPr>
        <w:t>计为</w:t>
      </w:r>
      <w:r w:rsidR="000F2BDB" w:rsidRPr="006F75F7">
        <w:rPr>
          <w:rFonts w:ascii="Times New Roman" w:eastAsia="宋体" w:hAnsi="Times New Roman" w:cs="Times New Roman" w:hint="eastAsia"/>
          <w:highlight w:val="yellow"/>
        </w:rPr>
        <w:t>“</w:t>
      </w:r>
      <w:r w:rsidR="000F2BDB" w:rsidRPr="006F75F7">
        <w:rPr>
          <w:rFonts w:ascii="Times New Roman" w:eastAsia="宋体" w:hAnsi="Times New Roman" w:cs="Times New Roman"/>
          <w:iCs/>
          <w:highlight w:val="yellow"/>
        </w:rPr>
        <w:t>Nursing home</w:t>
      </w:r>
      <w:r w:rsidR="000F2BDB" w:rsidRPr="006F75F7">
        <w:rPr>
          <w:rFonts w:ascii="Times New Roman" w:eastAsia="宋体" w:hAnsi="Times New Roman" w:cs="Times New Roman" w:hint="eastAsia"/>
          <w:iCs/>
          <w:highlight w:val="yellow"/>
        </w:rPr>
        <w:t>”</w:t>
      </w:r>
      <w:r w:rsidR="000F2BDB" w:rsidRPr="006F75F7">
        <w:rPr>
          <w:rFonts w:ascii="Times New Roman" w:eastAsia="宋体" w:hAnsi="Times New Roman" w:cs="Times New Roman" w:hint="eastAsia"/>
          <w:highlight w:val="yellow"/>
        </w:rPr>
        <w:t>。</w:t>
      </w:r>
    </w:p>
  </w:footnote>
  <w:footnote w:id="18">
    <w:p w14:paraId="7A237704" w14:textId="6AF68F45" w:rsidR="00F92858" w:rsidRPr="00792CA7" w:rsidRDefault="00F92858" w:rsidP="00F92858">
      <w:pPr>
        <w:pStyle w:val="a3"/>
      </w:pPr>
      <w:r>
        <w:rPr>
          <w:rStyle w:val="a5"/>
        </w:rPr>
        <w:footnoteRef/>
      </w:r>
      <w:r>
        <w:t xml:space="preserve"> </w:t>
      </w:r>
      <w:r w:rsidR="00792CA7" w:rsidRPr="00792CA7">
        <w:rPr>
          <w:rFonts w:ascii="Times New Roman" w:hAnsi="Times New Roman" w:cs="Times New Roman"/>
        </w:rPr>
        <w:t xml:space="preserve">AAMC, The Complexities of Physician Supply and Demand: Projections From 2021 to 2036, March,2024. </w:t>
      </w:r>
      <w:r w:rsidR="00792CA7" w:rsidRPr="00792CA7">
        <w:rPr>
          <w:rFonts w:ascii="Times New Roman" w:hAnsi="Times New Roman" w:cs="Times New Roman"/>
        </w:rPr>
        <w:t>详见</w:t>
      </w:r>
      <w:r w:rsidR="00792CA7" w:rsidRPr="00792CA7">
        <w:rPr>
          <w:rFonts w:ascii="Times New Roman" w:hAnsi="Times New Roman" w:cs="Times New Roman"/>
        </w:rPr>
        <w:t>https://www.aamc.org/media/75236/download?attachment, retrieved Oct 10, 2024.</w:t>
      </w:r>
    </w:p>
  </w:footnote>
  <w:footnote w:id="19">
    <w:p w14:paraId="3D99C42C" w14:textId="5A3022B2" w:rsidR="00F92858" w:rsidRDefault="00F92858" w:rsidP="00F92858">
      <w:pPr>
        <w:pStyle w:val="a3"/>
      </w:pPr>
      <w:r>
        <w:rPr>
          <w:rStyle w:val="a5"/>
        </w:rPr>
        <w:footnoteRef/>
      </w:r>
      <w:r>
        <w:t xml:space="preserve"> </w:t>
      </w:r>
      <w:r w:rsidRPr="00C51F0E">
        <w:rPr>
          <w:rFonts w:ascii="Times New Roman" w:hAnsi="Times New Roman" w:cs="Times New Roman"/>
        </w:rPr>
        <w:t>Mark Duggan, et</w:t>
      </w:r>
      <w:r>
        <w:rPr>
          <w:rFonts w:ascii="Times New Roman" w:hAnsi="Times New Roman" w:cs="Times New Roman"/>
        </w:rPr>
        <w:t xml:space="preserve"> </w:t>
      </w:r>
      <w:r w:rsidRPr="00C51F0E">
        <w:rPr>
          <w:rFonts w:ascii="Times New Roman" w:hAnsi="Times New Roman" w:cs="Times New Roman"/>
        </w:rPr>
        <w:t>al</w:t>
      </w:r>
      <w:r>
        <w:rPr>
          <w:rFonts w:ascii="Times New Roman" w:hAnsi="Times New Roman" w:cs="Times New Roman"/>
        </w:rPr>
        <w:t>.</w:t>
      </w:r>
      <w:r w:rsidRPr="00921D7E">
        <w:rPr>
          <w:rFonts w:ascii="Times New Roman" w:hAnsi="Times New Roman" w:cs="Times New Roman" w:hint="eastAsia"/>
        </w:rPr>
        <w:t>,</w:t>
      </w:r>
      <w:r w:rsidRPr="00921D7E">
        <w:rPr>
          <w:rFonts w:ascii="Times New Roman" w:hAnsi="Times New Roman" w:cs="Times New Roman"/>
        </w:rPr>
        <w:t xml:space="preserve"> The Impact of Privatization: Evidence from the Hospital Sector,</w:t>
      </w:r>
      <w:r>
        <w:rPr>
          <w:rFonts w:ascii="Times New Roman" w:hAnsi="Times New Roman" w:cs="Times New Roman"/>
          <w:i/>
          <w:iCs/>
        </w:rPr>
        <w:t xml:space="preserve"> </w:t>
      </w:r>
      <w:r w:rsidRPr="00C51F0E">
        <w:rPr>
          <w:rFonts w:ascii="Times New Roman" w:hAnsi="Times New Roman" w:cs="Times New Roman"/>
        </w:rPr>
        <w:t>NBER Working paper</w:t>
      </w:r>
      <w:r>
        <w:rPr>
          <w:rFonts w:ascii="Times New Roman" w:hAnsi="Times New Roman" w:cs="Times New Roman"/>
        </w:rPr>
        <w:t>, 2024</w:t>
      </w:r>
      <w:r w:rsidRPr="00C51F0E">
        <w:rPr>
          <w:rFonts w:ascii="Times New Roman" w:hAnsi="Times New Roman" w:cs="Times New Roman"/>
        </w:rPr>
        <w:t>.</w:t>
      </w:r>
    </w:p>
  </w:footnote>
  <w:footnote w:id="20">
    <w:p w14:paraId="798A9C8B" w14:textId="6DBD2629" w:rsidR="00556459" w:rsidRDefault="00556459" w:rsidP="00556459">
      <w:pPr>
        <w:pStyle w:val="a3"/>
      </w:pPr>
      <w:r>
        <w:rPr>
          <w:rStyle w:val="a5"/>
        </w:rPr>
        <w:footnoteRef/>
      </w:r>
      <w:r>
        <w:t xml:space="preserve"> </w:t>
      </w:r>
      <w:r w:rsidR="00831AC7" w:rsidRPr="006F75F7">
        <w:rPr>
          <w:rFonts w:ascii="Times New Roman" w:eastAsia="宋体" w:hAnsi="Times New Roman" w:cs="Times New Roman"/>
          <w:highlight w:val="yellow"/>
        </w:rPr>
        <w:t>美国</w:t>
      </w:r>
      <w:r w:rsidR="00831AC7" w:rsidRPr="006F75F7">
        <w:rPr>
          <w:rFonts w:ascii="Times New Roman" w:eastAsia="宋体" w:hAnsi="Times New Roman" w:cs="Times New Roman"/>
          <w:highlight w:val="yellow"/>
        </w:rPr>
        <w:t>2023</w:t>
      </w:r>
      <w:r w:rsidR="00831AC7" w:rsidRPr="006F75F7">
        <w:rPr>
          <w:rFonts w:ascii="Times New Roman" w:eastAsia="宋体" w:hAnsi="Times New Roman" w:cs="Times New Roman"/>
          <w:highlight w:val="yellow"/>
        </w:rPr>
        <w:t>年全国医疗支出</w:t>
      </w:r>
      <w:r w:rsidR="00831AC7" w:rsidRPr="006F75F7">
        <w:rPr>
          <w:rFonts w:ascii="Times New Roman" w:eastAsia="宋体" w:hAnsi="Times New Roman" w:cs="Times New Roman"/>
          <w:highlight w:val="yellow"/>
        </w:rPr>
        <w:t>4.5</w:t>
      </w:r>
      <w:r w:rsidR="00831AC7" w:rsidRPr="006F75F7">
        <w:rPr>
          <w:rFonts w:ascii="Times New Roman" w:eastAsia="宋体" w:hAnsi="Times New Roman" w:cs="Times New Roman"/>
          <w:highlight w:val="yellow"/>
        </w:rPr>
        <w:t>万亿美元，其中个人自付</w:t>
      </w:r>
      <w:r w:rsidR="00831AC7" w:rsidRPr="006F75F7">
        <w:rPr>
          <w:rFonts w:ascii="Times New Roman" w:eastAsia="宋体" w:hAnsi="Times New Roman" w:cs="Times New Roman"/>
          <w:highlight w:val="yellow"/>
        </w:rPr>
        <w:t>5086</w:t>
      </w:r>
      <w:r w:rsidR="00831AC7" w:rsidRPr="006F75F7">
        <w:rPr>
          <w:rFonts w:ascii="Times New Roman" w:eastAsia="宋体" w:hAnsi="Times New Roman" w:cs="Times New Roman"/>
          <w:highlight w:val="yellow"/>
        </w:rPr>
        <w:t>亿美元、个人医保（含团体医疗）支付</w:t>
      </w:r>
      <w:r w:rsidR="00831AC7" w:rsidRPr="006F75F7">
        <w:rPr>
          <w:rFonts w:ascii="Times New Roman" w:eastAsia="宋体" w:hAnsi="Times New Roman" w:cs="Times New Roman"/>
          <w:highlight w:val="yellow"/>
        </w:rPr>
        <w:t>1.4</w:t>
      </w:r>
      <w:r w:rsidR="00831AC7" w:rsidRPr="006F75F7">
        <w:rPr>
          <w:rFonts w:ascii="Times New Roman" w:eastAsia="宋体" w:hAnsi="Times New Roman" w:cs="Times New Roman"/>
          <w:highlight w:val="yellow"/>
        </w:rPr>
        <w:t>万亿美元、</w:t>
      </w:r>
      <w:r w:rsidR="00831AC7" w:rsidRPr="006F75F7">
        <w:rPr>
          <w:rFonts w:ascii="Times New Roman" w:eastAsia="宋体" w:hAnsi="Times New Roman" w:cs="Times New Roman"/>
          <w:highlight w:val="yellow"/>
        </w:rPr>
        <w:t>Medicare</w:t>
      </w:r>
      <w:r w:rsidR="00831AC7" w:rsidRPr="006F75F7">
        <w:rPr>
          <w:rFonts w:ascii="Times New Roman" w:eastAsia="宋体" w:hAnsi="Times New Roman" w:cs="Times New Roman"/>
          <w:highlight w:val="yellow"/>
        </w:rPr>
        <w:t>支付</w:t>
      </w:r>
      <w:r w:rsidR="00831AC7" w:rsidRPr="006F75F7">
        <w:rPr>
          <w:rFonts w:ascii="Times New Roman" w:eastAsia="宋体" w:hAnsi="Times New Roman" w:cs="Times New Roman"/>
          <w:highlight w:val="yellow"/>
        </w:rPr>
        <w:t>1</w:t>
      </w:r>
      <w:r w:rsidR="00831AC7" w:rsidRPr="006F75F7">
        <w:rPr>
          <w:rFonts w:ascii="Times New Roman" w:eastAsia="宋体" w:hAnsi="Times New Roman" w:cs="Times New Roman"/>
          <w:highlight w:val="yellow"/>
        </w:rPr>
        <w:t>万亿美元、</w:t>
      </w:r>
      <w:r w:rsidR="00831AC7" w:rsidRPr="006F75F7">
        <w:rPr>
          <w:rFonts w:ascii="Times New Roman" w:eastAsia="宋体" w:hAnsi="Times New Roman" w:cs="Times New Roman"/>
          <w:highlight w:val="yellow"/>
        </w:rPr>
        <w:t>Medicaid</w:t>
      </w:r>
      <w:r w:rsidR="00831AC7" w:rsidRPr="006F75F7">
        <w:rPr>
          <w:rFonts w:ascii="Times New Roman" w:eastAsia="宋体" w:hAnsi="Times New Roman" w:cs="Times New Roman"/>
          <w:highlight w:val="yellow"/>
        </w:rPr>
        <w:t>支付</w:t>
      </w:r>
      <w:r w:rsidR="00831AC7" w:rsidRPr="006F75F7">
        <w:rPr>
          <w:rFonts w:ascii="Times New Roman" w:eastAsia="宋体" w:hAnsi="Times New Roman" w:cs="Times New Roman"/>
          <w:highlight w:val="yellow"/>
        </w:rPr>
        <w:t>8519</w:t>
      </w:r>
      <w:r w:rsidR="00831AC7" w:rsidRPr="006F75F7">
        <w:rPr>
          <w:rFonts w:ascii="Times New Roman" w:eastAsia="宋体" w:hAnsi="Times New Roman" w:cs="Times New Roman"/>
          <w:highlight w:val="yellow"/>
        </w:rPr>
        <w:t>亿美元、其他医疗项目（</w:t>
      </w:r>
      <w:r w:rsidR="00831AC7" w:rsidRPr="006F75F7">
        <w:rPr>
          <w:rFonts w:ascii="Times New Roman" w:eastAsia="宋体" w:hAnsi="Times New Roman" w:cs="Times New Roman"/>
          <w:highlight w:val="yellow"/>
        </w:rPr>
        <w:t>CHIP</w:t>
      </w:r>
      <w:r w:rsidR="00831AC7" w:rsidRPr="006F75F7">
        <w:rPr>
          <w:rFonts w:ascii="Times New Roman" w:eastAsia="宋体" w:hAnsi="Times New Roman" w:cs="Times New Roman"/>
          <w:highlight w:val="yellow"/>
        </w:rPr>
        <w:t>、军人医疗等政府支出项目）</w:t>
      </w:r>
      <w:r w:rsidR="00831AC7" w:rsidRPr="006F75F7">
        <w:rPr>
          <w:rFonts w:ascii="Times New Roman" w:eastAsia="宋体" w:hAnsi="Times New Roman" w:cs="Times New Roman"/>
          <w:highlight w:val="yellow"/>
        </w:rPr>
        <w:t>1890</w:t>
      </w:r>
      <w:r w:rsidR="00831AC7" w:rsidRPr="006F75F7">
        <w:rPr>
          <w:rFonts w:ascii="Times New Roman" w:eastAsia="宋体" w:hAnsi="Times New Roman" w:cs="Times New Roman"/>
          <w:highlight w:val="yellow"/>
        </w:rPr>
        <w:t>亿美元、第三方支付</w:t>
      </w:r>
      <w:r w:rsidR="00831AC7" w:rsidRPr="006F75F7">
        <w:rPr>
          <w:rFonts w:ascii="Times New Roman" w:eastAsia="宋体" w:hAnsi="Times New Roman" w:cs="Times New Roman"/>
          <w:highlight w:val="yellow"/>
        </w:rPr>
        <w:t>3941</w:t>
      </w:r>
      <w:r w:rsidR="00831AC7" w:rsidRPr="006F75F7">
        <w:rPr>
          <w:rFonts w:ascii="Times New Roman" w:eastAsia="宋体" w:hAnsi="Times New Roman" w:cs="Times New Roman"/>
          <w:highlight w:val="yellow"/>
        </w:rPr>
        <w:t>亿美元、公益医疗支付</w:t>
      </w:r>
      <w:r w:rsidR="00831AC7" w:rsidRPr="006F75F7">
        <w:rPr>
          <w:rFonts w:ascii="Times New Roman" w:eastAsia="宋体" w:hAnsi="Times New Roman" w:cs="Times New Roman"/>
          <w:highlight w:val="yellow"/>
        </w:rPr>
        <w:t>1643</w:t>
      </w:r>
      <w:r w:rsidR="00831AC7" w:rsidRPr="006F75F7">
        <w:rPr>
          <w:rFonts w:ascii="Times New Roman" w:eastAsia="宋体" w:hAnsi="Times New Roman" w:cs="Times New Roman"/>
          <w:highlight w:val="yellow"/>
        </w:rPr>
        <w:t>亿美元（详见</w:t>
      </w:r>
      <w:hyperlink r:id="rId3" w:history="1">
        <w:r w:rsidR="00831AC7" w:rsidRPr="006F75F7">
          <w:rPr>
            <w:rStyle w:val="af4"/>
            <w:rFonts w:ascii="Times New Roman" w:eastAsia="宋体" w:hAnsi="Times New Roman" w:cs="Times New Roman"/>
            <w:highlight w:val="yellow"/>
          </w:rPr>
          <w:t>https://www.healthaffairs.org/doi/10.1377/hlthaff.2024.00469</w:t>
        </w:r>
      </w:hyperlink>
      <w:r w:rsidR="00831AC7" w:rsidRPr="006F75F7">
        <w:rPr>
          <w:rFonts w:ascii="Times New Roman" w:eastAsia="宋体" w:hAnsi="Times New Roman" w:cs="Times New Roman"/>
          <w:highlight w:val="yellow"/>
        </w:rPr>
        <w:t>, retrieved Oct.12,2024</w:t>
      </w:r>
      <w:r w:rsidR="00831AC7" w:rsidRPr="006F75F7">
        <w:rPr>
          <w:rFonts w:ascii="Times New Roman" w:eastAsia="宋体" w:hAnsi="Times New Roman" w:cs="Times New Roman"/>
          <w:highlight w:val="yellow"/>
        </w:rPr>
        <w:t>）。政府支付部分包括</w:t>
      </w:r>
      <w:r w:rsidR="00831AC7" w:rsidRPr="006F75F7">
        <w:rPr>
          <w:rFonts w:ascii="Times New Roman" w:eastAsia="宋体" w:hAnsi="Times New Roman" w:cs="Times New Roman"/>
          <w:highlight w:val="yellow"/>
        </w:rPr>
        <w:t>Medicare</w:t>
      </w:r>
      <w:r w:rsidR="00831AC7" w:rsidRPr="006F75F7">
        <w:rPr>
          <w:rFonts w:ascii="Times New Roman" w:eastAsia="宋体" w:hAnsi="Times New Roman" w:cs="Times New Roman"/>
          <w:highlight w:val="yellow"/>
        </w:rPr>
        <w:t>、</w:t>
      </w:r>
      <w:r w:rsidR="00831AC7" w:rsidRPr="006F75F7">
        <w:rPr>
          <w:rFonts w:ascii="Times New Roman" w:eastAsia="宋体" w:hAnsi="Times New Roman" w:cs="Times New Roman"/>
          <w:highlight w:val="yellow"/>
        </w:rPr>
        <w:t>Medicaid</w:t>
      </w:r>
      <w:r w:rsidR="00831AC7" w:rsidRPr="006F75F7">
        <w:rPr>
          <w:rFonts w:ascii="Times New Roman" w:eastAsia="宋体" w:hAnsi="Times New Roman" w:cs="Times New Roman"/>
          <w:highlight w:val="yellow"/>
        </w:rPr>
        <w:t>和其他医疗项目，合计</w:t>
      </w:r>
      <w:r w:rsidR="00831AC7" w:rsidRPr="006F75F7">
        <w:rPr>
          <w:rFonts w:ascii="Times New Roman" w:eastAsia="宋体" w:hAnsi="Times New Roman" w:cs="Times New Roman"/>
          <w:highlight w:val="yellow"/>
        </w:rPr>
        <w:t>2.6</w:t>
      </w:r>
      <w:r w:rsidR="00831AC7" w:rsidRPr="006F75F7">
        <w:rPr>
          <w:rFonts w:ascii="Times New Roman" w:eastAsia="宋体" w:hAnsi="Times New Roman" w:cs="Times New Roman"/>
          <w:highlight w:val="yellow"/>
        </w:rPr>
        <w:t>万亿美元，其中，</w:t>
      </w:r>
      <w:r w:rsidR="00831AC7" w:rsidRPr="006F75F7">
        <w:rPr>
          <w:rFonts w:ascii="Times New Roman" w:eastAsia="宋体" w:hAnsi="Times New Roman" w:cs="Times New Roman"/>
          <w:highlight w:val="yellow"/>
        </w:rPr>
        <w:t>Medicare</w:t>
      </w:r>
      <w:r w:rsidR="00831AC7" w:rsidRPr="006F75F7">
        <w:rPr>
          <w:rFonts w:ascii="Times New Roman" w:eastAsia="宋体" w:hAnsi="Times New Roman" w:cs="Times New Roman"/>
          <w:highlight w:val="yellow"/>
        </w:rPr>
        <w:t>中雇主雇员缴付的</w:t>
      </w:r>
      <w:r w:rsidR="00831AC7" w:rsidRPr="006F75F7">
        <w:rPr>
          <w:rFonts w:ascii="Times New Roman" w:eastAsia="宋体" w:hAnsi="Times New Roman" w:cs="Times New Roman"/>
          <w:highlight w:val="yellow"/>
        </w:rPr>
        <w:t>Part A</w:t>
      </w:r>
      <w:r w:rsidR="00831AC7" w:rsidRPr="006F75F7">
        <w:rPr>
          <w:rFonts w:ascii="Times New Roman" w:eastAsia="宋体" w:hAnsi="Times New Roman" w:cs="Times New Roman"/>
          <w:highlight w:val="yellow"/>
        </w:rPr>
        <w:t>金额</w:t>
      </w:r>
      <w:r w:rsidR="00831AC7" w:rsidRPr="006F75F7">
        <w:rPr>
          <w:rFonts w:ascii="Times New Roman" w:eastAsia="宋体" w:hAnsi="Times New Roman" w:cs="Times New Roman"/>
          <w:highlight w:val="yellow"/>
        </w:rPr>
        <w:t>4141</w:t>
      </w:r>
      <w:r w:rsidR="00831AC7" w:rsidRPr="006F75F7">
        <w:rPr>
          <w:rFonts w:ascii="Times New Roman" w:eastAsia="宋体" w:hAnsi="Times New Roman" w:cs="Times New Roman"/>
          <w:highlight w:val="yellow"/>
        </w:rPr>
        <w:t>亿美元、个人自付</w:t>
      </w:r>
      <w:r w:rsidR="00831AC7" w:rsidRPr="006F75F7">
        <w:rPr>
          <w:rFonts w:ascii="Times New Roman" w:eastAsia="宋体" w:hAnsi="Times New Roman" w:cs="Times New Roman"/>
          <w:highlight w:val="yellow"/>
        </w:rPr>
        <w:t>Part B</w:t>
      </w:r>
      <w:r w:rsidR="00831AC7" w:rsidRPr="006F75F7">
        <w:rPr>
          <w:rFonts w:ascii="Times New Roman" w:eastAsia="宋体" w:hAnsi="Times New Roman" w:cs="Times New Roman"/>
          <w:highlight w:val="yellow"/>
        </w:rPr>
        <w:t>和</w:t>
      </w:r>
      <w:r w:rsidR="00831AC7" w:rsidRPr="006F75F7">
        <w:rPr>
          <w:rFonts w:ascii="Times New Roman" w:eastAsia="宋体" w:hAnsi="Times New Roman" w:cs="Times New Roman"/>
          <w:highlight w:val="yellow"/>
        </w:rPr>
        <w:t>Part D</w:t>
      </w:r>
      <w:r w:rsidR="00831AC7" w:rsidRPr="006F75F7">
        <w:rPr>
          <w:rFonts w:ascii="Times New Roman" w:eastAsia="宋体" w:hAnsi="Times New Roman" w:cs="Times New Roman"/>
          <w:highlight w:val="yellow"/>
        </w:rPr>
        <w:t>金额</w:t>
      </w:r>
      <w:r w:rsidR="00E21E48" w:rsidRPr="006F75F7">
        <w:rPr>
          <w:rFonts w:ascii="Times New Roman" w:eastAsia="宋体" w:hAnsi="Times New Roman" w:cs="Times New Roman"/>
          <w:highlight w:val="yellow"/>
        </w:rPr>
        <w:t>1550</w:t>
      </w:r>
      <w:r w:rsidR="00E21E48" w:rsidRPr="006F75F7">
        <w:rPr>
          <w:rFonts w:ascii="Times New Roman" w:eastAsia="宋体" w:hAnsi="Times New Roman" w:cs="Times New Roman"/>
          <w:highlight w:val="yellow"/>
        </w:rPr>
        <w:t>亿美元，</w:t>
      </w:r>
      <w:r w:rsidR="00201662" w:rsidRPr="006F75F7">
        <w:rPr>
          <w:rFonts w:ascii="Times New Roman" w:eastAsia="宋体" w:hAnsi="Times New Roman" w:cs="Times New Roman" w:hint="eastAsia"/>
          <w:highlight w:val="yellow"/>
        </w:rPr>
        <w:t>个人自付合计</w:t>
      </w:r>
      <w:r w:rsidR="00201662" w:rsidRPr="006F75F7">
        <w:rPr>
          <w:rFonts w:ascii="Times New Roman" w:eastAsia="宋体" w:hAnsi="Times New Roman" w:cs="Times New Roman" w:hint="eastAsia"/>
          <w:highlight w:val="yellow"/>
        </w:rPr>
        <w:t>5691</w:t>
      </w:r>
      <w:r w:rsidR="00201662" w:rsidRPr="006F75F7">
        <w:rPr>
          <w:rFonts w:ascii="Times New Roman" w:eastAsia="宋体" w:hAnsi="Times New Roman" w:cs="Times New Roman" w:hint="eastAsia"/>
          <w:highlight w:val="yellow"/>
        </w:rPr>
        <w:t>亿美元，</w:t>
      </w:r>
      <w:r w:rsidR="00E21E48" w:rsidRPr="006F75F7">
        <w:rPr>
          <w:rFonts w:ascii="Times New Roman" w:eastAsia="宋体" w:hAnsi="Times New Roman" w:cs="Times New Roman" w:hint="eastAsia"/>
          <w:highlight w:val="yellow"/>
        </w:rPr>
        <w:t>其</w:t>
      </w:r>
      <w:r w:rsidR="00E21E48" w:rsidRPr="006F75F7">
        <w:rPr>
          <w:rFonts w:ascii="Times New Roman" w:eastAsia="宋体" w:hAnsi="Times New Roman" w:cs="Times New Roman"/>
          <w:highlight w:val="yellow"/>
        </w:rPr>
        <w:t>余部分均为政府转移支付</w:t>
      </w:r>
      <w:r w:rsidR="00A93D4E" w:rsidRPr="006F75F7">
        <w:rPr>
          <w:rFonts w:ascii="Times New Roman" w:eastAsia="宋体" w:hAnsi="Times New Roman" w:cs="Times New Roman" w:hint="eastAsia"/>
          <w:highlight w:val="yellow"/>
        </w:rPr>
        <w:t>，包括</w:t>
      </w:r>
      <w:r w:rsidR="00A93D4E" w:rsidRPr="006F75F7">
        <w:rPr>
          <w:rFonts w:ascii="Times New Roman" w:eastAsia="宋体" w:hAnsi="Times New Roman" w:cs="Times New Roman" w:hint="eastAsia"/>
          <w:highlight w:val="yellow"/>
        </w:rPr>
        <w:t>3421</w:t>
      </w:r>
      <w:r w:rsidR="00A93D4E" w:rsidRPr="006F75F7">
        <w:rPr>
          <w:rFonts w:ascii="Times New Roman" w:eastAsia="宋体" w:hAnsi="Times New Roman" w:cs="Times New Roman" w:hint="eastAsia"/>
          <w:highlight w:val="yellow"/>
        </w:rPr>
        <w:t>亿美元</w:t>
      </w:r>
      <w:r w:rsidR="00A93D4E" w:rsidRPr="006F75F7">
        <w:rPr>
          <w:rFonts w:ascii="Times New Roman" w:eastAsia="宋体" w:hAnsi="Times New Roman" w:cs="Times New Roman" w:hint="eastAsia"/>
          <w:highlight w:val="yellow"/>
        </w:rPr>
        <w:t>Part B</w:t>
      </w:r>
      <w:r w:rsidR="00A93D4E" w:rsidRPr="006F75F7">
        <w:rPr>
          <w:rFonts w:ascii="Times New Roman" w:eastAsia="宋体" w:hAnsi="Times New Roman" w:cs="Times New Roman" w:hint="eastAsia"/>
          <w:highlight w:val="yellow"/>
        </w:rPr>
        <w:t>和</w:t>
      </w:r>
      <w:r w:rsidR="00A93D4E" w:rsidRPr="006F75F7">
        <w:rPr>
          <w:rFonts w:ascii="Times New Roman" w:eastAsia="宋体" w:hAnsi="Times New Roman" w:cs="Times New Roman" w:hint="eastAsia"/>
          <w:highlight w:val="yellow"/>
        </w:rPr>
        <w:t>1095</w:t>
      </w:r>
      <w:r w:rsidR="00A93D4E" w:rsidRPr="006F75F7">
        <w:rPr>
          <w:rFonts w:ascii="Times New Roman" w:eastAsia="宋体" w:hAnsi="Times New Roman" w:cs="Times New Roman" w:hint="eastAsia"/>
          <w:highlight w:val="yellow"/>
        </w:rPr>
        <w:t>亿美元</w:t>
      </w:r>
      <w:r w:rsidR="00A93D4E" w:rsidRPr="006F75F7">
        <w:rPr>
          <w:rFonts w:ascii="Times New Roman" w:eastAsia="宋体" w:hAnsi="Times New Roman" w:cs="Times New Roman" w:hint="eastAsia"/>
          <w:highlight w:val="yellow"/>
        </w:rPr>
        <w:t>Part D</w:t>
      </w:r>
      <w:r w:rsidR="00E21E48" w:rsidRPr="006F75F7">
        <w:rPr>
          <w:rFonts w:ascii="Times New Roman" w:eastAsia="宋体" w:hAnsi="Times New Roman" w:cs="Times New Roman" w:hint="eastAsia"/>
          <w:highlight w:val="yellow"/>
        </w:rPr>
        <w:t>。</w:t>
      </w:r>
      <w:r w:rsidR="00E21E48" w:rsidRPr="006F75F7">
        <w:rPr>
          <w:rFonts w:ascii="Times New Roman" w:eastAsia="宋体" w:hAnsi="Times New Roman" w:cs="Times New Roman"/>
          <w:highlight w:val="yellow"/>
        </w:rPr>
        <w:t>Medicaid</w:t>
      </w:r>
      <w:r w:rsidR="00E21E48" w:rsidRPr="006F75F7">
        <w:rPr>
          <w:rFonts w:ascii="Times New Roman" w:eastAsia="宋体" w:hAnsi="Times New Roman" w:cs="Times New Roman"/>
          <w:highlight w:val="yellow"/>
        </w:rPr>
        <w:t>和</w:t>
      </w:r>
      <w:r w:rsidR="00E21E48" w:rsidRPr="006F75F7">
        <w:rPr>
          <w:rFonts w:ascii="Times New Roman" w:eastAsia="宋体" w:hAnsi="Times New Roman" w:cs="Times New Roman"/>
          <w:highlight w:val="yellow"/>
        </w:rPr>
        <w:t>CHIP</w:t>
      </w:r>
      <w:r w:rsidR="00E21E48" w:rsidRPr="006F75F7">
        <w:rPr>
          <w:rFonts w:ascii="Times New Roman" w:eastAsia="宋体" w:hAnsi="Times New Roman" w:cs="Times New Roman"/>
          <w:highlight w:val="yellow"/>
        </w:rPr>
        <w:t>等其他支付项目全部为政府转移支付项目（详见</w:t>
      </w:r>
      <w:r w:rsidR="00E21E48" w:rsidRPr="006F75F7">
        <w:rPr>
          <w:rFonts w:ascii="Times New Roman" w:eastAsia="宋体" w:hAnsi="Times New Roman" w:cs="Times New Roman"/>
          <w:highlight w:val="yellow"/>
        </w:rPr>
        <w:t>THE BOARDS OF TRUSTEES, FEDERAL HOSPITAL INSURANCE AND FEDERAL SUPPLEMENTARY MEDICAL INSURANCE TRUST FUNDS , 2024 ANNUAL REPORT OF THE BOARDS OF TRUSTEES OF THE FEDERAL HOSPITAL INSURANCE AND FEDERAL SUPPLEMENTARY</w:t>
      </w:r>
      <w:r w:rsidR="00E21E48" w:rsidRPr="00E21E48">
        <w:rPr>
          <w:rFonts w:ascii="Times New Roman" w:eastAsia="宋体" w:hAnsi="Times New Roman" w:cs="Times New Roman"/>
        </w:rPr>
        <w:t xml:space="preserve"> </w:t>
      </w:r>
      <w:r w:rsidR="00E21E48" w:rsidRPr="006F75F7">
        <w:rPr>
          <w:rFonts w:ascii="Times New Roman" w:eastAsia="宋体" w:hAnsi="Times New Roman" w:cs="Times New Roman"/>
          <w:highlight w:val="yellow"/>
        </w:rPr>
        <w:t>MEDICAL INSURANCE TRUST FUNDS,</w:t>
      </w:r>
      <w:r w:rsidR="00E21E48" w:rsidRPr="006F75F7">
        <w:rPr>
          <w:rFonts w:ascii="Times New Roman" w:eastAsia="宋体" w:hAnsi="Times New Roman" w:cs="Times New Roman"/>
          <w:highlight w:val="yellow"/>
        </w:rPr>
        <w:t>第</w:t>
      </w:r>
      <w:r w:rsidR="00E21E48" w:rsidRPr="006F75F7">
        <w:rPr>
          <w:rFonts w:ascii="Times New Roman" w:eastAsia="宋体" w:hAnsi="Times New Roman" w:cs="Times New Roman"/>
          <w:highlight w:val="yellow"/>
        </w:rPr>
        <w:t>11</w:t>
      </w:r>
      <w:r w:rsidR="00E21E48" w:rsidRPr="006F75F7">
        <w:rPr>
          <w:rFonts w:ascii="Times New Roman" w:eastAsia="宋体" w:hAnsi="Times New Roman" w:cs="Times New Roman"/>
          <w:highlight w:val="yellow"/>
        </w:rPr>
        <w:t>页</w:t>
      </w:r>
      <w:r w:rsidR="00E21E48" w:rsidRPr="006F75F7">
        <w:rPr>
          <w:rFonts w:ascii="Times New Roman" w:eastAsia="宋体" w:hAnsi="Times New Roman" w:cs="Times New Roman"/>
          <w:highlight w:val="yellow"/>
        </w:rPr>
        <w:t>Table II.B1.—Medicare Data for Calendar Year 2023</w:t>
      </w:r>
      <w:r w:rsidR="00E21E48" w:rsidRPr="006F75F7">
        <w:rPr>
          <w:rFonts w:ascii="Times New Roman" w:eastAsia="宋体" w:hAnsi="Times New Roman" w:cs="Times New Roman"/>
          <w:highlight w:val="yellow"/>
        </w:rPr>
        <w:t>。）</w:t>
      </w:r>
    </w:p>
  </w:footnote>
  <w:footnote w:id="21">
    <w:p w14:paraId="31432C1F" w14:textId="114E431E" w:rsidR="00E02A5D" w:rsidRDefault="00E02A5D">
      <w:pPr>
        <w:pStyle w:val="a3"/>
      </w:pPr>
      <w:r>
        <w:rPr>
          <w:rStyle w:val="a5"/>
        </w:rPr>
        <w:footnoteRef/>
      </w:r>
      <w:r>
        <w:t xml:space="preserve"> </w:t>
      </w:r>
      <w:r>
        <w:rPr>
          <w:rFonts w:ascii="Times New Roman" w:eastAsia="宋体" w:hAnsi="Times New Roman" w:cs="Times New Roman" w:hint="eastAsia"/>
        </w:rPr>
        <w:t>美国国会</w:t>
      </w:r>
      <w:r w:rsidRPr="00174674">
        <w:rPr>
          <w:rFonts w:ascii="Times New Roman" w:eastAsia="宋体" w:hAnsi="Times New Roman" w:cs="Times New Roman"/>
        </w:rPr>
        <w:t>于</w:t>
      </w:r>
      <w:r w:rsidRPr="00174674">
        <w:rPr>
          <w:rFonts w:ascii="Times New Roman" w:eastAsia="宋体" w:hAnsi="Times New Roman" w:cs="Times New Roman"/>
        </w:rPr>
        <w:t>2010</w:t>
      </w:r>
      <w:r w:rsidRPr="00174674">
        <w:rPr>
          <w:rFonts w:ascii="Times New Roman" w:eastAsia="宋体" w:hAnsi="Times New Roman" w:cs="Times New Roman"/>
        </w:rPr>
        <w:t>年通过</w:t>
      </w:r>
      <w:r w:rsidR="00F92858">
        <w:rPr>
          <w:rFonts w:ascii="Times New Roman" w:eastAsia="宋体" w:hAnsi="Times New Roman" w:cs="Times New Roman" w:hint="eastAsia"/>
        </w:rPr>
        <w:t>“</w:t>
      </w:r>
      <w:r w:rsidRPr="00174674">
        <w:rPr>
          <w:rFonts w:ascii="Times New Roman" w:eastAsia="宋体" w:hAnsi="Times New Roman" w:cs="Times New Roman"/>
        </w:rPr>
        <w:t>患者保护与平价医疗法案</w:t>
      </w:r>
      <w:r w:rsidR="00F92858">
        <w:rPr>
          <w:rFonts w:ascii="Times New Roman" w:eastAsia="宋体" w:hAnsi="Times New Roman" w:cs="Times New Roman" w:hint="eastAsia"/>
        </w:rPr>
        <w:t>”</w:t>
      </w:r>
      <w:r w:rsidRPr="00174674">
        <w:rPr>
          <w:rFonts w:ascii="Times New Roman" w:eastAsia="宋体" w:hAnsi="Times New Roman" w:cs="Times New Roman"/>
        </w:rPr>
        <w:t>（</w:t>
      </w:r>
      <w:r w:rsidRPr="00BE517C">
        <w:rPr>
          <w:rFonts w:ascii="Times New Roman" w:eastAsia="宋体" w:hAnsi="Times New Roman" w:cs="Times New Roman"/>
          <w:iCs/>
        </w:rPr>
        <w:t>Patient Protection and Affordable Care Act</w:t>
      </w:r>
      <w:r w:rsidRPr="00174674">
        <w:rPr>
          <w:rFonts w:ascii="Times New Roman" w:eastAsia="宋体" w:hAnsi="Times New Roman" w:cs="Times New Roman"/>
        </w:rPr>
        <w:t>），俗称</w:t>
      </w:r>
      <w:r w:rsidRPr="00174674">
        <w:rPr>
          <w:rFonts w:ascii="Times New Roman" w:eastAsia="宋体" w:hAnsi="Times New Roman" w:cs="Times New Roman"/>
        </w:rPr>
        <w:t>“</w:t>
      </w:r>
      <w:r w:rsidRPr="00BE517C">
        <w:rPr>
          <w:rFonts w:ascii="Times New Roman" w:eastAsia="宋体" w:hAnsi="Times New Roman" w:cs="Times New Roman"/>
          <w:iCs/>
        </w:rPr>
        <w:t>Obamacare</w:t>
      </w:r>
      <w:r w:rsidRPr="00174674">
        <w:rPr>
          <w:rFonts w:ascii="Times New Roman" w:eastAsia="宋体" w:hAnsi="Times New Roman" w:cs="Times New Roman"/>
        </w:rPr>
        <w:t>”</w:t>
      </w:r>
      <w:r w:rsidR="00F92858">
        <w:rPr>
          <w:rFonts w:ascii="Times New Roman" w:eastAsia="宋体" w:hAnsi="Times New Roman" w:cs="Times New Roman" w:hint="eastAsia"/>
        </w:rPr>
        <w:t>。</w:t>
      </w:r>
      <w:r w:rsidRPr="00174674">
        <w:rPr>
          <w:rFonts w:ascii="Times New Roman" w:eastAsia="宋体" w:hAnsi="Times New Roman" w:cs="Times New Roman"/>
        </w:rPr>
        <w:t>该法案提升了低收入群体参保的比例</w:t>
      </w:r>
      <w:r w:rsidR="00F92858">
        <w:rPr>
          <w:rFonts w:ascii="Times New Roman" w:eastAsia="宋体" w:hAnsi="Times New Roman" w:cs="Times New Roman" w:hint="eastAsia"/>
        </w:rPr>
        <w:t>，</w:t>
      </w:r>
      <w:r w:rsidRPr="00174674">
        <w:rPr>
          <w:rFonts w:ascii="Times New Roman" w:eastAsia="宋体" w:hAnsi="Times New Roman" w:cs="Times New Roman"/>
        </w:rPr>
        <w:t>2014</w:t>
      </w:r>
      <w:r w:rsidRPr="00174674">
        <w:rPr>
          <w:rFonts w:ascii="Times New Roman" w:eastAsia="宋体" w:hAnsi="Times New Roman" w:cs="Times New Roman"/>
        </w:rPr>
        <w:t>年法案正式实施后，</w:t>
      </w:r>
      <w:r w:rsidRPr="00BE517C">
        <w:rPr>
          <w:rFonts w:ascii="Times New Roman" w:eastAsia="宋体" w:hAnsi="Times New Roman" w:cs="Times New Roman"/>
          <w:iCs/>
        </w:rPr>
        <w:t>Medicaid</w:t>
      </w:r>
      <w:r w:rsidRPr="00F92858">
        <w:rPr>
          <w:rFonts w:ascii="Times New Roman" w:eastAsia="宋体" w:hAnsi="Times New Roman" w:cs="Times New Roman" w:hint="eastAsia"/>
        </w:rPr>
        <w:t>覆盖范围从</w:t>
      </w:r>
      <w:r w:rsidRPr="00F92858">
        <w:rPr>
          <w:rFonts w:ascii="Times New Roman" w:eastAsia="宋体" w:hAnsi="Times New Roman" w:cs="Times New Roman"/>
        </w:rPr>
        <w:t>10%</w:t>
      </w:r>
      <w:r w:rsidRPr="00F92858">
        <w:rPr>
          <w:rFonts w:ascii="Times New Roman" w:eastAsia="宋体" w:hAnsi="Times New Roman" w:cs="Times New Roman" w:hint="eastAsia"/>
        </w:rPr>
        <w:t>逐渐提升至</w:t>
      </w:r>
      <w:r w:rsidRPr="00F92858">
        <w:rPr>
          <w:rFonts w:ascii="Times New Roman" w:eastAsia="宋体" w:hAnsi="Times New Roman" w:cs="Times New Roman"/>
        </w:rPr>
        <w:t>14%</w:t>
      </w:r>
      <w:r w:rsidRPr="00F92858">
        <w:rPr>
          <w:rFonts w:ascii="Times New Roman" w:eastAsia="宋体" w:hAnsi="Times New Roman" w:cs="Times New Roman" w:hint="eastAsia"/>
        </w:rPr>
        <w:t>。</w:t>
      </w:r>
      <w:r w:rsidRPr="00BE517C">
        <w:rPr>
          <w:rFonts w:ascii="Times New Roman" w:eastAsia="宋体" w:hAnsi="Times New Roman" w:cs="Times New Roman"/>
          <w:iCs/>
        </w:rPr>
        <w:t>Medicaid</w:t>
      </w:r>
      <w:r w:rsidRPr="00F92858">
        <w:rPr>
          <w:rFonts w:ascii="Times New Roman" w:eastAsia="宋体" w:hAnsi="Times New Roman" w:cs="Times New Roman" w:hint="eastAsia"/>
        </w:rPr>
        <w:t>绝大多数支出由联邦政府通过转移支付承担。</w:t>
      </w:r>
    </w:p>
  </w:footnote>
  <w:footnote w:id="22">
    <w:p w14:paraId="11CD6040" w14:textId="712D29CB" w:rsidR="00E02A5D" w:rsidRDefault="00E02A5D">
      <w:pPr>
        <w:pStyle w:val="a3"/>
      </w:pPr>
      <w:r>
        <w:rPr>
          <w:rStyle w:val="a5"/>
        </w:rPr>
        <w:footnoteRef/>
      </w:r>
      <w:r>
        <w:t xml:space="preserve"> </w:t>
      </w:r>
      <w:r w:rsidRPr="006F75F7">
        <w:rPr>
          <w:rFonts w:ascii="Times New Roman" w:eastAsia="宋体" w:hAnsi="Times New Roman" w:cs="Times New Roman"/>
          <w:highlight w:val="yellow"/>
        </w:rPr>
        <w:t>美国</w:t>
      </w:r>
      <w:r w:rsidRPr="006F75F7">
        <w:rPr>
          <w:rFonts w:ascii="Times New Roman" w:eastAsia="宋体" w:hAnsi="Times New Roman" w:cs="Times New Roman"/>
          <w:highlight w:val="yellow"/>
        </w:rPr>
        <w:t>65</w:t>
      </w:r>
      <w:r w:rsidRPr="006F75F7">
        <w:rPr>
          <w:rFonts w:ascii="Times New Roman" w:eastAsia="宋体" w:hAnsi="Times New Roman" w:cs="Times New Roman"/>
          <w:highlight w:val="yellow"/>
        </w:rPr>
        <w:t>岁以下群体中有大量无保险覆盖的人口，</w:t>
      </w:r>
      <w:r w:rsidRPr="006F75F7">
        <w:rPr>
          <w:rFonts w:ascii="Times New Roman" w:eastAsia="宋体" w:hAnsi="Times New Roman" w:cs="Times New Roman"/>
          <w:highlight w:val="yellow"/>
        </w:rPr>
        <w:t>2019</w:t>
      </w:r>
      <w:r w:rsidRPr="006F75F7">
        <w:rPr>
          <w:rFonts w:ascii="Times New Roman" w:eastAsia="宋体" w:hAnsi="Times New Roman" w:cs="Times New Roman"/>
          <w:highlight w:val="yellow"/>
        </w:rPr>
        <w:t>年这部分人口的比例为</w:t>
      </w:r>
      <w:r w:rsidRPr="006F75F7">
        <w:rPr>
          <w:rFonts w:ascii="Times New Roman" w:eastAsia="宋体" w:hAnsi="Times New Roman" w:cs="Times New Roman"/>
          <w:highlight w:val="yellow"/>
        </w:rPr>
        <w:t>14.5%</w:t>
      </w:r>
      <w:r w:rsidRPr="006F75F7">
        <w:rPr>
          <w:rFonts w:ascii="Times New Roman" w:eastAsia="宋体" w:hAnsi="Times New Roman" w:cs="Times New Roman" w:hint="eastAsia"/>
          <w:highlight w:val="yellow"/>
        </w:rPr>
        <w:t>。</w:t>
      </w:r>
      <w:r w:rsidR="009E6862" w:rsidRPr="006F75F7">
        <w:rPr>
          <w:rFonts w:ascii="Times New Roman" w:eastAsia="宋体" w:hAnsi="Times New Roman" w:cs="Times New Roman" w:hint="eastAsia"/>
          <w:highlight w:val="yellow"/>
        </w:rPr>
        <w:t>即使在</w:t>
      </w:r>
      <w:r w:rsidR="009E6862" w:rsidRPr="006F75F7">
        <w:rPr>
          <w:rFonts w:ascii="Times New Roman" w:eastAsia="宋体" w:hAnsi="Times New Roman" w:cs="Times New Roman" w:hint="eastAsia"/>
          <w:highlight w:val="yellow"/>
        </w:rPr>
        <w:t>65</w:t>
      </w:r>
      <w:r w:rsidR="009E6862" w:rsidRPr="006F75F7">
        <w:rPr>
          <w:rFonts w:ascii="Times New Roman" w:eastAsia="宋体" w:hAnsi="Times New Roman" w:cs="Times New Roman" w:hint="eastAsia"/>
          <w:highlight w:val="yellow"/>
        </w:rPr>
        <w:t>岁以上人口中，也存在着大量因无缴付</w:t>
      </w:r>
      <w:r w:rsidR="009E6862" w:rsidRPr="006F75F7">
        <w:rPr>
          <w:rFonts w:ascii="Times New Roman" w:eastAsia="宋体" w:hAnsi="Times New Roman" w:cs="Times New Roman" w:hint="eastAsia"/>
          <w:highlight w:val="yellow"/>
        </w:rPr>
        <w:t>Medicare</w:t>
      </w:r>
      <w:r w:rsidR="009E6862" w:rsidRPr="006F75F7">
        <w:rPr>
          <w:rFonts w:ascii="Times New Roman" w:eastAsia="宋体" w:hAnsi="Times New Roman" w:cs="Times New Roman" w:hint="eastAsia"/>
          <w:highlight w:val="yellow"/>
        </w:rPr>
        <w:t>记录而没有医保覆盖的群体。</w:t>
      </w:r>
    </w:p>
  </w:footnote>
  <w:footnote w:id="23">
    <w:p w14:paraId="2AB5650A" w14:textId="06109CDE" w:rsidR="00FC45A1" w:rsidRDefault="00FC45A1" w:rsidP="00FC45A1">
      <w:pPr>
        <w:pStyle w:val="a3"/>
      </w:pPr>
      <w:r>
        <w:rPr>
          <w:rStyle w:val="a5"/>
        </w:rPr>
        <w:footnoteRef/>
      </w:r>
      <w:r>
        <w:t xml:space="preserve"> </w:t>
      </w:r>
      <w:r w:rsidRPr="00ED7663">
        <w:rPr>
          <w:rFonts w:ascii="Times New Roman" w:eastAsia="宋体" w:hAnsi="Times New Roman" w:cs="Times New Roman"/>
          <w:highlight w:val="yellow"/>
        </w:rPr>
        <w:t>美国家庭通过直接持有</w:t>
      </w:r>
      <w:r w:rsidRPr="00ED7663">
        <w:rPr>
          <w:rFonts w:ascii="Times New Roman" w:eastAsia="宋体" w:hAnsi="Times New Roman" w:cs="Times New Roman" w:hint="eastAsia"/>
          <w:highlight w:val="yellow"/>
        </w:rPr>
        <w:t>，或通过</w:t>
      </w:r>
      <w:r w:rsidRPr="00ED7663">
        <w:rPr>
          <w:rFonts w:ascii="Times New Roman" w:eastAsia="宋体" w:hAnsi="Times New Roman" w:cs="Times New Roman"/>
          <w:highlight w:val="yellow"/>
        </w:rPr>
        <w:t>货币市场</w:t>
      </w:r>
      <w:r w:rsidRPr="00ED7663">
        <w:rPr>
          <w:rFonts w:ascii="Times New Roman" w:eastAsia="宋体" w:hAnsi="Times New Roman" w:cs="Times New Roman" w:hint="eastAsia"/>
          <w:highlight w:val="yellow"/>
        </w:rPr>
        <w:t>共同基金</w:t>
      </w:r>
      <w:r w:rsidR="00064D76" w:rsidRPr="00ED7663">
        <w:rPr>
          <w:rFonts w:ascii="Times New Roman" w:eastAsia="宋体" w:hAnsi="Times New Roman" w:cs="Times New Roman" w:hint="eastAsia"/>
          <w:highlight w:val="yellow"/>
        </w:rPr>
        <w:t>（</w:t>
      </w:r>
      <w:r w:rsidR="00064D76" w:rsidRPr="00ED7663">
        <w:rPr>
          <w:rFonts w:ascii="Times New Roman" w:eastAsia="宋体" w:hAnsi="Times New Roman" w:cs="Times New Roman" w:hint="eastAsia"/>
          <w:highlight w:val="yellow"/>
        </w:rPr>
        <w:t>MMF</w:t>
      </w:r>
      <w:r w:rsidR="00064D76" w:rsidRPr="00ED7663">
        <w:rPr>
          <w:rFonts w:ascii="Times New Roman" w:eastAsia="宋体" w:hAnsi="Times New Roman" w:cs="Times New Roman" w:hint="eastAsia"/>
          <w:highlight w:val="yellow"/>
        </w:rPr>
        <w:t>）</w:t>
      </w:r>
      <w:r w:rsidRPr="00ED7663">
        <w:rPr>
          <w:rFonts w:ascii="Times New Roman" w:eastAsia="宋体" w:hAnsi="Times New Roman" w:cs="Times New Roman" w:hint="eastAsia"/>
          <w:highlight w:val="yellow"/>
        </w:rPr>
        <w:t>、共同基金</w:t>
      </w:r>
      <w:r w:rsidR="00064D76" w:rsidRPr="00ED7663">
        <w:rPr>
          <w:rFonts w:ascii="Times New Roman" w:eastAsia="宋体" w:hAnsi="Times New Roman" w:cs="Times New Roman" w:hint="eastAsia"/>
          <w:highlight w:val="yellow"/>
        </w:rPr>
        <w:t>（</w:t>
      </w:r>
      <w:r w:rsidR="00064D76" w:rsidRPr="00ED7663">
        <w:rPr>
          <w:rFonts w:ascii="Times New Roman" w:eastAsia="宋体" w:hAnsi="Times New Roman" w:cs="Times New Roman" w:hint="eastAsia"/>
          <w:highlight w:val="yellow"/>
        </w:rPr>
        <w:t>MF</w:t>
      </w:r>
      <w:r w:rsidR="00064D76" w:rsidRPr="00ED7663">
        <w:rPr>
          <w:rFonts w:ascii="Times New Roman" w:eastAsia="宋体" w:hAnsi="Times New Roman" w:cs="Times New Roman" w:hint="eastAsia"/>
          <w:highlight w:val="yellow"/>
        </w:rPr>
        <w:t>）</w:t>
      </w:r>
      <w:r w:rsidRPr="00ED7663">
        <w:rPr>
          <w:rFonts w:ascii="Times New Roman" w:eastAsia="宋体" w:hAnsi="Times New Roman" w:cs="Times New Roman"/>
          <w:highlight w:val="yellow"/>
        </w:rPr>
        <w:t>、养老金账户</w:t>
      </w:r>
      <w:r w:rsidR="00064D76" w:rsidRPr="00ED7663">
        <w:rPr>
          <w:rFonts w:ascii="Times New Roman" w:eastAsia="宋体" w:hAnsi="Times New Roman" w:cs="Times New Roman" w:hint="eastAsia"/>
          <w:highlight w:val="yellow"/>
        </w:rPr>
        <w:t>(Pension)</w:t>
      </w:r>
      <w:r w:rsidRPr="00ED7663">
        <w:rPr>
          <w:rFonts w:ascii="Times New Roman" w:eastAsia="宋体" w:hAnsi="Times New Roman" w:cs="Times New Roman"/>
          <w:highlight w:val="yellow"/>
        </w:rPr>
        <w:t>等种途径持有固收类金融工具，按照后三类金融工具的资产配置比例，还原家庭全口径统计的金融资产，即包含直接持有和间接持有</w:t>
      </w:r>
      <w:r w:rsidRPr="00ED7663">
        <w:rPr>
          <w:rFonts w:ascii="Times New Roman" w:eastAsia="宋体" w:hAnsi="Times New Roman" w:cs="Times New Roman" w:hint="eastAsia"/>
          <w:highlight w:val="yellow"/>
        </w:rPr>
        <w:t>公开交易金融工</w:t>
      </w:r>
      <w:r w:rsidRPr="00ED7663">
        <w:rPr>
          <w:rFonts w:ascii="Times New Roman" w:eastAsia="宋体" w:hAnsi="Times New Roman" w:cs="Times New Roman"/>
          <w:highlight w:val="yellow"/>
        </w:rPr>
        <w:t>具份额的方式持有存款和债券市场工具。</w:t>
      </w:r>
      <w:r w:rsidR="00064D76" w:rsidRPr="00ED7663">
        <w:rPr>
          <w:rFonts w:ascii="Times New Roman" w:eastAsia="宋体" w:hAnsi="Times New Roman" w:cs="Times New Roman" w:hint="eastAsia"/>
          <w:highlight w:val="yellow"/>
        </w:rPr>
        <w:t>2023</w:t>
      </w:r>
      <w:r w:rsidR="00064D76" w:rsidRPr="00ED7663">
        <w:rPr>
          <w:rFonts w:ascii="Times New Roman" w:eastAsia="宋体" w:hAnsi="Times New Roman" w:cs="Times New Roman" w:hint="eastAsia"/>
          <w:highlight w:val="yellow"/>
        </w:rPr>
        <w:t>年，美国家庭通过自持、</w:t>
      </w:r>
      <w:r w:rsidR="00064D76" w:rsidRPr="00ED7663">
        <w:rPr>
          <w:rFonts w:ascii="Times New Roman" w:eastAsia="宋体" w:hAnsi="Times New Roman" w:cs="Times New Roman" w:hint="eastAsia"/>
          <w:highlight w:val="yellow"/>
        </w:rPr>
        <w:t>MMF</w:t>
      </w:r>
      <w:r w:rsidR="00064D76" w:rsidRPr="00ED7663">
        <w:rPr>
          <w:rFonts w:ascii="Times New Roman" w:eastAsia="宋体" w:hAnsi="Times New Roman" w:cs="Times New Roman" w:hint="eastAsia"/>
          <w:highlight w:val="yellow"/>
        </w:rPr>
        <w:t>、</w:t>
      </w:r>
      <w:r w:rsidR="00064D76" w:rsidRPr="00ED7663">
        <w:rPr>
          <w:rFonts w:ascii="Times New Roman" w:eastAsia="宋体" w:hAnsi="Times New Roman" w:cs="Times New Roman" w:hint="eastAsia"/>
          <w:highlight w:val="yellow"/>
        </w:rPr>
        <w:t>MF</w:t>
      </w:r>
      <w:r w:rsidR="00064D76" w:rsidRPr="00ED7663">
        <w:rPr>
          <w:rFonts w:ascii="Times New Roman" w:eastAsia="宋体" w:hAnsi="Times New Roman" w:cs="Times New Roman" w:hint="eastAsia"/>
          <w:highlight w:val="yellow"/>
        </w:rPr>
        <w:t>和</w:t>
      </w:r>
      <w:r w:rsidR="00064D76" w:rsidRPr="00ED7663">
        <w:rPr>
          <w:rFonts w:ascii="Times New Roman" w:eastAsia="宋体" w:hAnsi="Times New Roman" w:cs="Times New Roman" w:hint="eastAsia"/>
          <w:highlight w:val="yellow"/>
        </w:rPr>
        <w:t>Pension</w:t>
      </w:r>
      <w:r w:rsidR="00064D76" w:rsidRPr="00ED7663">
        <w:rPr>
          <w:rFonts w:ascii="Times New Roman" w:eastAsia="宋体" w:hAnsi="Times New Roman" w:cs="Times New Roman" w:hint="eastAsia"/>
          <w:highlight w:val="yellow"/>
        </w:rPr>
        <w:t>持有的固收类金融工具金额分别为</w:t>
      </w:r>
      <w:r w:rsidR="00064D76" w:rsidRPr="00ED7663">
        <w:rPr>
          <w:rFonts w:ascii="Times New Roman" w:eastAsia="宋体" w:hAnsi="Times New Roman" w:cs="Times New Roman" w:hint="eastAsia"/>
          <w:highlight w:val="yellow"/>
        </w:rPr>
        <w:t>19.88</w:t>
      </w:r>
      <w:r w:rsidR="00064D76" w:rsidRPr="00ED7663">
        <w:rPr>
          <w:rFonts w:ascii="Times New Roman" w:eastAsia="宋体" w:hAnsi="Times New Roman" w:cs="Times New Roman" w:hint="eastAsia"/>
          <w:highlight w:val="yellow"/>
        </w:rPr>
        <w:t>万亿美元、</w:t>
      </w:r>
      <w:r w:rsidR="00064D76" w:rsidRPr="00ED7663">
        <w:rPr>
          <w:rFonts w:ascii="Times New Roman" w:eastAsia="宋体" w:hAnsi="Times New Roman" w:cs="Times New Roman" w:hint="eastAsia"/>
          <w:highlight w:val="yellow"/>
        </w:rPr>
        <w:t>3.19</w:t>
      </w:r>
      <w:r w:rsidR="00064D76" w:rsidRPr="00ED7663">
        <w:rPr>
          <w:rFonts w:ascii="Times New Roman" w:eastAsia="宋体" w:hAnsi="Times New Roman" w:cs="Times New Roman" w:hint="eastAsia"/>
          <w:highlight w:val="yellow"/>
        </w:rPr>
        <w:t>万亿美元、</w:t>
      </w:r>
      <w:r w:rsidR="00064D76" w:rsidRPr="00ED7663">
        <w:rPr>
          <w:rFonts w:ascii="Times New Roman" w:eastAsia="宋体" w:hAnsi="Times New Roman" w:cs="Times New Roman" w:hint="eastAsia"/>
          <w:highlight w:val="yellow"/>
        </w:rPr>
        <w:t>2.90</w:t>
      </w:r>
      <w:r w:rsidR="00064D76" w:rsidRPr="00ED7663">
        <w:rPr>
          <w:rFonts w:ascii="Times New Roman" w:eastAsia="宋体" w:hAnsi="Times New Roman" w:cs="Times New Roman" w:hint="eastAsia"/>
          <w:highlight w:val="yellow"/>
        </w:rPr>
        <w:t>万亿美元、</w:t>
      </w:r>
      <w:r w:rsidR="00064D76" w:rsidRPr="00ED7663">
        <w:rPr>
          <w:rFonts w:ascii="Times New Roman" w:eastAsia="宋体" w:hAnsi="Times New Roman" w:cs="Times New Roman" w:hint="eastAsia"/>
          <w:highlight w:val="yellow"/>
        </w:rPr>
        <w:t>4.06</w:t>
      </w:r>
      <w:r w:rsidR="00064D76" w:rsidRPr="00ED7663">
        <w:rPr>
          <w:rFonts w:ascii="Times New Roman" w:eastAsia="宋体" w:hAnsi="Times New Roman" w:cs="Times New Roman" w:hint="eastAsia"/>
          <w:highlight w:val="yellow"/>
        </w:rPr>
        <w:t>万亿美元。</w:t>
      </w:r>
    </w:p>
  </w:footnote>
  <w:footnote w:id="24">
    <w:p w14:paraId="71FB07B7" w14:textId="1FFD2B8A" w:rsidR="00FC45A1" w:rsidRDefault="00FC45A1" w:rsidP="00FC45A1">
      <w:pPr>
        <w:pStyle w:val="a3"/>
      </w:pPr>
      <w:r>
        <w:rPr>
          <w:rStyle w:val="a5"/>
        </w:rPr>
        <w:footnoteRef/>
      </w:r>
      <w:r>
        <w:t xml:space="preserve"> </w:t>
      </w:r>
      <w:r w:rsidRPr="00154267">
        <w:rPr>
          <w:rFonts w:ascii="Times New Roman" w:eastAsia="宋体" w:hAnsi="Times New Roman" w:cs="Times New Roman"/>
        </w:rPr>
        <w:t>S</w:t>
      </w:r>
      <w:r w:rsidRPr="00154267">
        <w:rPr>
          <w:rFonts w:ascii="Times New Roman" w:eastAsia="宋体" w:hAnsi="Times New Roman" w:cs="Times New Roman"/>
        </w:rPr>
        <w:t>公司指公司以股东投入份额承担有限债务</w:t>
      </w:r>
      <w:r>
        <w:rPr>
          <w:rFonts w:ascii="Times New Roman" w:eastAsia="宋体" w:hAnsi="Times New Roman" w:cs="Times New Roman" w:hint="eastAsia"/>
        </w:rPr>
        <w:t>，</w:t>
      </w:r>
      <w:r w:rsidRPr="00154267">
        <w:rPr>
          <w:rFonts w:ascii="Times New Roman" w:eastAsia="宋体" w:hAnsi="Times New Roman" w:cs="Times New Roman"/>
        </w:rPr>
        <w:t>但公司利润以股份比例转化为公司股东个人分红收入，公司不缴纳所得税</w:t>
      </w:r>
      <w:r>
        <w:rPr>
          <w:rFonts w:ascii="Times New Roman" w:eastAsia="宋体" w:hAnsi="Times New Roman" w:cs="Times New Roman" w:hint="eastAsia"/>
        </w:rPr>
        <w:t>，这类公司一般带有</w:t>
      </w:r>
      <w:r>
        <w:rPr>
          <w:rFonts w:ascii="Times New Roman" w:eastAsia="宋体" w:hAnsi="Times New Roman" w:cs="Times New Roman" w:hint="eastAsia"/>
        </w:rPr>
        <w:t>LLC</w:t>
      </w:r>
      <w:r>
        <w:rPr>
          <w:rFonts w:ascii="Times New Roman" w:eastAsia="宋体" w:hAnsi="Times New Roman" w:cs="Times New Roman" w:hint="eastAsia"/>
        </w:rPr>
        <w:t>字样</w:t>
      </w:r>
      <w:r w:rsidRPr="00154267">
        <w:rPr>
          <w:rFonts w:ascii="Times New Roman" w:eastAsia="宋体" w:hAnsi="Times New Roman" w:cs="Times New Roman"/>
        </w:rPr>
        <w:t>；</w:t>
      </w:r>
      <w:r w:rsidRPr="00154267">
        <w:rPr>
          <w:rFonts w:ascii="Times New Roman" w:eastAsia="宋体" w:hAnsi="Times New Roman" w:cs="Times New Roman"/>
        </w:rPr>
        <w:t>C</w:t>
      </w:r>
      <w:r w:rsidRPr="00154267">
        <w:rPr>
          <w:rFonts w:ascii="Times New Roman" w:eastAsia="宋体" w:hAnsi="Times New Roman" w:cs="Times New Roman"/>
        </w:rPr>
        <w:t>公司与国内的有限责任公司相似</w:t>
      </w:r>
      <w:r>
        <w:rPr>
          <w:rFonts w:ascii="Times New Roman" w:eastAsia="宋体" w:hAnsi="Times New Roman" w:cs="Times New Roman" w:hint="eastAsia"/>
        </w:rPr>
        <w:t>。</w:t>
      </w:r>
    </w:p>
  </w:footnote>
  <w:footnote w:id="25">
    <w:p w14:paraId="4E8F846A" w14:textId="09F717B5" w:rsidR="00E02A5D" w:rsidRPr="00190F89" w:rsidRDefault="00E02A5D">
      <w:pPr>
        <w:pStyle w:val="a3"/>
      </w:pPr>
      <w:r w:rsidRPr="00190F89">
        <w:rPr>
          <w:rStyle w:val="a5"/>
        </w:rPr>
        <w:footnoteRef/>
      </w:r>
      <w:r w:rsidRPr="00190F89">
        <w:rPr>
          <w:rFonts w:ascii="Times New Roman" w:eastAsia="宋体" w:hAnsi="Times New Roman" w:cs="Times New Roman"/>
        </w:rPr>
        <w:t xml:space="preserve"> </w:t>
      </w:r>
      <w:r w:rsidRPr="00190F89">
        <w:rPr>
          <w:rFonts w:ascii="Times New Roman" w:eastAsia="宋体" w:hAnsi="Times New Roman" w:cs="Times New Roman"/>
        </w:rPr>
        <w:t>数据来</w:t>
      </w:r>
      <w:r w:rsidR="00FC45A1" w:rsidRPr="00190F89">
        <w:rPr>
          <w:rFonts w:ascii="Times New Roman" w:eastAsia="宋体" w:hAnsi="Times New Roman" w:cs="Times New Roman" w:hint="eastAsia"/>
        </w:rPr>
        <w:t>源：</w:t>
      </w:r>
      <w:r w:rsidRPr="00190F89">
        <w:rPr>
          <w:rFonts w:ascii="Times New Roman" w:eastAsia="宋体" w:hAnsi="Times New Roman" w:cs="Times New Roman"/>
        </w:rPr>
        <w:t>美联储根据家庭统计调查数据整理的金融报表，</w:t>
      </w:r>
      <w:r w:rsidR="00FC45A1" w:rsidRPr="00190F89">
        <w:rPr>
          <w:rFonts w:ascii="Times New Roman" w:eastAsia="宋体" w:hAnsi="Times New Roman" w:cs="Times New Roman" w:hint="eastAsia"/>
        </w:rPr>
        <w:t>详见</w:t>
      </w:r>
      <w:hyperlink r:id="rId4" w:history="1">
        <w:r w:rsidR="00190F89" w:rsidRPr="00190F89">
          <w:rPr>
            <w:rStyle w:val="af4"/>
            <w:rFonts w:ascii="Times New Roman" w:eastAsia="宋体" w:hAnsi="Times New Roman" w:cs="Times New Roman"/>
          </w:rPr>
          <w:t>https://www.federalreserve.gov/releases/z1/dataviz/dfa/index.html</w:t>
        </w:r>
      </w:hyperlink>
      <w:r w:rsidR="00190F89" w:rsidRPr="00190F89">
        <w:rPr>
          <w:rFonts w:ascii="Times New Roman" w:eastAsia="宋体" w:hAnsi="Times New Roman" w:cs="Times New Roman" w:hint="eastAsia"/>
        </w:rPr>
        <w:t xml:space="preserve">, </w:t>
      </w:r>
      <w:r w:rsidR="00C46339">
        <w:rPr>
          <w:rFonts w:ascii="Times New Roman" w:eastAsia="宋体" w:hAnsi="Times New Roman" w:cs="Times New Roman" w:hint="eastAsia"/>
        </w:rPr>
        <w:t>retrieved</w:t>
      </w:r>
      <w:r w:rsidR="00190F89" w:rsidRPr="00190F89">
        <w:rPr>
          <w:rFonts w:ascii="Times New Roman" w:eastAsia="宋体" w:hAnsi="Times New Roman" w:cs="Times New Roman" w:hint="eastAsia"/>
        </w:rPr>
        <w:t xml:space="preserve"> </w:t>
      </w:r>
      <w:r w:rsidR="00C46339">
        <w:rPr>
          <w:rFonts w:ascii="Times New Roman" w:eastAsia="宋体" w:hAnsi="Times New Roman" w:cs="Times New Roman" w:hint="eastAsia"/>
        </w:rPr>
        <w:t>Oct.12</w:t>
      </w:r>
      <w:r w:rsidR="00190F89" w:rsidRPr="00190F89">
        <w:rPr>
          <w:rFonts w:ascii="Times New Roman" w:eastAsia="宋体" w:hAnsi="Times New Roman" w:cs="Times New Roman" w:hint="eastAsia"/>
        </w:rPr>
        <w:t>,2024.</w:t>
      </w:r>
    </w:p>
  </w:footnote>
  <w:footnote w:id="26">
    <w:p w14:paraId="5511323F" w14:textId="675533EC" w:rsidR="008C6AE1" w:rsidRDefault="008C6AE1" w:rsidP="008C6AE1">
      <w:pPr>
        <w:pStyle w:val="a3"/>
      </w:pPr>
      <w:r>
        <w:rPr>
          <w:rStyle w:val="a5"/>
        </w:rPr>
        <w:footnoteRef/>
      </w:r>
      <w:r>
        <w:t xml:space="preserve"> </w:t>
      </w:r>
      <w:r w:rsidRPr="00D9030D">
        <w:rPr>
          <w:rFonts w:ascii="Times New Roman" w:eastAsia="宋体" w:hAnsi="Times New Roman" w:cs="Times New Roman"/>
        </w:rPr>
        <w:t>并购与研究中心（</w:t>
      </w:r>
      <w:r w:rsidRPr="00D9030D">
        <w:rPr>
          <w:rFonts w:ascii="Times New Roman" w:eastAsia="宋体" w:hAnsi="Times New Roman" w:cs="Times New Roman"/>
        </w:rPr>
        <w:t>Institute for Mergers, Acquisitions &amp; Alliances</w:t>
      </w:r>
      <w:r w:rsidRPr="00D9030D">
        <w:rPr>
          <w:rFonts w:ascii="Times New Roman" w:eastAsia="宋体" w:hAnsi="Times New Roman" w:cs="Times New Roman"/>
        </w:rPr>
        <w:t>，</w:t>
      </w:r>
      <w:r w:rsidRPr="00D9030D">
        <w:rPr>
          <w:rFonts w:ascii="Times New Roman" w:eastAsia="宋体" w:hAnsi="Times New Roman" w:cs="Times New Roman"/>
        </w:rPr>
        <w:t>IMAA</w:t>
      </w:r>
      <w:r w:rsidRPr="00D9030D">
        <w:rPr>
          <w:rFonts w:ascii="Times New Roman" w:eastAsia="宋体" w:hAnsi="Times New Roman" w:cs="Times New Roman"/>
        </w:rPr>
        <w:t>）数据显示，</w:t>
      </w:r>
      <w:r w:rsidRPr="00D9030D">
        <w:rPr>
          <w:rFonts w:ascii="Times New Roman" w:eastAsia="宋体" w:hAnsi="Times New Roman" w:cs="Times New Roman"/>
        </w:rPr>
        <w:t>1992</w:t>
      </w:r>
      <w:r w:rsidRPr="00D9030D">
        <w:rPr>
          <w:rFonts w:ascii="Times New Roman" w:eastAsia="宋体" w:hAnsi="Times New Roman" w:cs="Times New Roman"/>
        </w:rPr>
        <w:t>年后美国并购案例明显增加，</w:t>
      </w:r>
      <w:r w:rsidRPr="00D9030D">
        <w:rPr>
          <w:rFonts w:ascii="Times New Roman" w:eastAsia="宋体" w:hAnsi="Times New Roman" w:cs="Times New Roman"/>
        </w:rPr>
        <w:t>1992</w:t>
      </w:r>
      <w:r>
        <w:rPr>
          <w:rFonts w:ascii="Times New Roman" w:eastAsia="宋体" w:hAnsi="Times New Roman" w:cs="Times New Roman" w:hint="eastAsia"/>
        </w:rPr>
        <w:t>年</w:t>
      </w:r>
      <w:r w:rsidRPr="00D9030D">
        <w:rPr>
          <w:rFonts w:ascii="Times New Roman" w:eastAsia="宋体" w:hAnsi="Times New Roman" w:cs="Times New Roman"/>
        </w:rPr>
        <w:t>、</w:t>
      </w:r>
      <w:r w:rsidRPr="00D9030D">
        <w:rPr>
          <w:rFonts w:ascii="Times New Roman" w:eastAsia="宋体" w:hAnsi="Times New Roman" w:cs="Times New Roman"/>
        </w:rPr>
        <w:t>1998</w:t>
      </w:r>
      <w:r>
        <w:rPr>
          <w:rFonts w:ascii="Times New Roman" w:eastAsia="宋体" w:hAnsi="Times New Roman" w:cs="Times New Roman" w:hint="eastAsia"/>
        </w:rPr>
        <w:t>年</w:t>
      </w:r>
      <w:r w:rsidRPr="00D9030D">
        <w:rPr>
          <w:rFonts w:ascii="Times New Roman" w:eastAsia="宋体" w:hAnsi="Times New Roman" w:cs="Times New Roman"/>
        </w:rPr>
        <w:t>、</w:t>
      </w:r>
      <w:r w:rsidRPr="00D9030D">
        <w:rPr>
          <w:rFonts w:ascii="Times New Roman" w:eastAsia="宋体" w:hAnsi="Times New Roman" w:cs="Times New Roman"/>
        </w:rPr>
        <w:t>2021</w:t>
      </w:r>
      <w:r w:rsidRPr="00D9030D">
        <w:rPr>
          <w:rFonts w:ascii="Times New Roman" w:eastAsia="宋体" w:hAnsi="Times New Roman" w:cs="Times New Roman"/>
        </w:rPr>
        <w:t>年的并购案例（</w:t>
      </w:r>
      <w:r w:rsidRPr="00D30568">
        <w:rPr>
          <w:rFonts w:ascii="Times New Roman" w:eastAsia="宋体" w:hAnsi="Times New Roman" w:cs="Times New Roman"/>
        </w:rPr>
        <w:t>金额）分别为</w:t>
      </w:r>
      <w:r w:rsidRPr="00D30568">
        <w:rPr>
          <w:rFonts w:ascii="Times New Roman" w:eastAsia="宋体" w:hAnsi="Times New Roman" w:cs="Times New Roman"/>
        </w:rPr>
        <w:t>2309</w:t>
      </w:r>
      <w:r w:rsidRPr="00D30568">
        <w:rPr>
          <w:rFonts w:ascii="Times New Roman" w:eastAsia="宋体" w:hAnsi="Times New Roman" w:cs="Times New Roman" w:hint="eastAsia"/>
        </w:rPr>
        <w:t>件</w:t>
      </w:r>
      <w:r w:rsidRPr="00D30568">
        <w:rPr>
          <w:rFonts w:ascii="Times New Roman" w:eastAsia="宋体" w:hAnsi="Times New Roman" w:cs="Times New Roman"/>
        </w:rPr>
        <w:t>（</w:t>
      </w:r>
      <w:r w:rsidRPr="00D30568">
        <w:rPr>
          <w:rFonts w:ascii="Times New Roman" w:eastAsia="宋体" w:hAnsi="Times New Roman" w:cs="Times New Roman"/>
        </w:rPr>
        <w:t>3056.4</w:t>
      </w:r>
      <w:r w:rsidRPr="00D30568">
        <w:rPr>
          <w:rFonts w:ascii="Times New Roman" w:eastAsia="宋体" w:hAnsi="Times New Roman" w:cs="Times New Roman"/>
        </w:rPr>
        <w:t>亿</w:t>
      </w:r>
      <w:r w:rsidRPr="00D30568">
        <w:rPr>
          <w:rFonts w:ascii="Times New Roman" w:eastAsia="宋体" w:hAnsi="Times New Roman" w:cs="Times New Roman" w:hint="eastAsia"/>
        </w:rPr>
        <w:t>美元</w:t>
      </w:r>
      <w:r w:rsidRPr="00D30568">
        <w:rPr>
          <w:rFonts w:ascii="Times New Roman" w:eastAsia="宋体" w:hAnsi="Times New Roman" w:cs="Times New Roman"/>
        </w:rPr>
        <w:t>）、</w:t>
      </w:r>
      <w:r w:rsidRPr="00D30568">
        <w:rPr>
          <w:rFonts w:ascii="Times New Roman" w:eastAsia="宋体" w:hAnsi="Times New Roman" w:cs="Times New Roman"/>
        </w:rPr>
        <w:t>14780</w:t>
      </w:r>
      <w:r w:rsidRPr="00D30568">
        <w:rPr>
          <w:rFonts w:ascii="Times New Roman" w:eastAsia="宋体" w:hAnsi="Times New Roman" w:cs="Times New Roman" w:hint="eastAsia"/>
        </w:rPr>
        <w:t>件</w:t>
      </w:r>
      <w:r w:rsidRPr="00D30568">
        <w:rPr>
          <w:rFonts w:ascii="Times New Roman" w:eastAsia="宋体" w:hAnsi="Times New Roman" w:cs="Times New Roman"/>
        </w:rPr>
        <w:t>（</w:t>
      </w:r>
      <w:r w:rsidRPr="00D30568">
        <w:rPr>
          <w:rFonts w:ascii="Times New Roman" w:eastAsia="宋体" w:hAnsi="Times New Roman" w:cs="Times New Roman"/>
        </w:rPr>
        <w:t>1.8</w:t>
      </w:r>
      <w:r w:rsidRPr="00D30568">
        <w:rPr>
          <w:rFonts w:ascii="Times New Roman" w:eastAsia="宋体" w:hAnsi="Times New Roman" w:cs="Times New Roman"/>
        </w:rPr>
        <w:t>万亿</w:t>
      </w:r>
      <w:r w:rsidRPr="00D30568">
        <w:rPr>
          <w:rFonts w:ascii="Times New Roman" w:eastAsia="宋体" w:hAnsi="Times New Roman" w:cs="Times New Roman" w:hint="eastAsia"/>
        </w:rPr>
        <w:t>美元</w:t>
      </w:r>
      <w:r w:rsidRPr="00D30568">
        <w:rPr>
          <w:rFonts w:ascii="Times New Roman" w:eastAsia="宋体" w:hAnsi="Times New Roman" w:cs="Times New Roman"/>
        </w:rPr>
        <w:t>）、</w:t>
      </w:r>
      <w:r w:rsidRPr="00D30568">
        <w:rPr>
          <w:rFonts w:ascii="Times New Roman" w:eastAsia="宋体" w:hAnsi="Times New Roman" w:cs="Times New Roman"/>
        </w:rPr>
        <w:t>25170</w:t>
      </w:r>
      <w:r w:rsidRPr="00D30568">
        <w:rPr>
          <w:rFonts w:ascii="Times New Roman" w:eastAsia="宋体" w:hAnsi="Times New Roman" w:cs="Times New Roman" w:hint="eastAsia"/>
        </w:rPr>
        <w:t>件</w:t>
      </w:r>
      <w:r w:rsidRPr="00D30568">
        <w:rPr>
          <w:rFonts w:ascii="Times New Roman" w:eastAsia="宋体" w:hAnsi="Times New Roman" w:cs="Times New Roman"/>
        </w:rPr>
        <w:t>（</w:t>
      </w:r>
      <w:r w:rsidRPr="00D30568">
        <w:rPr>
          <w:rFonts w:ascii="Times New Roman" w:eastAsia="宋体" w:hAnsi="Times New Roman" w:cs="Times New Roman"/>
        </w:rPr>
        <w:t>3.4</w:t>
      </w:r>
      <w:r w:rsidRPr="00D30568">
        <w:rPr>
          <w:rFonts w:ascii="Times New Roman" w:eastAsia="宋体" w:hAnsi="Times New Roman" w:cs="Times New Roman"/>
        </w:rPr>
        <w:t>万亿</w:t>
      </w:r>
      <w:r w:rsidRPr="00D30568">
        <w:rPr>
          <w:rFonts w:ascii="Times New Roman" w:eastAsia="宋体" w:hAnsi="Times New Roman" w:cs="Times New Roman" w:hint="eastAsia"/>
        </w:rPr>
        <w:t>美元</w:t>
      </w:r>
      <w:r w:rsidRPr="00D30568">
        <w:rPr>
          <w:rFonts w:ascii="Times New Roman" w:eastAsia="宋体" w:hAnsi="Times New Roman" w:cs="Times New Roman"/>
        </w:rPr>
        <w:t>）。</w:t>
      </w:r>
      <w:r w:rsidRPr="00D30568">
        <w:rPr>
          <w:rFonts w:ascii="Times New Roman" w:eastAsia="宋体" w:hAnsi="Times New Roman" w:cs="Times New Roman" w:hint="eastAsia"/>
        </w:rPr>
        <w:t>1985</w:t>
      </w:r>
      <w:r w:rsidRPr="00D30568">
        <w:rPr>
          <w:rFonts w:ascii="Times New Roman" w:eastAsia="宋体" w:hAnsi="Times New Roman" w:cs="Times New Roman" w:hint="eastAsia"/>
        </w:rPr>
        <w:t>—</w:t>
      </w:r>
      <w:r w:rsidRPr="00D30568">
        <w:rPr>
          <w:rFonts w:ascii="Times New Roman" w:eastAsia="宋体" w:hAnsi="Times New Roman" w:cs="Times New Roman" w:hint="eastAsia"/>
        </w:rPr>
        <w:t>2023</w:t>
      </w:r>
      <w:r w:rsidRPr="00D30568">
        <w:rPr>
          <w:rFonts w:ascii="Times New Roman" w:eastAsia="宋体" w:hAnsi="Times New Roman" w:cs="Times New Roman" w:hint="eastAsia"/>
        </w:rPr>
        <w:t>年，美国发生了</w:t>
      </w:r>
      <w:r w:rsidRPr="00D30568">
        <w:rPr>
          <w:rFonts w:ascii="Times New Roman" w:eastAsia="宋体" w:hAnsi="Times New Roman" w:cs="Times New Roman" w:hint="eastAsia"/>
        </w:rPr>
        <w:t>32.5</w:t>
      </w:r>
      <w:r w:rsidRPr="00D30568">
        <w:rPr>
          <w:rFonts w:ascii="Times New Roman" w:eastAsia="宋体" w:hAnsi="Times New Roman" w:cs="Times New Roman" w:hint="eastAsia"/>
        </w:rPr>
        <w:t>万次并购，累计并购金额</w:t>
      </w:r>
      <w:r w:rsidRPr="00D30568">
        <w:rPr>
          <w:rFonts w:ascii="Times New Roman" w:eastAsia="宋体" w:hAnsi="Times New Roman" w:cs="Times New Roman" w:hint="eastAsia"/>
        </w:rPr>
        <w:t>34.9</w:t>
      </w:r>
      <w:r w:rsidRPr="00D30568">
        <w:rPr>
          <w:rFonts w:ascii="Times New Roman" w:eastAsia="宋体" w:hAnsi="Times New Roman" w:cs="Times New Roman" w:hint="eastAsia"/>
        </w:rPr>
        <w:t>万亿美元，同期累计固定资产投资为</w:t>
      </w:r>
      <w:r w:rsidRPr="00D30568">
        <w:rPr>
          <w:rFonts w:ascii="Times New Roman" w:eastAsia="宋体" w:hAnsi="Times New Roman" w:cs="Times New Roman" w:hint="eastAsia"/>
        </w:rPr>
        <w:t>66.1</w:t>
      </w:r>
      <w:r w:rsidRPr="00D30568">
        <w:rPr>
          <w:rFonts w:ascii="Times New Roman" w:eastAsia="宋体" w:hAnsi="Times New Roman" w:cs="Times New Roman" w:hint="eastAsia"/>
        </w:rPr>
        <w:t>万亿美元。</w:t>
      </w:r>
      <w:r w:rsidR="00230EB9" w:rsidRPr="00D30568">
        <w:rPr>
          <w:rFonts w:ascii="Times New Roman" w:eastAsia="宋体" w:hAnsi="Times New Roman" w:cs="Times New Roman" w:hint="eastAsia"/>
        </w:rPr>
        <w:t xml:space="preserve">IMAA, M&amp;A </w:t>
      </w:r>
      <w:r w:rsidR="00230EB9" w:rsidRPr="00D30568">
        <w:rPr>
          <w:rFonts w:ascii="Times New Roman" w:eastAsia="宋体" w:hAnsi="Times New Roman" w:cs="Times New Roman"/>
        </w:rPr>
        <w:t xml:space="preserve">Statistics </w:t>
      </w:r>
      <w:r w:rsidR="00230EB9" w:rsidRPr="00D30568">
        <w:rPr>
          <w:rFonts w:ascii="Times New Roman" w:eastAsia="宋体" w:hAnsi="Times New Roman" w:cs="Times New Roman" w:hint="eastAsia"/>
        </w:rPr>
        <w:t>,</w:t>
      </w:r>
      <w:r w:rsidR="00230EB9" w:rsidRPr="00D30568">
        <w:rPr>
          <w:rFonts w:ascii="Times New Roman" w:eastAsia="宋体" w:hAnsi="Times New Roman" w:cs="Times New Roman" w:hint="eastAsia"/>
        </w:rPr>
        <w:t>详见</w:t>
      </w:r>
      <w:hyperlink r:id="rId5" w:history="1">
        <w:r w:rsidR="00772150" w:rsidRPr="00E0677A">
          <w:rPr>
            <w:rStyle w:val="af4"/>
            <w:rFonts w:ascii="Times New Roman" w:eastAsia="宋体" w:hAnsi="Times New Roman" w:cs="Times New Roman"/>
          </w:rPr>
          <w:t>https://imaa-institute.org/mergers-and-acquisitions-statistics/</w:t>
        </w:r>
      </w:hyperlink>
      <w:r w:rsidR="00772150">
        <w:rPr>
          <w:rFonts w:ascii="Times New Roman" w:eastAsia="宋体" w:hAnsi="Times New Roman" w:cs="Times New Roman" w:hint="eastAsia"/>
        </w:rPr>
        <w:t xml:space="preserve">, </w:t>
      </w:r>
      <w:r w:rsidR="00772150" w:rsidRPr="00772150">
        <w:rPr>
          <w:rFonts w:ascii="Times New Roman" w:eastAsia="宋体" w:hAnsi="Times New Roman" w:cs="Times New Roman"/>
        </w:rPr>
        <w:t xml:space="preserve"> </w:t>
      </w:r>
      <w:r w:rsidR="00C46339">
        <w:rPr>
          <w:rFonts w:ascii="Times New Roman" w:eastAsia="宋体" w:hAnsi="Times New Roman" w:cs="Times New Roman"/>
        </w:rPr>
        <w:t>retrieved</w:t>
      </w:r>
      <w:r w:rsidR="00230EB9" w:rsidRPr="00D30568">
        <w:rPr>
          <w:rFonts w:ascii="Times New Roman" w:eastAsia="宋体" w:hAnsi="Times New Roman" w:cs="Times New Roman" w:hint="eastAsia"/>
        </w:rPr>
        <w:t xml:space="preserve"> </w:t>
      </w:r>
      <w:r w:rsidR="00C46339">
        <w:rPr>
          <w:rFonts w:ascii="Times New Roman" w:eastAsia="宋体" w:hAnsi="Times New Roman" w:cs="Times New Roman" w:hint="eastAsia"/>
        </w:rPr>
        <w:t>Oct.7,2024</w:t>
      </w:r>
      <w:r w:rsidR="00230EB9" w:rsidRPr="00D30568">
        <w:rPr>
          <w:rFonts w:ascii="Times New Roman" w:eastAsia="宋体" w:hAnsi="Times New Roman" w:cs="Times New Roman" w:hint="eastAsia"/>
        </w:rPr>
        <w:t>.</w:t>
      </w:r>
    </w:p>
  </w:footnote>
  <w:footnote w:id="27">
    <w:p w14:paraId="10E06570" w14:textId="33A5BF8F" w:rsidR="00E02A5D" w:rsidRPr="00190F89" w:rsidRDefault="00E02A5D">
      <w:pPr>
        <w:pStyle w:val="a3"/>
      </w:pPr>
      <w:r>
        <w:rPr>
          <w:rStyle w:val="a5"/>
        </w:rPr>
        <w:footnoteRef/>
      </w:r>
      <w:r>
        <w:t xml:space="preserve"> </w:t>
      </w:r>
      <w:r w:rsidR="008C6AE1">
        <w:rPr>
          <w:rFonts w:hint="eastAsia"/>
        </w:rPr>
        <w:t>“Date</w:t>
      </w:r>
      <w:r w:rsidR="008C6AE1">
        <w:t>: Current</w:t>
      </w:r>
      <w:r w:rsidR="008C6AE1">
        <w:rPr>
          <w:rFonts w:hint="eastAsia"/>
        </w:rPr>
        <w:t>”</w:t>
      </w:r>
      <w:r w:rsidR="008C6AE1" w:rsidRPr="008C6AE1">
        <w:rPr>
          <w:rFonts w:hint="eastAsia"/>
        </w:rPr>
        <w:t>（</w:t>
      </w:r>
      <w:r w:rsidR="008C6AE1">
        <w:rPr>
          <w:rFonts w:hint="eastAsia"/>
        </w:rPr>
        <w:t>d</w:t>
      </w:r>
      <w:r w:rsidR="008C6AE1" w:rsidRPr="008C6AE1">
        <w:t>ata of last update: January 5, 2024</w:t>
      </w:r>
      <w:r w:rsidR="008C6AE1" w:rsidRPr="008C6AE1">
        <w:rPr>
          <w:rFonts w:hint="eastAsia"/>
        </w:rPr>
        <w:t>），</w:t>
      </w:r>
      <w:r w:rsidR="008C6AE1" w:rsidRPr="008C6AE1">
        <w:t>Damodaran Online</w:t>
      </w:r>
      <w:r w:rsidR="008C6AE1">
        <w:rPr>
          <w:rFonts w:hint="eastAsia"/>
        </w:rPr>
        <w:t>，</w:t>
      </w:r>
      <w:r w:rsidR="008C6AE1" w:rsidRPr="008C6AE1">
        <w:t xml:space="preserve"> </w:t>
      </w:r>
      <w:r w:rsidR="008C6AE1" w:rsidRPr="00BE517C">
        <w:t>https://pa</w:t>
      </w:r>
      <w:r w:rsidR="008C6AE1" w:rsidRPr="00190F89">
        <w:t>ges.stern.nyu.edu/~adamodar/New_Home_Page/datacurrent.html, retrieved</w:t>
      </w:r>
      <w:r w:rsidR="008C6AE1" w:rsidRPr="00190F89">
        <w:rPr>
          <w:rFonts w:ascii="Times New Roman" w:hAnsi="Times New Roman" w:cs="Times New Roman"/>
          <w:iCs/>
        </w:rPr>
        <w:t xml:space="preserve"> </w:t>
      </w:r>
      <w:r w:rsidR="00C46339">
        <w:rPr>
          <w:rFonts w:ascii="Times New Roman" w:hAnsi="Times New Roman" w:cs="Times New Roman" w:hint="eastAsia"/>
          <w:iCs/>
        </w:rPr>
        <w:t>Oct.</w:t>
      </w:r>
      <w:r w:rsidR="008C6AE1" w:rsidRPr="00190F89">
        <w:rPr>
          <w:rFonts w:ascii="Times New Roman" w:hAnsi="Times New Roman" w:cs="Times New Roman"/>
          <w:iCs/>
        </w:rPr>
        <w:t>10, 2024.</w:t>
      </w:r>
    </w:p>
  </w:footnote>
  <w:footnote w:id="28">
    <w:p w14:paraId="641548C5" w14:textId="4D256F5D" w:rsidR="00E02A5D" w:rsidRPr="00190F89" w:rsidRDefault="00E02A5D">
      <w:pPr>
        <w:pStyle w:val="a3"/>
      </w:pPr>
      <w:r w:rsidRPr="00190F89">
        <w:rPr>
          <w:rStyle w:val="a5"/>
        </w:rPr>
        <w:footnoteRef/>
      </w:r>
      <w:r w:rsidRPr="00190F89">
        <w:t xml:space="preserve"> </w:t>
      </w:r>
      <w:r w:rsidRPr="00190F89">
        <w:rPr>
          <w:rFonts w:ascii="Times New Roman" w:hAnsi="Times New Roman" w:cs="Times New Roman"/>
        </w:rPr>
        <w:t xml:space="preserve">KROLL, </w:t>
      </w:r>
      <w:r w:rsidRPr="00190F89">
        <w:rPr>
          <w:rFonts w:ascii="Times New Roman" w:hAnsi="Times New Roman" w:cs="Times New Roman"/>
          <w:i/>
          <w:iCs/>
        </w:rPr>
        <w:t>2021 U.S. Goodwill Impair Study</w:t>
      </w:r>
      <w:r w:rsidR="00CC413C" w:rsidRPr="00190F89">
        <w:rPr>
          <w:rFonts w:ascii="Times New Roman" w:hAnsi="Times New Roman" w:cs="Times New Roman"/>
        </w:rPr>
        <w:t xml:space="preserve">, </w:t>
      </w:r>
      <w:r w:rsidRPr="00190F89">
        <w:rPr>
          <w:rFonts w:ascii="Times New Roman" w:hAnsi="Times New Roman" w:cs="Times New Roman"/>
        </w:rPr>
        <w:t>Mar 2022</w:t>
      </w:r>
      <w:r w:rsidR="00CC413C" w:rsidRPr="00190F89">
        <w:rPr>
          <w:rFonts w:ascii="Times New Roman" w:hAnsi="Times New Roman" w:cs="Times New Roman" w:hint="eastAsia"/>
        </w:rPr>
        <w:t>，详见</w:t>
      </w:r>
      <w:r w:rsidR="00D30568" w:rsidRPr="00190F89">
        <w:rPr>
          <w:rFonts w:ascii="Times New Roman" w:hAnsi="Times New Roman" w:cs="Times New Roman"/>
        </w:rPr>
        <w:t>https://www.kroll.com/en/insights/publications/valuation/2021-us-goodwill-impairment-study</w:t>
      </w:r>
      <w:r w:rsidR="00CC413C" w:rsidRPr="00190F89">
        <w:rPr>
          <w:rFonts w:ascii="Times New Roman" w:hAnsi="Times New Roman" w:cs="Times New Roman" w:hint="eastAsia"/>
        </w:rPr>
        <w:t>，</w:t>
      </w:r>
      <w:r w:rsidR="00CC413C" w:rsidRPr="00190F89">
        <w:rPr>
          <w:rFonts w:ascii="Times New Roman" w:hAnsi="Times New Roman" w:cs="Times New Roman" w:hint="eastAsia"/>
        </w:rPr>
        <w:t>r</w:t>
      </w:r>
      <w:r w:rsidR="00CC413C" w:rsidRPr="00190F89">
        <w:rPr>
          <w:rFonts w:ascii="Times New Roman" w:hAnsi="Times New Roman" w:cs="Times New Roman"/>
        </w:rPr>
        <w:t xml:space="preserve">etrieved </w:t>
      </w:r>
      <w:r w:rsidR="00C46339">
        <w:rPr>
          <w:rFonts w:ascii="Times New Roman" w:hAnsi="Times New Roman" w:cs="Times New Roman" w:hint="eastAsia"/>
        </w:rPr>
        <w:t>Oct</w:t>
      </w:r>
      <w:r w:rsidR="00D30568" w:rsidRPr="00190F89">
        <w:rPr>
          <w:rFonts w:ascii="Times New Roman" w:hAnsi="Times New Roman" w:cs="Times New Roman" w:hint="eastAsia"/>
        </w:rPr>
        <w:t>.12,2024.</w:t>
      </w:r>
    </w:p>
  </w:footnote>
  <w:footnote w:id="29">
    <w:p w14:paraId="634242F1" w14:textId="3A4120F0" w:rsidR="00E02A5D" w:rsidRDefault="00E02A5D">
      <w:pPr>
        <w:pStyle w:val="a3"/>
      </w:pPr>
      <w:r w:rsidRPr="00190F89">
        <w:rPr>
          <w:rStyle w:val="a5"/>
        </w:rPr>
        <w:footnoteRef/>
      </w:r>
      <w:r w:rsidRPr="00190F89">
        <w:t xml:space="preserve"> </w:t>
      </w:r>
      <w:r w:rsidRPr="00190F89">
        <w:rPr>
          <w:rFonts w:ascii="Times New Roman" w:eastAsia="宋体" w:hAnsi="Times New Roman" w:cs="Times New Roman"/>
        </w:rPr>
        <w:t>企业的金融化活动是一个复杂的问题，限于篇幅，本文仅以并购为</w:t>
      </w:r>
      <w:r w:rsidRPr="005C6617">
        <w:rPr>
          <w:rFonts w:ascii="Times New Roman" w:eastAsia="宋体" w:hAnsi="Times New Roman" w:cs="Times New Roman"/>
        </w:rPr>
        <w:t>例展示了金融化活动的效果。对于这个问题的实证研究，另文分析。</w:t>
      </w:r>
    </w:p>
  </w:footnote>
  <w:footnote w:id="30">
    <w:p w14:paraId="0C2F66EE" w14:textId="4FA0E5AF" w:rsidR="00E02A5D" w:rsidRDefault="00E02A5D">
      <w:pPr>
        <w:pStyle w:val="a3"/>
      </w:pPr>
      <w:r>
        <w:rPr>
          <w:rStyle w:val="a5"/>
        </w:rPr>
        <w:footnoteRef/>
      </w:r>
      <w:r>
        <w:t xml:space="preserve"> </w:t>
      </w:r>
      <w:r w:rsidRPr="003D1759">
        <w:rPr>
          <w:rFonts w:ascii="宋体" w:eastAsia="宋体" w:hAnsi="宋体"/>
        </w:rPr>
        <w:t>政府债务利息</w:t>
      </w:r>
      <w:r w:rsidR="00167E5B">
        <w:rPr>
          <w:rFonts w:ascii="宋体" w:eastAsia="宋体" w:hAnsi="宋体" w:hint="eastAsia"/>
        </w:rPr>
        <w:t>本金</w:t>
      </w:r>
      <w:r w:rsidRPr="003D1759">
        <w:rPr>
          <w:rFonts w:ascii="宋体" w:eastAsia="宋体" w:hAnsi="宋体"/>
        </w:rPr>
        <w:t>化进程</w:t>
      </w:r>
      <w:r>
        <w:rPr>
          <w:rFonts w:ascii="宋体" w:eastAsia="宋体" w:hAnsi="宋体" w:hint="eastAsia"/>
        </w:rPr>
        <w:t>是全球趋势，它</w:t>
      </w:r>
      <w:r w:rsidRPr="003D1759">
        <w:rPr>
          <w:rFonts w:ascii="宋体" w:eastAsia="宋体" w:hAnsi="宋体"/>
        </w:rPr>
        <w:t>已经彻底摧毁了</w:t>
      </w:r>
      <w:r>
        <w:rPr>
          <w:rFonts w:ascii="宋体" w:eastAsia="宋体" w:hAnsi="宋体" w:hint="eastAsia"/>
        </w:rPr>
        <w:t>全球</w:t>
      </w:r>
      <w:r w:rsidRPr="003D1759">
        <w:rPr>
          <w:rFonts w:ascii="宋体" w:eastAsia="宋体" w:hAnsi="宋体"/>
        </w:rPr>
        <w:t>央行独立性的根基</w:t>
      </w:r>
      <w:r w:rsidR="00DC3585">
        <w:rPr>
          <w:rFonts w:ascii="宋体" w:eastAsia="宋体" w:hAnsi="宋体" w:hint="eastAsia"/>
        </w:rPr>
        <w:t>。这亟须</w:t>
      </w:r>
      <w:r w:rsidRPr="003D1759">
        <w:rPr>
          <w:rFonts w:ascii="宋体" w:eastAsia="宋体" w:hAnsi="宋体"/>
        </w:rPr>
        <w:t>我们重新思考货币政策和财政政策的组合关系</w:t>
      </w:r>
      <w:r>
        <w:rPr>
          <w:rFonts w:ascii="宋体" w:eastAsia="宋体" w:hAnsi="宋体" w:hint="eastAsia"/>
        </w:rPr>
        <w:t>，更新货币理论</w:t>
      </w:r>
      <w:r w:rsidRPr="003D1759">
        <w:rPr>
          <w:rFonts w:ascii="宋体" w:eastAsia="宋体" w:hAnsi="宋体"/>
        </w:rPr>
        <w:t>。</w:t>
      </w:r>
    </w:p>
  </w:footnote>
  <w:footnote w:id="31">
    <w:p w14:paraId="6BFCF779" w14:textId="0742214A" w:rsidR="00E02A5D" w:rsidRDefault="00E02A5D">
      <w:pPr>
        <w:pStyle w:val="a3"/>
      </w:pPr>
      <w:r>
        <w:rPr>
          <w:rStyle w:val="a5"/>
        </w:rPr>
        <w:footnoteRef/>
      </w:r>
      <w:r>
        <w:t xml:space="preserve"> </w:t>
      </w:r>
      <w:r w:rsidRPr="00C80D0C">
        <w:rPr>
          <w:rFonts w:ascii="宋体" w:eastAsia="宋体" w:hAnsi="宋体" w:hint="eastAsia"/>
        </w:rPr>
        <w:t>《中华人民共和国宪法》第十四条</w:t>
      </w:r>
      <w:r>
        <w:rPr>
          <w:rFonts w:ascii="宋体" w:eastAsia="宋体" w:hAnsi="宋体" w:hint="eastAsia"/>
        </w:rPr>
        <w:t>，</w:t>
      </w:r>
      <w:r w:rsidR="00952509">
        <w:rPr>
          <w:rFonts w:ascii="宋体" w:eastAsia="宋体" w:hAnsi="宋体" w:hint="eastAsia"/>
        </w:rPr>
        <w:t>载</w:t>
      </w:r>
      <w:r>
        <w:rPr>
          <w:rFonts w:ascii="宋体" w:eastAsia="宋体" w:hAnsi="宋体" w:hint="eastAsia"/>
        </w:rPr>
        <w:t>《人民日报》2018年3月22日</w:t>
      </w:r>
      <w:r w:rsidR="00952509">
        <w:rPr>
          <w:rFonts w:ascii="宋体" w:eastAsia="宋体" w:hAnsi="宋体" w:hint="eastAsia"/>
        </w:rPr>
        <w:t>，</w:t>
      </w:r>
      <w:r>
        <w:rPr>
          <w:rFonts w:ascii="宋体" w:eastAsia="宋体" w:hAnsi="宋体" w:hint="eastAsia"/>
        </w:rPr>
        <w:t>第1版</w:t>
      </w:r>
    </w:p>
  </w:footnote>
  <w:footnote w:id="32">
    <w:p w14:paraId="23283CC6" w14:textId="73EE651E" w:rsidR="00E02A5D" w:rsidRDefault="00E02A5D">
      <w:pPr>
        <w:pStyle w:val="a3"/>
      </w:pPr>
      <w:r>
        <w:rPr>
          <w:rStyle w:val="a5"/>
        </w:rPr>
        <w:footnoteRef/>
      </w:r>
      <w:r>
        <w:t xml:space="preserve"> </w:t>
      </w:r>
      <w:r w:rsidR="00952509">
        <w:rPr>
          <w:rFonts w:hint="eastAsia"/>
        </w:rPr>
        <w:t>参见[法</w:t>
      </w:r>
      <w:r w:rsidR="00952509">
        <w:t>]</w:t>
      </w:r>
      <w:r w:rsidRPr="00D74612">
        <w:rPr>
          <w:rFonts w:ascii="Times New Roman" w:eastAsia="宋体" w:hAnsi="Times New Roman" w:cs="Times New Roman"/>
        </w:rPr>
        <w:t>托马斯</w:t>
      </w:r>
      <w:r w:rsidR="0090418D">
        <w:rPr>
          <w:rFonts w:ascii="Times New Roman" w:eastAsia="宋体" w:hAnsi="Times New Roman" w:cs="Times New Roman" w:hint="eastAsia"/>
        </w:rPr>
        <w:t>·</w:t>
      </w:r>
      <w:r w:rsidRPr="00D74612">
        <w:rPr>
          <w:rFonts w:ascii="Times New Roman" w:eastAsia="宋体" w:hAnsi="Times New Roman" w:cs="Times New Roman"/>
        </w:rPr>
        <w:t>皮凯蒂：《</w:t>
      </w:r>
      <w:r w:rsidRPr="00D74612">
        <w:rPr>
          <w:rFonts w:ascii="Times New Roman" w:eastAsia="宋体" w:hAnsi="Times New Roman" w:cs="Times New Roman"/>
        </w:rPr>
        <w:t>21</w:t>
      </w:r>
      <w:r w:rsidRPr="00D74612">
        <w:rPr>
          <w:rFonts w:ascii="Times New Roman" w:eastAsia="宋体" w:hAnsi="Times New Roman" w:cs="Times New Roman"/>
        </w:rPr>
        <w:t>世纪资本论》，</w:t>
      </w:r>
      <w:r w:rsidR="00952509">
        <w:rPr>
          <w:rFonts w:ascii="Times New Roman" w:eastAsia="宋体" w:hAnsi="Times New Roman" w:cs="Times New Roman" w:hint="eastAsia"/>
        </w:rPr>
        <w:t>巴曙松等译，</w:t>
      </w:r>
      <w:r w:rsidRPr="00D74612">
        <w:rPr>
          <w:rFonts w:ascii="Times New Roman" w:eastAsia="宋体" w:hAnsi="Times New Roman" w:cs="Times New Roman"/>
        </w:rPr>
        <w:t>中信出版社</w:t>
      </w:r>
      <w:r w:rsidRPr="00D74612">
        <w:rPr>
          <w:rFonts w:ascii="Times New Roman" w:eastAsia="宋体" w:hAnsi="Times New Roman" w:cs="Times New Roman"/>
        </w:rPr>
        <w:t>2014</w:t>
      </w:r>
      <w:r w:rsidRPr="00D74612">
        <w:rPr>
          <w:rFonts w:ascii="Times New Roman" w:eastAsia="宋体" w:hAnsi="Times New Roman" w:cs="Times New Roman"/>
        </w:rPr>
        <w:t>年</w:t>
      </w:r>
      <w:r w:rsidR="00952509">
        <w:rPr>
          <w:rFonts w:ascii="Times New Roman" w:eastAsia="宋体" w:hAnsi="Times New Roman" w:cs="Times New Roman" w:hint="eastAsia"/>
        </w:rPr>
        <w:t>版。</w:t>
      </w:r>
    </w:p>
  </w:footnote>
  <w:footnote w:id="33">
    <w:p w14:paraId="17E09CBD" w14:textId="07B9DBA4" w:rsidR="00952509" w:rsidRDefault="00952509" w:rsidP="00952509">
      <w:pPr>
        <w:pStyle w:val="a3"/>
      </w:pPr>
      <w:r>
        <w:rPr>
          <w:rStyle w:val="a5"/>
        </w:rPr>
        <w:footnoteRef/>
      </w:r>
      <w:r>
        <w:t xml:space="preserve"> </w:t>
      </w:r>
      <w:r w:rsidR="002902CD">
        <w:rPr>
          <w:rFonts w:hint="eastAsia"/>
        </w:rPr>
        <w:t>联合国全球契约组织（</w:t>
      </w:r>
      <w:r w:rsidRPr="00537CA1">
        <w:rPr>
          <w:rFonts w:ascii="Times New Roman" w:hAnsi="Times New Roman" w:cs="Times New Roman"/>
        </w:rPr>
        <w:t>The Global Compact</w:t>
      </w:r>
      <w:r w:rsidR="002902CD">
        <w:rPr>
          <w:rFonts w:ascii="Times New Roman" w:hAnsi="Times New Roman" w:cs="Times New Roman" w:hint="eastAsia"/>
        </w:rPr>
        <w:t>）</w:t>
      </w:r>
      <w:r w:rsidR="002902CD">
        <w:rPr>
          <w:rFonts w:ascii="Times New Roman" w:hAnsi="Times New Roman" w:cs="Times New Roman" w:hint="eastAsia"/>
        </w:rPr>
        <w:t>2004</w:t>
      </w:r>
      <w:r w:rsidR="002902CD">
        <w:rPr>
          <w:rFonts w:ascii="Times New Roman" w:hAnsi="Times New Roman" w:cs="Times New Roman" w:hint="eastAsia"/>
        </w:rPr>
        <w:t>年发布了一份报告，强调了</w:t>
      </w:r>
      <w:r w:rsidR="002902CD">
        <w:rPr>
          <w:rFonts w:ascii="Times New Roman" w:hAnsi="Times New Roman" w:cs="Times New Roman" w:hint="eastAsia"/>
        </w:rPr>
        <w:t>ESG</w:t>
      </w:r>
      <w:r w:rsidR="002902CD">
        <w:rPr>
          <w:rFonts w:ascii="Times New Roman" w:hAnsi="Times New Roman" w:cs="Times New Roman" w:hint="eastAsia"/>
        </w:rPr>
        <w:t>理念。</w:t>
      </w:r>
      <w:r w:rsidR="00D30568">
        <w:rPr>
          <w:rFonts w:hint="eastAsia"/>
        </w:rPr>
        <w:t>详见</w:t>
      </w:r>
      <w:hyperlink r:id="rId6" w:history="1">
        <w:r w:rsidR="00D30568" w:rsidRPr="00251D34">
          <w:rPr>
            <w:rStyle w:val="af4"/>
            <w:rFonts w:ascii="Times New Roman" w:hAnsi="Times New Roman" w:cs="Times New Roman"/>
          </w:rPr>
          <w:t>https://documents1.worldbank.org/curated/en/280911488968799581/pdf/113237-WP-WhoCaresWins-2004.pdf</w:t>
        </w:r>
      </w:hyperlink>
      <w:r w:rsidR="00D30568">
        <w:rPr>
          <w:rFonts w:ascii="Times New Roman" w:hAnsi="Times New Roman" w:cs="Times New Roman" w:hint="eastAsia"/>
        </w:rPr>
        <w:t xml:space="preserve">, </w:t>
      </w:r>
      <w:r w:rsidR="00C46339">
        <w:rPr>
          <w:rFonts w:ascii="Times New Roman" w:hAnsi="Times New Roman" w:cs="Times New Roman" w:hint="eastAsia"/>
        </w:rPr>
        <w:t xml:space="preserve">retrieved </w:t>
      </w:r>
      <w:r w:rsidR="00D30568">
        <w:rPr>
          <w:rFonts w:ascii="Times New Roman" w:hAnsi="Times New Roman" w:cs="Times New Roman" w:hint="eastAsia"/>
        </w:rPr>
        <w:t xml:space="preserve"> </w:t>
      </w:r>
      <w:r w:rsidR="00C46339">
        <w:rPr>
          <w:rFonts w:ascii="Times New Roman" w:hAnsi="Times New Roman" w:cs="Times New Roman" w:hint="eastAsia"/>
        </w:rPr>
        <w:t>Oct.7</w:t>
      </w:r>
      <w:r w:rsidR="00D30568">
        <w:rPr>
          <w:rFonts w:ascii="Times New Roman" w:hAnsi="Times New Roman" w:cs="Times New Roman" w:hint="eastAsia"/>
        </w:rPr>
        <w:t>,2024.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684B"/>
    <w:multiLevelType w:val="hybridMultilevel"/>
    <w:tmpl w:val="01F430A4"/>
    <w:lvl w:ilvl="0" w:tplc="3B688D3E">
      <w:start w:val="3"/>
      <w:numFmt w:val="japaneseCounting"/>
      <w:lvlText w:val="%1."/>
      <w:lvlJc w:val="left"/>
      <w:pPr>
        <w:ind w:left="849" w:hanging="360"/>
      </w:pPr>
      <w:rPr>
        <w:rFonts w:ascii="黑体" w:eastAsia="黑体" w:hAnsi="黑体" w:hint="default"/>
        <w:b w:val="0"/>
      </w:rPr>
    </w:lvl>
    <w:lvl w:ilvl="1" w:tplc="04090019" w:tentative="1">
      <w:start w:val="1"/>
      <w:numFmt w:val="lowerLetter"/>
      <w:lvlText w:val="%2)"/>
      <w:lvlJc w:val="left"/>
      <w:pPr>
        <w:ind w:left="1369" w:hanging="440"/>
      </w:pPr>
    </w:lvl>
    <w:lvl w:ilvl="2" w:tplc="0409001B" w:tentative="1">
      <w:start w:val="1"/>
      <w:numFmt w:val="lowerRoman"/>
      <w:lvlText w:val="%3."/>
      <w:lvlJc w:val="right"/>
      <w:pPr>
        <w:ind w:left="1809" w:hanging="440"/>
      </w:pPr>
    </w:lvl>
    <w:lvl w:ilvl="3" w:tplc="0409000F" w:tentative="1">
      <w:start w:val="1"/>
      <w:numFmt w:val="decimal"/>
      <w:lvlText w:val="%4."/>
      <w:lvlJc w:val="left"/>
      <w:pPr>
        <w:ind w:left="2249" w:hanging="440"/>
      </w:pPr>
    </w:lvl>
    <w:lvl w:ilvl="4" w:tplc="04090019" w:tentative="1">
      <w:start w:val="1"/>
      <w:numFmt w:val="lowerLetter"/>
      <w:lvlText w:val="%5)"/>
      <w:lvlJc w:val="left"/>
      <w:pPr>
        <w:ind w:left="2689" w:hanging="440"/>
      </w:pPr>
    </w:lvl>
    <w:lvl w:ilvl="5" w:tplc="0409001B" w:tentative="1">
      <w:start w:val="1"/>
      <w:numFmt w:val="lowerRoman"/>
      <w:lvlText w:val="%6."/>
      <w:lvlJc w:val="right"/>
      <w:pPr>
        <w:ind w:left="3129" w:hanging="440"/>
      </w:pPr>
    </w:lvl>
    <w:lvl w:ilvl="6" w:tplc="0409000F" w:tentative="1">
      <w:start w:val="1"/>
      <w:numFmt w:val="decimal"/>
      <w:lvlText w:val="%7."/>
      <w:lvlJc w:val="left"/>
      <w:pPr>
        <w:ind w:left="3569" w:hanging="440"/>
      </w:pPr>
    </w:lvl>
    <w:lvl w:ilvl="7" w:tplc="04090019" w:tentative="1">
      <w:start w:val="1"/>
      <w:numFmt w:val="lowerLetter"/>
      <w:lvlText w:val="%8)"/>
      <w:lvlJc w:val="left"/>
      <w:pPr>
        <w:ind w:left="4009" w:hanging="440"/>
      </w:pPr>
    </w:lvl>
    <w:lvl w:ilvl="8" w:tplc="0409001B" w:tentative="1">
      <w:start w:val="1"/>
      <w:numFmt w:val="lowerRoman"/>
      <w:lvlText w:val="%9."/>
      <w:lvlJc w:val="right"/>
      <w:pPr>
        <w:ind w:left="4449" w:hanging="440"/>
      </w:pPr>
    </w:lvl>
  </w:abstractNum>
  <w:abstractNum w:abstractNumId="1" w15:restartNumberingAfterBreak="0">
    <w:nsid w:val="11715346"/>
    <w:multiLevelType w:val="hybridMultilevel"/>
    <w:tmpl w:val="B9628DA4"/>
    <w:lvl w:ilvl="0" w:tplc="C6FC2C44">
      <w:start w:val="3"/>
      <w:numFmt w:val="japaneseCounting"/>
      <w:lvlText w:val="%1）"/>
      <w:lvlJc w:val="left"/>
      <w:pPr>
        <w:ind w:left="869" w:hanging="380"/>
      </w:pPr>
      <w:rPr>
        <w:rFonts w:ascii="黑体" w:eastAsia="黑体" w:hAnsi="黑体" w:hint="default"/>
        <w:b w:val="0"/>
      </w:rPr>
    </w:lvl>
    <w:lvl w:ilvl="1" w:tplc="04090019" w:tentative="1">
      <w:start w:val="1"/>
      <w:numFmt w:val="lowerLetter"/>
      <w:lvlText w:val="%2)"/>
      <w:lvlJc w:val="left"/>
      <w:pPr>
        <w:ind w:left="1369" w:hanging="440"/>
      </w:pPr>
    </w:lvl>
    <w:lvl w:ilvl="2" w:tplc="0409001B" w:tentative="1">
      <w:start w:val="1"/>
      <w:numFmt w:val="lowerRoman"/>
      <w:lvlText w:val="%3."/>
      <w:lvlJc w:val="right"/>
      <w:pPr>
        <w:ind w:left="1809" w:hanging="440"/>
      </w:pPr>
    </w:lvl>
    <w:lvl w:ilvl="3" w:tplc="0409000F" w:tentative="1">
      <w:start w:val="1"/>
      <w:numFmt w:val="decimal"/>
      <w:lvlText w:val="%4."/>
      <w:lvlJc w:val="left"/>
      <w:pPr>
        <w:ind w:left="2249" w:hanging="440"/>
      </w:pPr>
    </w:lvl>
    <w:lvl w:ilvl="4" w:tplc="04090019" w:tentative="1">
      <w:start w:val="1"/>
      <w:numFmt w:val="lowerLetter"/>
      <w:lvlText w:val="%5)"/>
      <w:lvlJc w:val="left"/>
      <w:pPr>
        <w:ind w:left="2689" w:hanging="440"/>
      </w:pPr>
    </w:lvl>
    <w:lvl w:ilvl="5" w:tplc="0409001B" w:tentative="1">
      <w:start w:val="1"/>
      <w:numFmt w:val="lowerRoman"/>
      <w:lvlText w:val="%6."/>
      <w:lvlJc w:val="right"/>
      <w:pPr>
        <w:ind w:left="3129" w:hanging="440"/>
      </w:pPr>
    </w:lvl>
    <w:lvl w:ilvl="6" w:tplc="0409000F" w:tentative="1">
      <w:start w:val="1"/>
      <w:numFmt w:val="decimal"/>
      <w:lvlText w:val="%7."/>
      <w:lvlJc w:val="left"/>
      <w:pPr>
        <w:ind w:left="3569" w:hanging="440"/>
      </w:pPr>
    </w:lvl>
    <w:lvl w:ilvl="7" w:tplc="04090019" w:tentative="1">
      <w:start w:val="1"/>
      <w:numFmt w:val="lowerLetter"/>
      <w:lvlText w:val="%8)"/>
      <w:lvlJc w:val="left"/>
      <w:pPr>
        <w:ind w:left="4009" w:hanging="440"/>
      </w:pPr>
    </w:lvl>
    <w:lvl w:ilvl="8" w:tplc="0409001B" w:tentative="1">
      <w:start w:val="1"/>
      <w:numFmt w:val="lowerRoman"/>
      <w:lvlText w:val="%9."/>
      <w:lvlJc w:val="right"/>
      <w:pPr>
        <w:ind w:left="4449" w:hanging="440"/>
      </w:pPr>
    </w:lvl>
  </w:abstractNum>
  <w:abstractNum w:abstractNumId="2" w15:restartNumberingAfterBreak="0">
    <w:nsid w:val="1F890A39"/>
    <w:multiLevelType w:val="hybridMultilevel"/>
    <w:tmpl w:val="34921E1E"/>
    <w:lvl w:ilvl="0" w:tplc="3A147B6A">
      <w:start w:val="3"/>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565F3040"/>
    <w:multiLevelType w:val="hybridMultilevel"/>
    <w:tmpl w:val="769826C2"/>
    <w:lvl w:ilvl="0" w:tplc="4282DBB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5B2B4C89"/>
    <w:multiLevelType w:val="hybridMultilevel"/>
    <w:tmpl w:val="D4C29DA2"/>
    <w:lvl w:ilvl="0" w:tplc="A38846B4">
      <w:start w:val="1"/>
      <w:numFmt w:val="bullet"/>
      <w:lvlText w:val="-"/>
      <w:lvlJc w:val="left"/>
      <w:pPr>
        <w:ind w:left="2280" w:hanging="360"/>
      </w:pPr>
      <w:rPr>
        <w:rFonts w:ascii="Times New Roman" w:eastAsia="宋体" w:hAnsi="Times New Roman" w:cs="Times New Roman" w:hint="default"/>
      </w:rPr>
    </w:lvl>
    <w:lvl w:ilvl="1" w:tplc="04090003" w:tentative="1">
      <w:start w:val="1"/>
      <w:numFmt w:val="bullet"/>
      <w:lvlText w:val=""/>
      <w:lvlJc w:val="left"/>
      <w:pPr>
        <w:ind w:left="2800" w:hanging="440"/>
      </w:pPr>
      <w:rPr>
        <w:rFonts w:ascii="Wingdings" w:hAnsi="Wingdings" w:hint="default"/>
      </w:rPr>
    </w:lvl>
    <w:lvl w:ilvl="2" w:tplc="04090005" w:tentative="1">
      <w:start w:val="1"/>
      <w:numFmt w:val="bullet"/>
      <w:lvlText w:val=""/>
      <w:lvlJc w:val="left"/>
      <w:pPr>
        <w:ind w:left="3240" w:hanging="440"/>
      </w:pPr>
      <w:rPr>
        <w:rFonts w:ascii="Wingdings" w:hAnsi="Wingdings" w:hint="default"/>
      </w:rPr>
    </w:lvl>
    <w:lvl w:ilvl="3" w:tplc="04090001" w:tentative="1">
      <w:start w:val="1"/>
      <w:numFmt w:val="bullet"/>
      <w:lvlText w:val=""/>
      <w:lvlJc w:val="left"/>
      <w:pPr>
        <w:ind w:left="3680" w:hanging="440"/>
      </w:pPr>
      <w:rPr>
        <w:rFonts w:ascii="Wingdings" w:hAnsi="Wingdings" w:hint="default"/>
      </w:rPr>
    </w:lvl>
    <w:lvl w:ilvl="4" w:tplc="04090003" w:tentative="1">
      <w:start w:val="1"/>
      <w:numFmt w:val="bullet"/>
      <w:lvlText w:val=""/>
      <w:lvlJc w:val="left"/>
      <w:pPr>
        <w:ind w:left="4120" w:hanging="440"/>
      </w:pPr>
      <w:rPr>
        <w:rFonts w:ascii="Wingdings" w:hAnsi="Wingdings" w:hint="default"/>
      </w:rPr>
    </w:lvl>
    <w:lvl w:ilvl="5" w:tplc="04090005" w:tentative="1">
      <w:start w:val="1"/>
      <w:numFmt w:val="bullet"/>
      <w:lvlText w:val=""/>
      <w:lvlJc w:val="left"/>
      <w:pPr>
        <w:ind w:left="4560" w:hanging="440"/>
      </w:pPr>
      <w:rPr>
        <w:rFonts w:ascii="Wingdings" w:hAnsi="Wingdings" w:hint="default"/>
      </w:rPr>
    </w:lvl>
    <w:lvl w:ilvl="6" w:tplc="04090001" w:tentative="1">
      <w:start w:val="1"/>
      <w:numFmt w:val="bullet"/>
      <w:lvlText w:val=""/>
      <w:lvlJc w:val="left"/>
      <w:pPr>
        <w:ind w:left="5000" w:hanging="440"/>
      </w:pPr>
      <w:rPr>
        <w:rFonts w:ascii="Wingdings" w:hAnsi="Wingdings" w:hint="default"/>
      </w:rPr>
    </w:lvl>
    <w:lvl w:ilvl="7" w:tplc="04090003" w:tentative="1">
      <w:start w:val="1"/>
      <w:numFmt w:val="bullet"/>
      <w:lvlText w:val=""/>
      <w:lvlJc w:val="left"/>
      <w:pPr>
        <w:ind w:left="5440" w:hanging="440"/>
      </w:pPr>
      <w:rPr>
        <w:rFonts w:ascii="Wingdings" w:hAnsi="Wingdings" w:hint="default"/>
      </w:rPr>
    </w:lvl>
    <w:lvl w:ilvl="8" w:tplc="04090005" w:tentative="1">
      <w:start w:val="1"/>
      <w:numFmt w:val="bullet"/>
      <w:lvlText w:val=""/>
      <w:lvlJc w:val="left"/>
      <w:pPr>
        <w:ind w:left="5880" w:hanging="440"/>
      </w:pPr>
      <w:rPr>
        <w:rFonts w:ascii="Wingdings" w:hAnsi="Wingdings" w:hint="default"/>
      </w:rPr>
    </w:lvl>
  </w:abstractNum>
  <w:num w:numId="1" w16cid:durableId="1201438081">
    <w:abstractNumId w:val="4"/>
  </w:num>
  <w:num w:numId="2" w16cid:durableId="187912065">
    <w:abstractNumId w:val="2"/>
  </w:num>
  <w:num w:numId="3" w16cid:durableId="1008220045">
    <w:abstractNumId w:val="0"/>
  </w:num>
  <w:num w:numId="4" w16cid:durableId="1772818362">
    <w:abstractNumId w:val="1"/>
  </w:num>
  <w:num w:numId="5" w16cid:durableId="1864828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2FF"/>
    <w:rsid w:val="00000570"/>
    <w:rsid w:val="00005C8E"/>
    <w:rsid w:val="0001182C"/>
    <w:rsid w:val="000147FF"/>
    <w:rsid w:val="00015839"/>
    <w:rsid w:val="00015C5B"/>
    <w:rsid w:val="00020056"/>
    <w:rsid w:val="00021021"/>
    <w:rsid w:val="00021BB6"/>
    <w:rsid w:val="0002245C"/>
    <w:rsid w:val="000238D2"/>
    <w:rsid w:val="000239E7"/>
    <w:rsid w:val="00023B72"/>
    <w:rsid w:val="000240FE"/>
    <w:rsid w:val="000255B4"/>
    <w:rsid w:val="00026B92"/>
    <w:rsid w:val="00027FC7"/>
    <w:rsid w:val="00031469"/>
    <w:rsid w:val="0003181C"/>
    <w:rsid w:val="000323DF"/>
    <w:rsid w:val="000331FF"/>
    <w:rsid w:val="00033B0F"/>
    <w:rsid w:val="00035A6F"/>
    <w:rsid w:val="00035C26"/>
    <w:rsid w:val="00036094"/>
    <w:rsid w:val="0003673F"/>
    <w:rsid w:val="00037367"/>
    <w:rsid w:val="00037756"/>
    <w:rsid w:val="00042AF8"/>
    <w:rsid w:val="000430FA"/>
    <w:rsid w:val="00047C77"/>
    <w:rsid w:val="00051FE3"/>
    <w:rsid w:val="00055CC2"/>
    <w:rsid w:val="00055D56"/>
    <w:rsid w:val="000564F1"/>
    <w:rsid w:val="00056912"/>
    <w:rsid w:val="00060941"/>
    <w:rsid w:val="00061A13"/>
    <w:rsid w:val="00064D76"/>
    <w:rsid w:val="00065519"/>
    <w:rsid w:val="00065EF2"/>
    <w:rsid w:val="000702A7"/>
    <w:rsid w:val="00071025"/>
    <w:rsid w:val="00072B44"/>
    <w:rsid w:val="00073C90"/>
    <w:rsid w:val="00073DB0"/>
    <w:rsid w:val="00077693"/>
    <w:rsid w:val="0008362D"/>
    <w:rsid w:val="00083778"/>
    <w:rsid w:val="0008402C"/>
    <w:rsid w:val="00084131"/>
    <w:rsid w:val="00084135"/>
    <w:rsid w:val="00084B1A"/>
    <w:rsid w:val="0008616E"/>
    <w:rsid w:val="00086CAE"/>
    <w:rsid w:val="00090FD5"/>
    <w:rsid w:val="00092010"/>
    <w:rsid w:val="00093BAD"/>
    <w:rsid w:val="000940B1"/>
    <w:rsid w:val="00097A43"/>
    <w:rsid w:val="00097CAB"/>
    <w:rsid w:val="000A111F"/>
    <w:rsid w:val="000A15D3"/>
    <w:rsid w:val="000A2BC3"/>
    <w:rsid w:val="000A38E5"/>
    <w:rsid w:val="000A40C4"/>
    <w:rsid w:val="000A42E5"/>
    <w:rsid w:val="000A538C"/>
    <w:rsid w:val="000A68D6"/>
    <w:rsid w:val="000A7158"/>
    <w:rsid w:val="000B1281"/>
    <w:rsid w:val="000B14B9"/>
    <w:rsid w:val="000B178E"/>
    <w:rsid w:val="000B2D31"/>
    <w:rsid w:val="000B2DD8"/>
    <w:rsid w:val="000B43AB"/>
    <w:rsid w:val="000B4B60"/>
    <w:rsid w:val="000B5BE2"/>
    <w:rsid w:val="000C0AAD"/>
    <w:rsid w:val="000C10C6"/>
    <w:rsid w:val="000C2E75"/>
    <w:rsid w:val="000C65F0"/>
    <w:rsid w:val="000C7BE4"/>
    <w:rsid w:val="000D1BB6"/>
    <w:rsid w:val="000D1FBD"/>
    <w:rsid w:val="000D3E41"/>
    <w:rsid w:val="000D4587"/>
    <w:rsid w:val="000D5F05"/>
    <w:rsid w:val="000D6B37"/>
    <w:rsid w:val="000D7997"/>
    <w:rsid w:val="000E01A6"/>
    <w:rsid w:val="000E0CAF"/>
    <w:rsid w:val="000E287E"/>
    <w:rsid w:val="000E472C"/>
    <w:rsid w:val="000E4F51"/>
    <w:rsid w:val="000E5E5C"/>
    <w:rsid w:val="000F2BDB"/>
    <w:rsid w:val="000F2FFC"/>
    <w:rsid w:val="000F30A6"/>
    <w:rsid w:val="000F4E91"/>
    <w:rsid w:val="000F586C"/>
    <w:rsid w:val="000F6F77"/>
    <w:rsid w:val="000F7E7E"/>
    <w:rsid w:val="000F7F27"/>
    <w:rsid w:val="00100366"/>
    <w:rsid w:val="001005C2"/>
    <w:rsid w:val="001030E8"/>
    <w:rsid w:val="001101A9"/>
    <w:rsid w:val="00111905"/>
    <w:rsid w:val="0011528F"/>
    <w:rsid w:val="0011617F"/>
    <w:rsid w:val="001167BF"/>
    <w:rsid w:val="00121A96"/>
    <w:rsid w:val="00122251"/>
    <w:rsid w:val="001224BA"/>
    <w:rsid w:val="00123A71"/>
    <w:rsid w:val="0012509A"/>
    <w:rsid w:val="00127610"/>
    <w:rsid w:val="00130356"/>
    <w:rsid w:val="0013175E"/>
    <w:rsid w:val="00132F08"/>
    <w:rsid w:val="00134F20"/>
    <w:rsid w:val="001357E5"/>
    <w:rsid w:val="00137666"/>
    <w:rsid w:val="00140198"/>
    <w:rsid w:val="001412D8"/>
    <w:rsid w:val="00143527"/>
    <w:rsid w:val="001438F4"/>
    <w:rsid w:val="00143BE2"/>
    <w:rsid w:val="00147A88"/>
    <w:rsid w:val="00147AE4"/>
    <w:rsid w:val="00151EB4"/>
    <w:rsid w:val="00152806"/>
    <w:rsid w:val="00154267"/>
    <w:rsid w:val="00154644"/>
    <w:rsid w:val="001603DE"/>
    <w:rsid w:val="00161DF6"/>
    <w:rsid w:val="00165FEA"/>
    <w:rsid w:val="00167E5B"/>
    <w:rsid w:val="0017073E"/>
    <w:rsid w:val="001716FC"/>
    <w:rsid w:val="00171AE9"/>
    <w:rsid w:val="00174674"/>
    <w:rsid w:val="00174AE1"/>
    <w:rsid w:val="00174FF1"/>
    <w:rsid w:val="001802C6"/>
    <w:rsid w:val="00182C4A"/>
    <w:rsid w:val="00184659"/>
    <w:rsid w:val="001859B8"/>
    <w:rsid w:val="00187DF6"/>
    <w:rsid w:val="00190F89"/>
    <w:rsid w:val="0019290E"/>
    <w:rsid w:val="00192F9B"/>
    <w:rsid w:val="00195202"/>
    <w:rsid w:val="00195748"/>
    <w:rsid w:val="0019626F"/>
    <w:rsid w:val="00196FDC"/>
    <w:rsid w:val="001973BD"/>
    <w:rsid w:val="00197777"/>
    <w:rsid w:val="001A21D3"/>
    <w:rsid w:val="001A3EF4"/>
    <w:rsid w:val="001A465B"/>
    <w:rsid w:val="001A4CB3"/>
    <w:rsid w:val="001B119C"/>
    <w:rsid w:val="001B1519"/>
    <w:rsid w:val="001B1C01"/>
    <w:rsid w:val="001B1C84"/>
    <w:rsid w:val="001B24C4"/>
    <w:rsid w:val="001B76DC"/>
    <w:rsid w:val="001B7736"/>
    <w:rsid w:val="001C06A5"/>
    <w:rsid w:val="001C0BE3"/>
    <w:rsid w:val="001C0C67"/>
    <w:rsid w:val="001C47F6"/>
    <w:rsid w:val="001C664D"/>
    <w:rsid w:val="001D1E19"/>
    <w:rsid w:val="001D67BF"/>
    <w:rsid w:val="001E202E"/>
    <w:rsid w:val="001E326B"/>
    <w:rsid w:val="001E4C2C"/>
    <w:rsid w:val="001E4D09"/>
    <w:rsid w:val="001E6BC4"/>
    <w:rsid w:val="001E73B7"/>
    <w:rsid w:val="001F0E95"/>
    <w:rsid w:val="001F0F0D"/>
    <w:rsid w:val="001F2B93"/>
    <w:rsid w:val="001F2C61"/>
    <w:rsid w:val="001F390F"/>
    <w:rsid w:val="001F5A2C"/>
    <w:rsid w:val="001F5B65"/>
    <w:rsid w:val="001F6657"/>
    <w:rsid w:val="001F6FD3"/>
    <w:rsid w:val="001F7C38"/>
    <w:rsid w:val="00201662"/>
    <w:rsid w:val="002016C5"/>
    <w:rsid w:val="00202678"/>
    <w:rsid w:val="002065C7"/>
    <w:rsid w:val="002079BF"/>
    <w:rsid w:val="002104DC"/>
    <w:rsid w:val="002119F8"/>
    <w:rsid w:val="002120D8"/>
    <w:rsid w:val="00212C5A"/>
    <w:rsid w:val="00212FFC"/>
    <w:rsid w:val="002153C8"/>
    <w:rsid w:val="002159FB"/>
    <w:rsid w:val="00215B93"/>
    <w:rsid w:val="0022017F"/>
    <w:rsid w:val="00220300"/>
    <w:rsid w:val="00221B4E"/>
    <w:rsid w:val="0022227F"/>
    <w:rsid w:val="00222374"/>
    <w:rsid w:val="00222590"/>
    <w:rsid w:val="00222A54"/>
    <w:rsid w:val="00230EB9"/>
    <w:rsid w:val="00231E43"/>
    <w:rsid w:val="002323DF"/>
    <w:rsid w:val="0023518F"/>
    <w:rsid w:val="002359BA"/>
    <w:rsid w:val="002363F0"/>
    <w:rsid w:val="002410BD"/>
    <w:rsid w:val="00243C21"/>
    <w:rsid w:val="00244BD5"/>
    <w:rsid w:val="00245922"/>
    <w:rsid w:val="0024657D"/>
    <w:rsid w:val="002475A7"/>
    <w:rsid w:val="00247B60"/>
    <w:rsid w:val="002508B5"/>
    <w:rsid w:val="00252595"/>
    <w:rsid w:val="00252F90"/>
    <w:rsid w:val="002542B4"/>
    <w:rsid w:val="00254D92"/>
    <w:rsid w:val="00263269"/>
    <w:rsid w:val="00265DEB"/>
    <w:rsid w:val="00265FFC"/>
    <w:rsid w:val="0026646C"/>
    <w:rsid w:val="00267153"/>
    <w:rsid w:val="0026766B"/>
    <w:rsid w:val="00270396"/>
    <w:rsid w:val="0027156B"/>
    <w:rsid w:val="00271BE2"/>
    <w:rsid w:val="00272D10"/>
    <w:rsid w:val="00274592"/>
    <w:rsid w:val="00274F58"/>
    <w:rsid w:val="00274F9B"/>
    <w:rsid w:val="002758ED"/>
    <w:rsid w:val="00276AD3"/>
    <w:rsid w:val="00276DF0"/>
    <w:rsid w:val="0027702D"/>
    <w:rsid w:val="00281A59"/>
    <w:rsid w:val="00281D9E"/>
    <w:rsid w:val="00282030"/>
    <w:rsid w:val="00283BAC"/>
    <w:rsid w:val="00283DD9"/>
    <w:rsid w:val="00285A9C"/>
    <w:rsid w:val="00286A01"/>
    <w:rsid w:val="002902CD"/>
    <w:rsid w:val="0029398C"/>
    <w:rsid w:val="00294F84"/>
    <w:rsid w:val="002977F1"/>
    <w:rsid w:val="002A00BC"/>
    <w:rsid w:val="002A24AE"/>
    <w:rsid w:val="002A39ED"/>
    <w:rsid w:val="002A485E"/>
    <w:rsid w:val="002A556E"/>
    <w:rsid w:val="002A6A8E"/>
    <w:rsid w:val="002B1AC2"/>
    <w:rsid w:val="002B26FB"/>
    <w:rsid w:val="002B2732"/>
    <w:rsid w:val="002C2072"/>
    <w:rsid w:val="002C5213"/>
    <w:rsid w:val="002C69C6"/>
    <w:rsid w:val="002D0FE4"/>
    <w:rsid w:val="002D2140"/>
    <w:rsid w:val="002D34EA"/>
    <w:rsid w:val="002D4BF0"/>
    <w:rsid w:val="002D5B43"/>
    <w:rsid w:val="002D62F7"/>
    <w:rsid w:val="002D69F2"/>
    <w:rsid w:val="002D714E"/>
    <w:rsid w:val="002E02B4"/>
    <w:rsid w:val="002E1E00"/>
    <w:rsid w:val="002E2809"/>
    <w:rsid w:val="002E29B2"/>
    <w:rsid w:val="002E3539"/>
    <w:rsid w:val="002E4705"/>
    <w:rsid w:val="002E567F"/>
    <w:rsid w:val="002E5997"/>
    <w:rsid w:val="002E6D2F"/>
    <w:rsid w:val="002E7806"/>
    <w:rsid w:val="002E796E"/>
    <w:rsid w:val="002E7999"/>
    <w:rsid w:val="002F06B3"/>
    <w:rsid w:val="002F0915"/>
    <w:rsid w:val="002F15BB"/>
    <w:rsid w:val="002F30FB"/>
    <w:rsid w:val="002F7444"/>
    <w:rsid w:val="002F7EC7"/>
    <w:rsid w:val="00300D92"/>
    <w:rsid w:val="003023BF"/>
    <w:rsid w:val="003043B2"/>
    <w:rsid w:val="003045DE"/>
    <w:rsid w:val="00307AB6"/>
    <w:rsid w:val="00307F76"/>
    <w:rsid w:val="003116D9"/>
    <w:rsid w:val="0031369D"/>
    <w:rsid w:val="0031575A"/>
    <w:rsid w:val="00315924"/>
    <w:rsid w:val="00315EDB"/>
    <w:rsid w:val="00316A74"/>
    <w:rsid w:val="00317656"/>
    <w:rsid w:val="00321EA5"/>
    <w:rsid w:val="003237A7"/>
    <w:rsid w:val="00323DED"/>
    <w:rsid w:val="003258F3"/>
    <w:rsid w:val="00325A3C"/>
    <w:rsid w:val="00325F9E"/>
    <w:rsid w:val="00331754"/>
    <w:rsid w:val="003321D1"/>
    <w:rsid w:val="00332543"/>
    <w:rsid w:val="00333700"/>
    <w:rsid w:val="00334A45"/>
    <w:rsid w:val="00335699"/>
    <w:rsid w:val="00336959"/>
    <w:rsid w:val="0033696B"/>
    <w:rsid w:val="00336C9D"/>
    <w:rsid w:val="00340C9C"/>
    <w:rsid w:val="0034101C"/>
    <w:rsid w:val="00341876"/>
    <w:rsid w:val="003423B3"/>
    <w:rsid w:val="00344641"/>
    <w:rsid w:val="003467C4"/>
    <w:rsid w:val="00346DAF"/>
    <w:rsid w:val="00350B85"/>
    <w:rsid w:val="00351DC4"/>
    <w:rsid w:val="0035234F"/>
    <w:rsid w:val="00352571"/>
    <w:rsid w:val="00353B71"/>
    <w:rsid w:val="00354318"/>
    <w:rsid w:val="00354E75"/>
    <w:rsid w:val="00355B3B"/>
    <w:rsid w:val="00355EF1"/>
    <w:rsid w:val="00357744"/>
    <w:rsid w:val="00362055"/>
    <w:rsid w:val="003634EE"/>
    <w:rsid w:val="003650CC"/>
    <w:rsid w:val="00365A86"/>
    <w:rsid w:val="00366B46"/>
    <w:rsid w:val="003700F1"/>
    <w:rsid w:val="00372DEF"/>
    <w:rsid w:val="00372E5F"/>
    <w:rsid w:val="003743A0"/>
    <w:rsid w:val="00380574"/>
    <w:rsid w:val="003806C3"/>
    <w:rsid w:val="00382649"/>
    <w:rsid w:val="003838D9"/>
    <w:rsid w:val="00385EA6"/>
    <w:rsid w:val="00387BF7"/>
    <w:rsid w:val="00392E94"/>
    <w:rsid w:val="00394E31"/>
    <w:rsid w:val="00394ECC"/>
    <w:rsid w:val="00395C8F"/>
    <w:rsid w:val="00396456"/>
    <w:rsid w:val="00397890"/>
    <w:rsid w:val="003A0386"/>
    <w:rsid w:val="003A3AA9"/>
    <w:rsid w:val="003A4333"/>
    <w:rsid w:val="003A4398"/>
    <w:rsid w:val="003A6338"/>
    <w:rsid w:val="003A7B57"/>
    <w:rsid w:val="003A7DB1"/>
    <w:rsid w:val="003B13E3"/>
    <w:rsid w:val="003B56F6"/>
    <w:rsid w:val="003B58AD"/>
    <w:rsid w:val="003B6C71"/>
    <w:rsid w:val="003C07B8"/>
    <w:rsid w:val="003C1630"/>
    <w:rsid w:val="003C189B"/>
    <w:rsid w:val="003C2679"/>
    <w:rsid w:val="003C378F"/>
    <w:rsid w:val="003C3EB1"/>
    <w:rsid w:val="003C570A"/>
    <w:rsid w:val="003C5A1E"/>
    <w:rsid w:val="003D0836"/>
    <w:rsid w:val="003D1759"/>
    <w:rsid w:val="003D2AA5"/>
    <w:rsid w:val="003D2D0E"/>
    <w:rsid w:val="003D4215"/>
    <w:rsid w:val="003E0022"/>
    <w:rsid w:val="003E14FA"/>
    <w:rsid w:val="003E2133"/>
    <w:rsid w:val="003E3305"/>
    <w:rsid w:val="003E34DB"/>
    <w:rsid w:val="003E4319"/>
    <w:rsid w:val="003E4DA9"/>
    <w:rsid w:val="003E52F6"/>
    <w:rsid w:val="003E54C1"/>
    <w:rsid w:val="003E5705"/>
    <w:rsid w:val="003E637F"/>
    <w:rsid w:val="003F013C"/>
    <w:rsid w:val="003F089E"/>
    <w:rsid w:val="003F2403"/>
    <w:rsid w:val="003F31D3"/>
    <w:rsid w:val="003F34E9"/>
    <w:rsid w:val="003F3B70"/>
    <w:rsid w:val="003F58E9"/>
    <w:rsid w:val="003F5A3F"/>
    <w:rsid w:val="003F7E86"/>
    <w:rsid w:val="00400551"/>
    <w:rsid w:val="00403E6B"/>
    <w:rsid w:val="00403EA0"/>
    <w:rsid w:val="00406CD6"/>
    <w:rsid w:val="0041196C"/>
    <w:rsid w:val="00412B4A"/>
    <w:rsid w:val="004148FA"/>
    <w:rsid w:val="00417258"/>
    <w:rsid w:val="00417FA6"/>
    <w:rsid w:val="00420AC8"/>
    <w:rsid w:val="00420AFC"/>
    <w:rsid w:val="00421EDE"/>
    <w:rsid w:val="004250CF"/>
    <w:rsid w:val="00426633"/>
    <w:rsid w:val="00430178"/>
    <w:rsid w:val="0043266F"/>
    <w:rsid w:val="0044439F"/>
    <w:rsid w:val="004455A1"/>
    <w:rsid w:val="00446080"/>
    <w:rsid w:val="00446149"/>
    <w:rsid w:val="0044640F"/>
    <w:rsid w:val="004475EE"/>
    <w:rsid w:val="004478C8"/>
    <w:rsid w:val="00447E0D"/>
    <w:rsid w:val="00450340"/>
    <w:rsid w:val="004515E0"/>
    <w:rsid w:val="00451CEC"/>
    <w:rsid w:val="00454DD3"/>
    <w:rsid w:val="00456B60"/>
    <w:rsid w:val="00460290"/>
    <w:rsid w:val="0046146A"/>
    <w:rsid w:val="00461793"/>
    <w:rsid w:val="00463A18"/>
    <w:rsid w:val="00465305"/>
    <w:rsid w:val="004657DE"/>
    <w:rsid w:val="004665D7"/>
    <w:rsid w:val="00467C4E"/>
    <w:rsid w:val="00470688"/>
    <w:rsid w:val="00470AA5"/>
    <w:rsid w:val="004711B0"/>
    <w:rsid w:val="0047159D"/>
    <w:rsid w:val="004721D6"/>
    <w:rsid w:val="004726E2"/>
    <w:rsid w:val="004738DC"/>
    <w:rsid w:val="00477CD9"/>
    <w:rsid w:val="0048081C"/>
    <w:rsid w:val="00481EAC"/>
    <w:rsid w:val="00482C5E"/>
    <w:rsid w:val="004831A8"/>
    <w:rsid w:val="004832C4"/>
    <w:rsid w:val="0048476A"/>
    <w:rsid w:val="004861D3"/>
    <w:rsid w:val="004906C4"/>
    <w:rsid w:val="0049102E"/>
    <w:rsid w:val="00492178"/>
    <w:rsid w:val="00492AF0"/>
    <w:rsid w:val="00495FA9"/>
    <w:rsid w:val="004A19C0"/>
    <w:rsid w:val="004A26F7"/>
    <w:rsid w:val="004A28C9"/>
    <w:rsid w:val="004A4247"/>
    <w:rsid w:val="004A46EF"/>
    <w:rsid w:val="004A4D0E"/>
    <w:rsid w:val="004A622B"/>
    <w:rsid w:val="004A67B0"/>
    <w:rsid w:val="004B0509"/>
    <w:rsid w:val="004B2881"/>
    <w:rsid w:val="004B3A7A"/>
    <w:rsid w:val="004B4B26"/>
    <w:rsid w:val="004B6F47"/>
    <w:rsid w:val="004C0E70"/>
    <w:rsid w:val="004C100D"/>
    <w:rsid w:val="004C1088"/>
    <w:rsid w:val="004C16B0"/>
    <w:rsid w:val="004C2A41"/>
    <w:rsid w:val="004C3EAF"/>
    <w:rsid w:val="004C4B2B"/>
    <w:rsid w:val="004C6797"/>
    <w:rsid w:val="004C721A"/>
    <w:rsid w:val="004D3382"/>
    <w:rsid w:val="004D38F4"/>
    <w:rsid w:val="004D5C00"/>
    <w:rsid w:val="004E0F5A"/>
    <w:rsid w:val="004E1106"/>
    <w:rsid w:val="004E127A"/>
    <w:rsid w:val="004E19DD"/>
    <w:rsid w:val="004E6D23"/>
    <w:rsid w:val="004F14E0"/>
    <w:rsid w:val="004F1D6E"/>
    <w:rsid w:val="004F5A63"/>
    <w:rsid w:val="004F7B27"/>
    <w:rsid w:val="00510598"/>
    <w:rsid w:val="00510A8C"/>
    <w:rsid w:val="005154E3"/>
    <w:rsid w:val="00515910"/>
    <w:rsid w:val="005165C5"/>
    <w:rsid w:val="0052154B"/>
    <w:rsid w:val="00521BCB"/>
    <w:rsid w:val="00523429"/>
    <w:rsid w:val="00526854"/>
    <w:rsid w:val="0053106A"/>
    <w:rsid w:val="005321F7"/>
    <w:rsid w:val="00533B90"/>
    <w:rsid w:val="00534CEC"/>
    <w:rsid w:val="005367D8"/>
    <w:rsid w:val="00537CA1"/>
    <w:rsid w:val="00537E1F"/>
    <w:rsid w:val="005438F5"/>
    <w:rsid w:val="00545AAA"/>
    <w:rsid w:val="005462C3"/>
    <w:rsid w:val="00550136"/>
    <w:rsid w:val="00550D7B"/>
    <w:rsid w:val="0055234B"/>
    <w:rsid w:val="005550D5"/>
    <w:rsid w:val="00556459"/>
    <w:rsid w:val="005627CD"/>
    <w:rsid w:val="00566BBC"/>
    <w:rsid w:val="005739E3"/>
    <w:rsid w:val="00573E59"/>
    <w:rsid w:val="005748C0"/>
    <w:rsid w:val="00575E88"/>
    <w:rsid w:val="0057754F"/>
    <w:rsid w:val="00577B65"/>
    <w:rsid w:val="00581659"/>
    <w:rsid w:val="00582250"/>
    <w:rsid w:val="00582BA3"/>
    <w:rsid w:val="00583514"/>
    <w:rsid w:val="005838D6"/>
    <w:rsid w:val="00585A39"/>
    <w:rsid w:val="0058738A"/>
    <w:rsid w:val="0059025D"/>
    <w:rsid w:val="00590F87"/>
    <w:rsid w:val="00591C67"/>
    <w:rsid w:val="005926F4"/>
    <w:rsid w:val="0059549F"/>
    <w:rsid w:val="00595DD4"/>
    <w:rsid w:val="00597C8C"/>
    <w:rsid w:val="005A0BAB"/>
    <w:rsid w:val="005A0F20"/>
    <w:rsid w:val="005A2304"/>
    <w:rsid w:val="005A2CD4"/>
    <w:rsid w:val="005A42DF"/>
    <w:rsid w:val="005A4350"/>
    <w:rsid w:val="005A67E7"/>
    <w:rsid w:val="005A76D9"/>
    <w:rsid w:val="005B1679"/>
    <w:rsid w:val="005B23CA"/>
    <w:rsid w:val="005B2EEB"/>
    <w:rsid w:val="005B2FAD"/>
    <w:rsid w:val="005B4896"/>
    <w:rsid w:val="005B5231"/>
    <w:rsid w:val="005B7B7A"/>
    <w:rsid w:val="005C2523"/>
    <w:rsid w:val="005C3D2A"/>
    <w:rsid w:val="005C488C"/>
    <w:rsid w:val="005C6146"/>
    <w:rsid w:val="005C6617"/>
    <w:rsid w:val="005C6CA6"/>
    <w:rsid w:val="005C7ECF"/>
    <w:rsid w:val="005D16AE"/>
    <w:rsid w:val="005D2D9E"/>
    <w:rsid w:val="005D43D3"/>
    <w:rsid w:val="005D7010"/>
    <w:rsid w:val="005D7D4B"/>
    <w:rsid w:val="005E01D8"/>
    <w:rsid w:val="005E3654"/>
    <w:rsid w:val="005E3DF6"/>
    <w:rsid w:val="005E3E2C"/>
    <w:rsid w:val="005E3F8F"/>
    <w:rsid w:val="005E673D"/>
    <w:rsid w:val="005E6A9A"/>
    <w:rsid w:val="005F078E"/>
    <w:rsid w:val="005F0C4D"/>
    <w:rsid w:val="005F1440"/>
    <w:rsid w:val="005F1E54"/>
    <w:rsid w:val="005F3B15"/>
    <w:rsid w:val="005F4EC5"/>
    <w:rsid w:val="005F6961"/>
    <w:rsid w:val="006025F1"/>
    <w:rsid w:val="00602F84"/>
    <w:rsid w:val="006033A1"/>
    <w:rsid w:val="00604090"/>
    <w:rsid w:val="00604E0F"/>
    <w:rsid w:val="00604E9E"/>
    <w:rsid w:val="00606FAD"/>
    <w:rsid w:val="006112EE"/>
    <w:rsid w:val="006124B6"/>
    <w:rsid w:val="006127B3"/>
    <w:rsid w:val="006135AD"/>
    <w:rsid w:val="006137CA"/>
    <w:rsid w:val="00613FCC"/>
    <w:rsid w:val="006149AC"/>
    <w:rsid w:val="006152D0"/>
    <w:rsid w:val="00616554"/>
    <w:rsid w:val="00620356"/>
    <w:rsid w:val="00622171"/>
    <w:rsid w:val="00624AD4"/>
    <w:rsid w:val="006251B8"/>
    <w:rsid w:val="00630A23"/>
    <w:rsid w:val="00630D14"/>
    <w:rsid w:val="00633BF8"/>
    <w:rsid w:val="00634578"/>
    <w:rsid w:val="0063683E"/>
    <w:rsid w:val="006371E3"/>
    <w:rsid w:val="006409F7"/>
    <w:rsid w:val="00640E00"/>
    <w:rsid w:val="00646961"/>
    <w:rsid w:val="00646A1B"/>
    <w:rsid w:val="00646D34"/>
    <w:rsid w:val="00650648"/>
    <w:rsid w:val="006508F6"/>
    <w:rsid w:val="0065130E"/>
    <w:rsid w:val="00651ECF"/>
    <w:rsid w:val="00655288"/>
    <w:rsid w:val="00655E08"/>
    <w:rsid w:val="0065748A"/>
    <w:rsid w:val="00660C12"/>
    <w:rsid w:val="00662AD9"/>
    <w:rsid w:val="00663207"/>
    <w:rsid w:val="006639D4"/>
    <w:rsid w:val="00664F69"/>
    <w:rsid w:val="00670A66"/>
    <w:rsid w:val="00671D2F"/>
    <w:rsid w:val="00672C0E"/>
    <w:rsid w:val="006738F1"/>
    <w:rsid w:val="006753E9"/>
    <w:rsid w:val="006754B5"/>
    <w:rsid w:val="00677500"/>
    <w:rsid w:val="00680501"/>
    <w:rsid w:val="00681C59"/>
    <w:rsid w:val="006826FE"/>
    <w:rsid w:val="00683138"/>
    <w:rsid w:val="00683734"/>
    <w:rsid w:val="00684C3E"/>
    <w:rsid w:val="00690DE1"/>
    <w:rsid w:val="00692F35"/>
    <w:rsid w:val="006949E8"/>
    <w:rsid w:val="006966EA"/>
    <w:rsid w:val="00697B79"/>
    <w:rsid w:val="006A0148"/>
    <w:rsid w:val="006A566A"/>
    <w:rsid w:val="006A7930"/>
    <w:rsid w:val="006A7C68"/>
    <w:rsid w:val="006B121C"/>
    <w:rsid w:val="006B27AF"/>
    <w:rsid w:val="006B4820"/>
    <w:rsid w:val="006B49EC"/>
    <w:rsid w:val="006B5982"/>
    <w:rsid w:val="006C0123"/>
    <w:rsid w:val="006C4A7B"/>
    <w:rsid w:val="006C4AB9"/>
    <w:rsid w:val="006C4F00"/>
    <w:rsid w:val="006C7922"/>
    <w:rsid w:val="006D10F8"/>
    <w:rsid w:val="006D3741"/>
    <w:rsid w:val="006D38D1"/>
    <w:rsid w:val="006D6E8C"/>
    <w:rsid w:val="006E3B51"/>
    <w:rsid w:val="006E3C85"/>
    <w:rsid w:val="006E5792"/>
    <w:rsid w:val="006E611C"/>
    <w:rsid w:val="006E69F2"/>
    <w:rsid w:val="006E6C52"/>
    <w:rsid w:val="006F01BA"/>
    <w:rsid w:val="006F0A3E"/>
    <w:rsid w:val="006F12C0"/>
    <w:rsid w:val="006F217C"/>
    <w:rsid w:val="006F2302"/>
    <w:rsid w:val="006F75F7"/>
    <w:rsid w:val="0070375D"/>
    <w:rsid w:val="00703D59"/>
    <w:rsid w:val="00705915"/>
    <w:rsid w:val="00705A7E"/>
    <w:rsid w:val="00706A01"/>
    <w:rsid w:val="007078E2"/>
    <w:rsid w:val="0071030C"/>
    <w:rsid w:val="00710BD6"/>
    <w:rsid w:val="00711062"/>
    <w:rsid w:val="00712158"/>
    <w:rsid w:val="00712806"/>
    <w:rsid w:val="007137BA"/>
    <w:rsid w:val="00717371"/>
    <w:rsid w:val="00720102"/>
    <w:rsid w:val="00720FAD"/>
    <w:rsid w:val="00721E51"/>
    <w:rsid w:val="00722845"/>
    <w:rsid w:val="00723760"/>
    <w:rsid w:val="007245B6"/>
    <w:rsid w:val="00725760"/>
    <w:rsid w:val="007259B9"/>
    <w:rsid w:val="0072715F"/>
    <w:rsid w:val="0073047C"/>
    <w:rsid w:val="00730C74"/>
    <w:rsid w:val="00730C7B"/>
    <w:rsid w:val="00731A55"/>
    <w:rsid w:val="00731CC1"/>
    <w:rsid w:val="00731D63"/>
    <w:rsid w:val="007347D2"/>
    <w:rsid w:val="00734ACB"/>
    <w:rsid w:val="00734C82"/>
    <w:rsid w:val="00735F7A"/>
    <w:rsid w:val="00736BD7"/>
    <w:rsid w:val="00736C5C"/>
    <w:rsid w:val="0074079E"/>
    <w:rsid w:val="00740B16"/>
    <w:rsid w:val="007436B7"/>
    <w:rsid w:val="00743FA8"/>
    <w:rsid w:val="007461F0"/>
    <w:rsid w:val="0074668A"/>
    <w:rsid w:val="00747256"/>
    <w:rsid w:val="00747C3A"/>
    <w:rsid w:val="00751291"/>
    <w:rsid w:val="007515BC"/>
    <w:rsid w:val="0075173F"/>
    <w:rsid w:val="0075363A"/>
    <w:rsid w:val="00753F0E"/>
    <w:rsid w:val="00754402"/>
    <w:rsid w:val="00760A59"/>
    <w:rsid w:val="00761350"/>
    <w:rsid w:val="007629E3"/>
    <w:rsid w:val="00762BAC"/>
    <w:rsid w:val="00763EBA"/>
    <w:rsid w:val="00765FA9"/>
    <w:rsid w:val="007711D4"/>
    <w:rsid w:val="00772150"/>
    <w:rsid w:val="007749EF"/>
    <w:rsid w:val="00774B51"/>
    <w:rsid w:val="007760D9"/>
    <w:rsid w:val="007762FF"/>
    <w:rsid w:val="0077734B"/>
    <w:rsid w:val="00777661"/>
    <w:rsid w:val="00781E68"/>
    <w:rsid w:val="00783DCD"/>
    <w:rsid w:val="00785AF4"/>
    <w:rsid w:val="00791225"/>
    <w:rsid w:val="00791D60"/>
    <w:rsid w:val="00792CA7"/>
    <w:rsid w:val="00793A35"/>
    <w:rsid w:val="00793F7A"/>
    <w:rsid w:val="00794693"/>
    <w:rsid w:val="0079470E"/>
    <w:rsid w:val="0079738A"/>
    <w:rsid w:val="00797410"/>
    <w:rsid w:val="007A2835"/>
    <w:rsid w:val="007A3668"/>
    <w:rsid w:val="007A491C"/>
    <w:rsid w:val="007A4D07"/>
    <w:rsid w:val="007A679A"/>
    <w:rsid w:val="007A7E25"/>
    <w:rsid w:val="007B1DFA"/>
    <w:rsid w:val="007B22F5"/>
    <w:rsid w:val="007B3466"/>
    <w:rsid w:val="007B4B12"/>
    <w:rsid w:val="007B5493"/>
    <w:rsid w:val="007B5AC5"/>
    <w:rsid w:val="007B608F"/>
    <w:rsid w:val="007B655D"/>
    <w:rsid w:val="007C1830"/>
    <w:rsid w:val="007C1B9A"/>
    <w:rsid w:val="007C2A1A"/>
    <w:rsid w:val="007C3803"/>
    <w:rsid w:val="007C6EBC"/>
    <w:rsid w:val="007C7426"/>
    <w:rsid w:val="007C79CC"/>
    <w:rsid w:val="007D0D62"/>
    <w:rsid w:val="007D27AC"/>
    <w:rsid w:val="007D3862"/>
    <w:rsid w:val="007D4D99"/>
    <w:rsid w:val="007D592B"/>
    <w:rsid w:val="007D6381"/>
    <w:rsid w:val="007E2492"/>
    <w:rsid w:val="007E28AC"/>
    <w:rsid w:val="007E4571"/>
    <w:rsid w:val="007E6CE8"/>
    <w:rsid w:val="007E6D74"/>
    <w:rsid w:val="007F1218"/>
    <w:rsid w:val="007F199D"/>
    <w:rsid w:val="007F51D2"/>
    <w:rsid w:val="007F56F8"/>
    <w:rsid w:val="007F6563"/>
    <w:rsid w:val="00803910"/>
    <w:rsid w:val="00804699"/>
    <w:rsid w:val="00804E25"/>
    <w:rsid w:val="00805567"/>
    <w:rsid w:val="0080582A"/>
    <w:rsid w:val="00805962"/>
    <w:rsid w:val="00805BE6"/>
    <w:rsid w:val="00806598"/>
    <w:rsid w:val="0080710E"/>
    <w:rsid w:val="008079CB"/>
    <w:rsid w:val="008104D6"/>
    <w:rsid w:val="00812C64"/>
    <w:rsid w:val="00813B1A"/>
    <w:rsid w:val="00814690"/>
    <w:rsid w:val="00820450"/>
    <w:rsid w:val="008207D9"/>
    <w:rsid w:val="0082364B"/>
    <w:rsid w:val="00823E7F"/>
    <w:rsid w:val="008303F0"/>
    <w:rsid w:val="0083045A"/>
    <w:rsid w:val="00830DAF"/>
    <w:rsid w:val="0083129F"/>
    <w:rsid w:val="00831AC7"/>
    <w:rsid w:val="00832157"/>
    <w:rsid w:val="00833991"/>
    <w:rsid w:val="00837338"/>
    <w:rsid w:val="00837C69"/>
    <w:rsid w:val="0084537C"/>
    <w:rsid w:val="0084753F"/>
    <w:rsid w:val="00850057"/>
    <w:rsid w:val="00851D61"/>
    <w:rsid w:val="00856BDF"/>
    <w:rsid w:val="00856E3C"/>
    <w:rsid w:val="00857C41"/>
    <w:rsid w:val="00857FA4"/>
    <w:rsid w:val="00862E83"/>
    <w:rsid w:val="00863B10"/>
    <w:rsid w:val="00864C26"/>
    <w:rsid w:val="0086500D"/>
    <w:rsid w:val="00865780"/>
    <w:rsid w:val="00865820"/>
    <w:rsid w:val="0086640D"/>
    <w:rsid w:val="008673D0"/>
    <w:rsid w:val="008677BC"/>
    <w:rsid w:val="0087084B"/>
    <w:rsid w:val="00870CFB"/>
    <w:rsid w:val="00870DBF"/>
    <w:rsid w:val="00872595"/>
    <w:rsid w:val="0087297D"/>
    <w:rsid w:val="00874D0D"/>
    <w:rsid w:val="00876209"/>
    <w:rsid w:val="00880283"/>
    <w:rsid w:val="00880404"/>
    <w:rsid w:val="00881946"/>
    <w:rsid w:val="0088709A"/>
    <w:rsid w:val="00890C57"/>
    <w:rsid w:val="008911F2"/>
    <w:rsid w:val="00891AB9"/>
    <w:rsid w:val="008955E3"/>
    <w:rsid w:val="00897F20"/>
    <w:rsid w:val="008A1590"/>
    <w:rsid w:val="008A2340"/>
    <w:rsid w:val="008B36FE"/>
    <w:rsid w:val="008B4E99"/>
    <w:rsid w:val="008C1224"/>
    <w:rsid w:val="008C18E6"/>
    <w:rsid w:val="008C5F82"/>
    <w:rsid w:val="008C6287"/>
    <w:rsid w:val="008C6AE1"/>
    <w:rsid w:val="008C6FBD"/>
    <w:rsid w:val="008D0ADB"/>
    <w:rsid w:val="008D1260"/>
    <w:rsid w:val="008D16DF"/>
    <w:rsid w:val="008D19FD"/>
    <w:rsid w:val="008D1EEA"/>
    <w:rsid w:val="008D21C2"/>
    <w:rsid w:val="008D24BC"/>
    <w:rsid w:val="008D57CC"/>
    <w:rsid w:val="008D62F5"/>
    <w:rsid w:val="008E0565"/>
    <w:rsid w:val="008E1BF5"/>
    <w:rsid w:val="008E20D3"/>
    <w:rsid w:val="008E2204"/>
    <w:rsid w:val="008E2E4C"/>
    <w:rsid w:val="008E4518"/>
    <w:rsid w:val="008E4A9C"/>
    <w:rsid w:val="008E4AA8"/>
    <w:rsid w:val="008E5F4C"/>
    <w:rsid w:val="008E7732"/>
    <w:rsid w:val="008F01AD"/>
    <w:rsid w:val="008F0CD8"/>
    <w:rsid w:val="008F2354"/>
    <w:rsid w:val="008F2E3C"/>
    <w:rsid w:val="00903661"/>
    <w:rsid w:val="009037E2"/>
    <w:rsid w:val="00903BCD"/>
    <w:rsid w:val="0090418D"/>
    <w:rsid w:val="00904945"/>
    <w:rsid w:val="00906306"/>
    <w:rsid w:val="00910AEE"/>
    <w:rsid w:val="00912ACF"/>
    <w:rsid w:val="009141A4"/>
    <w:rsid w:val="009143B4"/>
    <w:rsid w:val="00914554"/>
    <w:rsid w:val="00914ADF"/>
    <w:rsid w:val="00915FF0"/>
    <w:rsid w:val="0091600B"/>
    <w:rsid w:val="00917007"/>
    <w:rsid w:val="00921D7E"/>
    <w:rsid w:val="00923396"/>
    <w:rsid w:val="0092423D"/>
    <w:rsid w:val="00924483"/>
    <w:rsid w:val="00924E5B"/>
    <w:rsid w:val="00926332"/>
    <w:rsid w:val="0093484E"/>
    <w:rsid w:val="00934CF4"/>
    <w:rsid w:val="00935659"/>
    <w:rsid w:val="009361AB"/>
    <w:rsid w:val="00937A9B"/>
    <w:rsid w:val="0094007D"/>
    <w:rsid w:val="00940585"/>
    <w:rsid w:val="009405E3"/>
    <w:rsid w:val="00950554"/>
    <w:rsid w:val="009505EC"/>
    <w:rsid w:val="00952509"/>
    <w:rsid w:val="0095480C"/>
    <w:rsid w:val="00954821"/>
    <w:rsid w:val="009603D7"/>
    <w:rsid w:val="009674DE"/>
    <w:rsid w:val="00972087"/>
    <w:rsid w:val="00972433"/>
    <w:rsid w:val="0097332E"/>
    <w:rsid w:val="0097475A"/>
    <w:rsid w:val="00977025"/>
    <w:rsid w:val="0097773C"/>
    <w:rsid w:val="0098045E"/>
    <w:rsid w:val="00983C22"/>
    <w:rsid w:val="00984563"/>
    <w:rsid w:val="00985260"/>
    <w:rsid w:val="009860B6"/>
    <w:rsid w:val="009865D3"/>
    <w:rsid w:val="009872DD"/>
    <w:rsid w:val="00991509"/>
    <w:rsid w:val="00991E74"/>
    <w:rsid w:val="00991EA9"/>
    <w:rsid w:val="00991F8B"/>
    <w:rsid w:val="009930C0"/>
    <w:rsid w:val="009A1DA2"/>
    <w:rsid w:val="009A60AB"/>
    <w:rsid w:val="009A775C"/>
    <w:rsid w:val="009A7BDF"/>
    <w:rsid w:val="009B07FD"/>
    <w:rsid w:val="009B1BA7"/>
    <w:rsid w:val="009B1F1F"/>
    <w:rsid w:val="009B4FEE"/>
    <w:rsid w:val="009B5018"/>
    <w:rsid w:val="009B5BB3"/>
    <w:rsid w:val="009B656E"/>
    <w:rsid w:val="009B6F32"/>
    <w:rsid w:val="009C0D0D"/>
    <w:rsid w:val="009C1049"/>
    <w:rsid w:val="009C2582"/>
    <w:rsid w:val="009C6599"/>
    <w:rsid w:val="009C6898"/>
    <w:rsid w:val="009C7906"/>
    <w:rsid w:val="009D048D"/>
    <w:rsid w:val="009D5180"/>
    <w:rsid w:val="009D6DFA"/>
    <w:rsid w:val="009E1B45"/>
    <w:rsid w:val="009E2E16"/>
    <w:rsid w:val="009E34C0"/>
    <w:rsid w:val="009E436C"/>
    <w:rsid w:val="009E53D9"/>
    <w:rsid w:val="009E595A"/>
    <w:rsid w:val="009E6862"/>
    <w:rsid w:val="009E733D"/>
    <w:rsid w:val="009F0EA5"/>
    <w:rsid w:val="009F4778"/>
    <w:rsid w:val="009F615F"/>
    <w:rsid w:val="00A00286"/>
    <w:rsid w:val="00A009C7"/>
    <w:rsid w:val="00A05572"/>
    <w:rsid w:val="00A05E53"/>
    <w:rsid w:val="00A0747A"/>
    <w:rsid w:val="00A14986"/>
    <w:rsid w:val="00A16255"/>
    <w:rsid w:val="00A17AF8"/>
    <w:rsid w:val="00A20430"/>
    <w:rsid w:val="00A21788"/>
    <w:rsid w:val="00A21A85"/>
    <w:rsid w:val="00A2206E"/>
    <w:rsid w:val="00A22491"/>
    <w:rsid w:val="00A30E38"/>
    <w:rsid w:val="00A3222E"/>
    <w:rsid w:val="00A34105"/>
    <w:rsid w:val="00A368E2"/>
    <w:rsid w:val="00A403E4"/>
    <w:rsid w:val="00A4063F"/>
    <w:rsid w:val="00A4081F"/>
    <w:rsid w:val="00A4137F"/>
    <w:rsid w:val="00A438B7"/>
    <w:rsid w:val="00A4463A"/>
    <w:rsid w:val="00A45259"/>
    <w:rsid w:val="00A461F8"/>
    <w:rsid w:val="00A46F5D"/>
    <w:rsid w:val="00A4743F"/>
    <w:rsid w:val="00A56E29"/>
    <w:rsid w:val="00A57A15"/>
    <w:rsid w:val="00A60BBD"/>
    <w:rsid w:val="00A63A7C"/>
    <w:rsid w:val="00A65385"/>
    <w:rsid w:val="00A671F0"/>
    <w:rsid w:val="00A67918"/>
    <w:rsid w:val="00A70186"/>
    <w:rsid w:val="00A73591"/>
    <w:rsid w:val="00A73D23"/>
    <w:rsid w:val="00A74916"/>
    <w:rsid w:val="00A74C59"/>
    <w:rsid w:val="00A76F1B"/>
    <w:rsid w:val="00A8066C"/>
    <w:rsid w:val="00A818F8"/>
    <w:rsid w:val="00A82F0A"/>
    <w:rsid w:val="00A877C5"/>
    <w:rsid w:val="00A91EC2"/>
    <w:rsid w:val="00A939E0"/>
    <w:rsid w:val="00A93D4E"/>
    <w:rsid w:val="00A95D22"/>
    <w:rsid w:val="00AA06A5"/>
    <w:rsid w:val="00AA1D86"/>
    <w:rsid w:val="00AA2EAD"/>
    <w:rsid w:val="00AA317D"/>
    <w:rsid w:val="00AB011B"/>
    <w:rsid w:val="00AB0CA8"/>
    <w:rsid w:val="00AB0D24"/>
    <w:rsid w:val="00AB17BA"/>
    <w:rsid w:val="00AB36F1"/>
    <w:rsid w:val="00AB4CFD"/>
    <w:rsid w:val="00AB53CC"/>
    <w:rsid w:val="00AC1A02"/>
    <w:rsid w:val="00AC33C9"/>
    <w:rsid w:val="00AC37A8"/>
    <w:rsid w:val="00AC3B96"/>
    <w:rsid w:val="00AC3BCC"/>
    <w:rsid w:val="00AC4617"/>
    <w:rsid w:val="00AC7B83"/>
    <w:rsid w:val="00AD04B7"/>
    <w:rsid w:val="00AD1929"/>
    <w:rsid w:val="00AD37CB"/>
    <w:rsid w:val="00AD387F"/>
    <w:rsid w:val="00AD5598"/>
    <w:rsid w:val="00AD5D7B"/>
    <w:rsid w:val="00AD6E92"/>
    <w:rsid w:val="00AE1316"/>
    <w:rsid w:val="00AE156D"/>
    <w:rsid w:val="00AE2C10"/>
    <w:rsid w:val="00AE3801"/>
    <w:rsid w:val="00AF0CDA"/>
    <w:rsid w:val="00AF1370"/>
    <w:rsid w:val="00AF169C"/>
    <w:rsid w:val="00AF36C2"/>
    <w:rsid w:val="00AF563A"/>
    <w:rsid w:val="00AF6562"/>
    <w:rsid w:val="00B007FE"/>
    <w:rsid w:val="00B01CCD"/>
    <w:rsid w:val="00B03B35"/>
    <w:rsid w:val="00B0798C"/>
    <w:rsid w:val="00B11806"/>
    <w:rsid w:val="00B11C90"/>
    <w:rsid w:val="00B12828"/>
    <w:rsid w:val="00B14F83"/>
    <w:rsid w:val="00B1752F"/>
    <w:rsid w:val="00B20A4B"/>
    <w:rsid w:val="00B2121C"/>
    <w:rsid w:val="00B221B9"/>
    <w:rsid w:val="00B23C59"/>
    <w:rsid w:val="00B25DDC"/>
    <w:rsid w:val="00B2641A"/>
    <w:rsid w:val="00B26D0F"/>
    <w:rsid w:val="00B27AD7"/>
    <w:rsid w:val="00B3261B"/>
    <w:rsid w:val="00B33D94"/>
    <w:rsid w:val="00B37C56"/>
    <w:rsid w:val="00B40C86"/>
    <w:rsid w:val="00B42274"/>
    <w:rsid w:val="00B44761"/>
    <w:rsid w:val="00B4536E"/>
    <w:rsid w:val="00B50313"/>
    <w:rsid w:val="00B50777"/>
    <w:rsid w:val="00B50AE5"/>
    <w:rsid w:val="00B5304B"/>
    <w:rsid w:val="00B5380E"/>
    <w:rsid w:val="00B55BE5"/>
    <w:rsid w:val="00B564E0"/>
    <w:rsid w:val="00B57419"/>
    <w:rsid w:val="00B60298"/>
    <w:rsid w:val="00B63F5A"/>
    <w:rsid w:val="00B64C7D"/>
    <w:rsid w:val="00B655DB"/>
    <w:rsid w:val="00B65F67"/>
    <w:rsid w:val="00B66DB3"/>
    <w:rsid w:val="00B67652"/>
    <w:rsid w:val="00B7070B"/>
    <w:rsid w:val="00B727D7"/>
    <w:rsid w:val="00B7334F"/>
    <w:rsid w:val="00B751E1"/>
    <w:rsid w:val="00B75A29"/>
    <w:rsid w:val="00B75F7F"/>
    <w:rsid w:val="00B80D21"/>
    <w:rsid w:val="00B816A6"/>
    <w:rsid w:val="00B81936"/>
    <w:rsid w:val="00B84180"/>
    <w:rsid w:val="00B84E1C"/>
    <w:rsid w:val="00B85CD4"/>
    <w:rsid w:val="00B864D7"/>
    <w:rsid w:val="00B9038A"/>
    <w:rsid w:val="00B944D6"/>
    <w:rsid w:val="00B949B5"/>
    <w:rsid w:val="00B957F7"/>
    <w:rsid w:val="00B967B9"/>
    <w:rsid w:val="00B97BE3"/>
    <w:rsid w:val="00BA2CA5"/>
    <w:rsid w:val="00BA4A73"/>
    <w:rsid w:val="00BA55CA"/>
    <w:rsid w:val="00BA788D"/>
    <w:rsid w:val="00BA7A46"/>
    <w:rsid w:val="00BB00AA"/>
    <w:rsid w:val="00BB0773"/>
    <w:rsid w:val="00BB0B9F"/>
    <w:rsid w:val="00BB0DC8"/>
    <w:rsid w:val="00BB11B8"/>
    <w:rsid w:val="00BB287E"/>
    <w:rsid w:val="00BB5F9A"/>
    <w:rsid w:val="00BB75B3"/>
    <w:rsid w:val="00BC17AA"/>
    <w:rsid w:val="00BC3DAC"/>
    <w:rsid w:val="00BC4D9E"/>
    <w:rsid w:val="00BC509A"/>
    <w:rsid w:val="00BC560F"/>
    <w:rsid w:val="00BC588F"/>
    <w:rsid w:val="00BC5D4F"/>
    <w:rsid w:val="00BC609D"/>
    <w:rsid w:val="00BC6BB2"/>
    <w:rsid w:val="00BC72AD"/>
    <w:rsid w:val="00BD1FA0"/>
    <w:rsid w:val="00BD2D74"/>
    <w:rsid w:val="00BD2DA7"/>
    <w:rsid w:val="00BD3F43"/>
    <w:rsid w:val="00BD58C1"/>
    <w:rsid w:val="00BD5E7C"/>
    <w:rsid w:val="00BD7338"/>
    <w:rsid w:val="00BE08C5"/>
    <w:rsid w:val="00BE1925"/>
    <w:rsid w:val="00BE24A6"/>
    <w:rsid w:val="00BE36FB"/>
    <w:rsid w:val="00BE4AB7"/>
    <w:rsid w:val="00BE517C"/>
    <w:rsid w:val="00BE6597"/>
    <w:rsid w:val="00BE69AC"/>
    <w:rsid w:val="00BE6F73"/>
    <w:rsid w:val="00BF1FE6"/>
    <w:rsid w:val="00BF39B4"/>
    <w:rsid w:val="00BF7436"/>
    <w:rsid w:val="00C02B23"/>
    <w:rsid w:val="00C030E6"/>
    <w:rsid w:val="00C042DF"/>
    <w:rsid w:val="00C06936"/>
    <w:rsid w:val="00C06DBE"/>
    <w:rsid w:val="00C10569"/>
    <w:rsid w:val="00C117B8"/>
    <w:rsid w:val="00C11BA8"/>
    <w:rsid w:val="00C128B1"/>
    <w:rsid w:val="00C139DD"/>
    <w:rsid w:val="00C16E30"/>
    <w:rsid w:val="00C17F83"/>
    <w:rsid w:val="00C20FBF"/>
    <w:rsid w:val="00C250E2"/>
    <w:rsid w:val="00C3146C"/>
    <w:rsid w:val="00C34610"/>
    <w:rsid w:val="00C34AEF"/>
    <w:rsid w:val="00C3593B"/>
    <w:rsid w:val="00C3681A"/>
    <w:rsid w:val="00C36FE2"/>
    <w:rsid w:val="00C44E06"/>
    <w:rsid w:val="00C454D5"/>
    <w:rsid w:val="00C45A8E"/>
    <w:rsid w:val="00C46339"/>
    <w:rsid w:val="00C46A30"/>
    <w:rsid w:val="00C51F0E"/>
    <w:rsid w:val="00C52882"/>
    <w:rsid w:val="00C533F6"/>
    <w:rsid w:val="00C53425"/>
    <w:rsid w:val="00C53877"/>
    <w:rsid w:val="00C56D9F"/>
    <w:rsid w:val="00C57BE3"/>
    <w:rsid w:val="00C6338A"/>
    <w:rsid w:val="00C64EE3"/>
    <w:rsid w:val="00C67197"/>
    <w:rsid w:val="00C67A86"/>
    <w:rsid w:val="00C67CF4"/>
    <w:rsid w:val="00C67D2C"/>
    <w:rsid w:val="00C71C13"/>
    <w:rsid w:val="00C726C1"/>
    <w:rsid w:val="00C729EB"/>
    <w:rsid w:val="00C72BE9"/>
    <w:rsid w:val="00C73D25"/>
    <w:rsid w:val="00C74A8B"/>
    <w:rsid w:val="00C76C45"/>
    <w:rsid w:val="00C76CDF"/>
    <w:rsid w:val="00C77A11"/>
    <w:rsid w:val="00C809A1"/>
    <w:rsid w:val="00C80D0C"/>
    <w:rsid w:val="00C81092"/>
    <w:rsid w:val="00C818BE"/>
    <w:rsid w:val="00C834CE"/>
    <w:rsid w:val="00C84390"/>
    <w:rsid w:val="00C84422"/>
    <w:rsid w:val="00C84643"/>
    <w:rsid w:val="00C847AE"/>
    <w:rsid w:val="00C867C5"/>
    <w:rsid w:val="00C877B0"/>
    <w:rsid w:val="00C9214F"/>
    <w:rsid w:val="00C92CC0"/>
    <w:rsid w:val="00C930FF"/>
    <w:rsid w:val="00C94020"/>
    <w:rsid w:val="00C96DBE"/>
    <w:rsid w:val="00CA245C"/>
    <w:rsid w:val="00CA25F7"/>
    <w:rsid w:val="00CA54B9"/>
    <w:rsid w:val="00CA5EAB"/>
    <w:rsid w:val="00CB0BDF"/>
    <w:rsid w:val="00CB4B24"/>
    <w:rsid w:val="00CB654C"/>
    <w:rsid w:val="00CB67AC"/>
    <w:rsid w:val="00CC0E37"/>
    <w:rsid w:val="00CC2564"/>
    <w:rsid w:val="00CC32EF"/>
    <w:rsid w:val="00CC413C"/>
    <w:rsid w:val="00CC518D"/>
    <w:rsid w:val="00CC5896"/>
    <w:rsid w:val="00CC64AE"/>
    <w:rsid w:val="00CD2ED7"/>
    <w:rsid w:val="00CD4F54"/>
    <w:rsid w:val="00CE178B"/>
    <w:rsid w:val="00CE1D9D"/>
    <w:rsid w:val="00CE2D5A"/>
    <w:rsid w:val="00CE3D9E"/>
    <w:rsid w:val="00CE4A87"/>
    <w:rsid w:val="00CE5447"/>
    <w:rsid w:val="00CE58F2"/>
    <w:rsid w:val="00CF0223"/>
    <w:rsid w:val="00CF09A6"/>
    <w:rsid w:val="00CF1B1F"/>
    <w:rsid w:val="00CF41AD"/>
    <w:rsid w:val="00CF461B"/>
    <w:rsid w:val="00CF6340"/>
    <w:rsid w:val="00CF6929"/>
    <w:rsid w:val="00CF7783"/>
    <w:rsid w:val="00CF7C31"/>
    <w:rsid w:val="00D11298"/>
    <w:rsid w:val="00D127D6"/>
    <w:rsid w:val="00D17D7D"/>
    <w:rsid w:val="00D20D4A"/>
    <w:rsid w:val="00D20D7E"/>
    <w:rsid w:val="00D229D6"/>
    <w:rsid w:val="00D22A8F"/>
    <w:rsid w:val="00D23C14"/>
    <w:rsid w:val="00D24A4D"/>
    <w:rsid w:val="00D255BE"/>
    <w:rsid w:val="00D25884"/>
    <w:rsid w:val="00D26E04"/>
    <w:rsid w:val="00D30568"/>
    <w:rsid w:val="00D3093E"/>
    <w:rsid w:val="00D310E4"/>
    <w:rsid w:val="00D34B67"/>
    <w:rsid w:val="00D34F59"/>
    <w:rsid w:val="00D36BC8"/>
    <w:rsid w:val="00D3783E"/>
    <w:rsid w:val="00D42297"/>
    <w:rsid w:val="00D44899"/>
    <w:rsid w:val="00D45004"/>
    <w:rsid w:val="00D452C5"/>
    <w:rsid w:val="00D45837"/>
    <w:rsid w:val="00D479E3"/>
    <w:rsid w:val="00D50B36"/>
    <w:rsid w:val="00D56111"/>
    <w:rsid w:val="00D575EC"/>
    <w:rsid w:val="00D60351"/>
    <w:rsid w:val="00D62D37"/>
    <w:rsid w:val="00D63E54"/>
    <w:rsid w:val="00D640D3"/>
    <w:rsid w:val="00D663A6"/>
    <w:rsid w:val="00D67343"/>
    <w:rsid w:val="00D70029"/>
    <w:rsid w:val="00D70860"/>
    <w:rsid w:val="00D730A8"/>
    <w:rsid w:val="00D74612"/>
    <w:rsid w:val="00D76261"/>
    <w:rsid w:val="00D76293"/>
    <w:rsid w:val="00D767E3"/>
    <w:rsid w:val="00D775D7"/>
    <w:rsid w:val="00D8099C"/>
    <w:rsid w:val="00D82869"/>
    <w:rsid w:val="00D840EE"/>
    <w:rsid w:val="00D84B17"/>
    <w:rsid w:val="00D86C16"/>
    <w:rsid w:val="00D8726C"/>
    <w:rsid w:val="00D87F72"/>
    <w:rsid w:val="00D9030D"/>
    <w:rsid w:val="00D9320F"/>
    <w:rsid w:val="00D93326"/>
    <w:rsid w:val="00D941B0"/>
    <w:rsid w:val="00D95BF6"/>
    <w:rsid w:val="00D95D94"/>
    <w:rsid w:val="00D9790C"/>
    <w:rsid w:val="00D97C0C"/>
    <w:rsid w:val="00DA25A3"/>
    <w:rsid w:val="00DA3E51"/>
    <w:rsid w:val="00DA4600"/>
    <w:rsid w:val="00DA4EA0"/>
    <w:rsid w:val="00DA602F"/>
    <w:rsid w:val="00DA6724"/>
    <w:rsid w:val="00DB0982"/>
    <w:rsid w:val="00DB1EEA"/>
    <w:rsid w:val="00DB3467"/>
    <w:rsid w:val="00DB4AB4"/>
    <w:rsid w:val="00DB7B67"/>
    <w:rsid w:val="00DB7C10"/>
    <w:rsid w:val="00DC0210"/>
    <w:rsid w:val="00DC32BB"/>
    <w:rsid w:val="00DC3585"/>
    <w:rsid w:val="00DC4131"/>
    <w:rsid w:val="00DC537E"/>
    <w:rsid w:val="00DC61CE"/>
    <w:rsid w:val="00DC7885"/>
    <w:rsid w:val="00DD0DBA"/>
    <w:rsid w:val="00DD1025"/>
    <w:rsid w:val="00DD12EF"/>
    <w:rsid w:val="00DD30C6"/>
    <w:rsid w:val="00DD370E"/>
    <w:rsid w:val="00DD3A2B"/>
    <w:rsid w:val="00DD4FCF"/>
    <w:rsid w:val="00DD5420"/>
    <w:rsid w:val="00DD5A53"/>
    <w:rsid w:val="00DE137B"/>
    <w:rsid w:val="00DE38A9"/>
    <w:rsid w:val="00DE3D39"/>
    <w:rsid w:val="00DE3F0C"/>
    <w:rsid w:val="00DE5798"/>
    <w:rsid w:val="00DE5839"/>
    <w:rsid w:val="00DE59E5"/>
    <w:rsid w:val="00DE5F8D"/>
    <w:rsid w:val="00DF1241"/>
    <w:rsid w:val="00DF1D89"/>
    <w:rsid w:val="00DF365B"/>
    <w:rsid w:val="00DF43D4"/>
    <w:rsid w:val="00DF51D9"/>
    <w:rsid w:val="00DF5880"/>
    <w:rsid w:val="00DF6CAF"/>
    <w:rsid w:val="00E004F6"/>
    <w:rsid w:val="00E00C5D"/>
    <w:rsid w:val="00E01A13"/>
    <w:rsid w:val="00E0211A"/>
    <w:rsid w:val="00E02A5D"/>
    <w:rsid w:val="00E02AC6"/>
    <w:rsid w:val="00E0355B"/>
    <w:rsid w:val="00E03CD8"/>
    <w:rsid w:val="00E04E3D"/>
    <w:rsid w:val="00E051DC"/>
    <w:rsid w:val="00E06B54"/>
    <w:rsid w:val="00E0707D"/>
    <w:rsid w:val="00E0779A"/>
    <w:rsid w:val="00E11058"/>
    <w:rsid w:val="00E1183D"/>
    <w:rsid w:val="00E12396"/>
    <w:rsid w:val="00E1302B"/>
    <w:rsid w:val="00E15827"/>
    <w:rsid w:val="00E21E48"/>
    <w:rsid w:val="00E23D52"/>
    <w:rsid w:val="00E242E7"/>
    <w:rsid w:val="00E25B01"/>
    <w:rsid w:val="00E30398"/>
    <w:rsid w:val="00E31774"/>
    <w:rsid w:val="00E31A8F"/>
    <w:rsid w:val="00E32BBA"/>
    <w:rsid w:val="00E348C9"/>
    <w:rsid w:val="00E348E6"/>
    <w:rsid w:val="00E35DCC"/>
    <w:rsid w:val="00E40204"/>
    <w:rsid w:val="00E40CAB"/>
    <w:rsid w:val="00E41613"/>
    <w:rsid w:val="00E45CB0"/>
    <w:rsid w:val="00E471F7"/>
    <w:rsid w:val="00E50BA6"/>
    <w:rsid w:val="00E51857"/>
    <w:rsid w:val="00E5246F"/>
    <w:rsid w:val="00E54BD5"/>
    <w:rsid w:val="00E5540B"/>
    <w:rsid w:val="00E572ED"/>
    <w:rsid w:val="00E60DAD"/>
    <w:rsid w:val="00E655DB"/>
    <w:rsid w:val="00E671BA"/>
    <w:rsid w:val="00E751A5"/>
    <w:rsid w:val="00E80281"/>
    <w:rsid w:val="00E819B9"/>
    <w:rsid w:val="00E8244B"/>
    <w:rsid w:val="00E85848"/>
    <w:rsid w:val="00E85B70"/>
    <w:rsid w:val="00E86FFB"/>
    <w:rsid w:val="00E876C9"/>
    <w:rsid w:val="00E87A6E"/>
    <w:rsid w:val="00E912CC"/>
    <w:rsid w:val="00E92151"/>
    <w:rsid w:val="00E92A25"/>
    <w:rsid w:val="00E941C9"/>
    <w:rsid w:val="00E95203"/>
    <w:rsid w:val="00E96ACD"/>
    <w:rsid w:val="00E96D2B"/>
    <w:rsid w:val="00E96E90"/>
    <w:rsid w:val="00E96FD6"/>
    <w:rsid w:val="00E973FA"/>
    <w:rsid w:val="00E97C60"/>
    <w:rsid w:val="00EA0BB5"/>
    <w:rsid w:val="00EA0DF5"/>
    <w:rsid w:val="00EA18B9"/>
    <w:rsid w:val="00EA2114"/>
    <w:rsid w:val="00EA3565"/>
    <w:rsid w:val="00EB2929"/>
    <w:rsid w:val="00EB3699"/>
    <w:rsid w:val="00EB372F"/>
    <w:rsid w:val="00EB5CF1"/>
    <w:rsid w:val="00EB5F7F"/>
    <w:rsid w:val="00EB643F"/>
    <w:rsid w:val="00EB67A3"/>
    <w:rsid w:val="00EB692F"/>
    <w:rsid w:val="00EC0BD9"/>
    <w:rsid w:val="00EC1AF0"/>
    <w:rsid w:val="00EC21F7"/>
    <w:rsid w:val="00EC2D03"/>
    <w:rsid w:val="00EC558B"/>
    <w:rsid w:val="00ED021F"/>
    <w:rsid w:val="00ED1A71"/>
    <w:rsid w:val="00ED2776"/>
    <w:rsid w:val="00ED5E97"/>
    <w:rsid w:val="00ED60DA"/>
    <w:rsid w:val="00ED70ED"/>
    <w:rsid w:val="00ED7198"/>
    <w:rsid w:val="00ED719A"/>
    <w:rsid w:val="00ED7663"/>
    <w:rsid w:val="00EE31D2"/>
    <w:rsid w:val="00EE4022"/>
    <w:rsid w:val="00EE41AA"/>
    <w:rsid w:val="00EE4885"/>
    <w:rsid w:val="00EF04AC"/>
    <w:rsid w:val="00EF6124"/>
    <w:rsid w:val="00EF6798"/>
    <w:rsid w:val="00EF68D0"/>
    <w:rsid w:val="00EF7163"/>
    <w:rsid w:val="00EF76AC"/>
    <w:rsid w:val="00F00524"/>
    <w:rsid w:val="00F00760"/>
    <w:rsid w:val="00F00A76"/>
    <w:rsid w:val="00F00EE8"/>
    <w:rsid w:val="00F06533"/>
    <w:rsid w:val="00F07C6C"/>
    <w:rsid w:val="00F13ACB"/>
    <w:rsid w:val="00F1591B"/>
    <w:rsid w:val="00F1638B"/>
    <w:rsid w:val="00F17B39"/>
    <w:rsid w:val="00F2468D"/>
    <w:rsid w:val="00F24EE4"/>
    <w:rsid w:val="00F260C4"/>
    <w:rsid w:val="00F26AD7"/>
    <w:rsid w:val="00F311D0"/>
    <w:rsid w:val="00F317FE"/>
    <w:rsid w:val="00F318BC"/>
    <w:rsid w:val="00F33002"/>
    <w:rsid w:val="00F36144"/>
    <w:rsid w:val="00F408D8"/>
    <w:rsid w:val="00F4383A"/>
    <w:rsid w:val="00F43C63"/>
    <w:rsid w:val="00F44161"/>
    <w:rsid w:val="00F45701"/>
    <w:rsid w:val="00F463BB"/>
    <w:rsid w:val="00F5050B"/>
    <w:rsid w:val="00F52A91"/>
    <w:rsid w:val="00F57597"/>
    <w:rsid w:val="00F579A0"/>
    <w:rsid w:val="00F614B9"/>
    <w:rsid w:val="00F6174B"/>
    <w:rsid w:val="00F61BB4"/>
    <w:rsid w:val="00F62067"/>
    <w:rsid w:val="00F626B3"/>
    <w:rsid w:val="00F63501"/>
    <w:rsid w:val="00F63C30"/>
    <w:rsid w:val="00F64702"/>
    <w:rsid w:val="00F65AF1"/>
    <w:rsid w:val="00F65F5A"/>
    <w:rsid w:val="00F67D04"/>
    <w:rsid w:val="00F74BAB"/>
    <w:rsid w:val="00F7688B"/>
    <w:rsid w:val="00F77417"/>
    <w:rsid w:val="00F826F0"/>
    <w:rsid w:val="00F8309B"/>
    <w:rsid w:val="00F8495D"/>
    <w:rsid w:val="00F858B9"/>
    <w:rsid w:val="00F8663F"/>
    <w:rsid w:val="00F87E2D"/>
    <w:rsid w:val="00F92822"/>
    <w:rsid w:val="00F92858"/>
    <w:rsid w:val="00F96AC2"/>
    <w:rsid w:val="00F9705B"/>
    <w:rsid w:val="00F9754B"/>
    <w:rsid w:val="00FA0512"/>
    <w:rsid w:val="00FA22E0"/>
    <w:rsid w:val="00FA31A8"/>
    <w:rsid w:val="00FA3827"/>
    <w:rsid w:val="00FA4C18"/>
    <w:rsid w:val="00FA4D46"/>
    <w:rsid w:val="00FA4E0E"/>
    <w:rsid w:val="00FA4EBD"/>
    <w:rsid w:val="00FA7F6E"/>
    <w:rsid w:val="00FB05D2"/>
    <w:rsid w:val="00FB07FA"/>
    <w:rsid w:val="00FB184B"/>
    <w:rsid w:val="00FB3E81"/>
    <w:rsid w:val="00FB5DF4"/>
    <w:rsid w:val="00FB7D59"/>
    <w:rsid w:val="00FB7F0F"/>
    <w:rsid w:val="00FC4050"/>
    <w:rsid w:val="00FC44DC"/>
    <w:rsid w:val="00FC45A1"/>
    <w:rsid w:val="00FC7C8B"/>
    <w:rsid w:val="00FD1817"/>
    <w:rsid w:val="00FD2958"/>
    <w:rsid w:val="00FD2B68"/>
    <w:rsid w:val="00FD32D9"/>
    <w:rsid w:val="00FD4F83"/>
    <w:rsid w:val="00FD5042"/>
    <w:rsid w:val="00FD6AFE"/>
    <w:rsid w:val="00FD769F"/>
    <w:rsid w:val="00FE15CA"/>
    <w:rsid w:val="00FE3B8F"/>
    <w:rsid w:val="00FE4862"/>
    <w:rsid w:val="00FE71E4"/>
    <w:rsid w:val="00FF03DB"/>
    <w:rsid w:val="00FF0A9C"/>
    <w:rsid w:val="00FF2736"/>
    <w:rsid w:val="00FF53A7"/>
    <w:rsid w:val="00FF629D"/>
    <w:rsid w:val="00FF7D06"/>
    <w:rsid w:val="00FF7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822C06"/>
  <w15:chartTrackingRefBased/>
  <w15:docId w15:val="{5EB03BF5-FA20-3B48-9E9F-C80865DC9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0A4B"/>
    <w:rPr>
      <w:rFonts w:ascii="宋体" w:eastAsia="宋体" w:hAnsi="宋体" w:cs="宋体"/>
      <w:kern w:val="0"/>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unhideWhenUsed/>
    <w:rsid w:val="009B656E"/>
    <w:pPr>
      <w:widowControl w:val="0"/>
      <w:snapToGrid w:val="0"/>
    </w:pPr>
    <w:rPr>
      <w:rFonts w:asciiTheme="minorHAnsi" w:eastAsiaTheme="minorEastAsia" w:hAnsiTheme="minorHAnsi" w:cstheme="minorBidi"/>
      <w:kern w:val="2"/>
      <w:sz w:val="18"/>
      <w:szCs w:val="18"/>
      <w14:ligatures w14:val="standardContextual"/>
    </w:rPr>
  </w:style>
  <w:style w:type="character" w:customStyle="1" w:styleId="a4">
    <w:name w:val="脚注文本 字符"/>
    <w:basedOn w:val="a0"/>
    <w:link w:val="a3"/>
    <w:uiPriority w:val="99"/>
    <w:rsid w:val="001E4D09"/>
    <w:rPr>
      <w:sz w:val="18"/>
      <w:szCs w:val="18"/>
    </w:rPr>
  </w:style>
  <w:style w:type="character" w:styleId="a5">
    <w:name w:val="footnote reference"/>
    <w:basedOn w:val="a0"/>
    <w:uiPriority w:val="99"/>
    <w:semiHidden/>
    <w:unhideWhenUsed/>
    <w:rsid w:val="001E4D09"/>
    <w:rPr>
      <w:vertAlign w:val="superscript"/>
    </w:rPr>
  </w:style>
  <w:style w:type="paragraph" w:styleId="a6">
    <w:name w:val="List Paragraph"/>
    <w:basedOn w:val="a"/>
    <w:uiPriority w:val="34"/>
    <w:qFormat/>
    <w:rsid w:val="003F31D3"/>
    <w:pPr>
      <w:widowControl w:val="0"/>
      <w:ind w:firstLineChars="200" w:firstLine="420"/>
      <w:jc w:val="both"/>
    </w:pPr>
    <w:rPr>
      <w:rFonts w:asciiTheme="minorHAnsi" w:eastAsiaTheme="minorEastAsia" w:hAnsiTheme="minorHAnsi" w:cstheme="minorBidi"/>
      <w:kern w:val="2"/>
      <w:sz w:val="21"/>
      <w14:ligatures w14:val="standardContextual"/>
    </w:rPr>
  </w:style>
  <w:style w:type="paragraph" w:styleId="a7">
    <w:name w:val="footer"/>
    <w:basedOn w:val="a"/>
    <w:link w:val="a8"/>
    <w:uiPriority w:val="99"/>
    <w:unhideWhenUsed/>
    <w:rsid w:val="00134F20"/>
    <w:pPr>
      <w:widowControl w:val="0"/>
      <w:tabs>
        <w:tab w:val="center" w:pos="4153"/>
        <w:tab w:val="right" w:pos="8306"/>
      </w:tabs>
      <w:snapToGrid w:val="0"/>
    </w:pPr>
    <w:rPr>
      <w:rFonts w:asciiTheme="minorHAnsi" w:eastAsiaTheme="minorEastAsia" w:hAnsiTheme="minorHAnsi" w:cstheme="minorBidi"/>
      <w:kern w:val="2"/>
      <w:sz w:val="18"/>
      <w:szCs w:val="18"/>
      <w14:ligatures w14:val="standardContextual"/>
    </w:rPr>
  </w:style>
  <w:style w:type="character" w:customStyle="1" w:styleId="a8">
    <w:name w:val="页脚 字符"/>
    <w:basedOn w:val="a0"/>
    <w:link w:val="a7"/>
    <w:uiPriority w:val="99"/>
    <w:rsid w:val="00134F20"/>
    <w:rPr>
      <w:sz w:val="18"/>
      <w:szCs w:val="18"/>
    </w:rPr>
  </w:style>
  <w:style w:type="character" w:styleId="a9">
    <w:name w:val="page number"/>
    <w:basedOn w:val="a0"/>
    <w:uiPriority w:val="99"/>
    <w:semiHidden/>
    <w:unhideWhenUsed/>
    <w:rsid w:val="00134F20"/>
  </w:style>
  <w:style w:type="paragraph" w:styleId="aa">
    <w:name w:val="header"/>
    <w:basedOn w:val="a"/>
    <w:link w:val="ab"/>
    <w:uiPriority w:val="99"/>
    <w:unhideWhenUsed/>
    <w:rsid w:val="00134F20"/>
    <w:pPr>
      <w:widowControl w:val="0"/>
      <w:tabs>
        <w:tab w:val="center" w:pos="4153"/>
        <w:tab w:val="right" w:pos="8306"/>
      </w:tabs>
      <w:snapToGrid w:val="0"/>
      <w:jc w:val="center"/>
    </w:pPr>
    <w:rPr>
      <w:rFonts w:asciiTheme="minorHAnsi" w:eastAsiaTheme="minorEastAsia" w:hAnsiTheme="minorHAnsi" w:cstheme="minorBidi"/>
      <w:kern w:val="2"/>
      <w:sz w:val="18"/>
      <w:szCs w:val="18"/>
      <w14:ligatures w14:val="standardContextual"/>
    </w:rPr>
  </w:style>
  <w:style w:type="character" w:customStyle="1" w:styleId="ab">
    <w:name w:val="页眉 字符"/>
    <w:basedOn w:val="a0"/>
    <w:link w:val="aa"/>
    <w:uiPriority w:val="99"/>
    <w:rsid w:val="00134F20"/>
    <w:rPr>
      <w:sz w:val="18"/>
      <w:szCs w:val="18"/>
    </w:rPr>
  </w:style>
  <w:style w:type="character" w:styleId="ac">
    <w:name w:val="Placeholder Text"/>
    <w:basedOn w:val="a0"/>
    <w:uiPriority w:val="99"/>
    <w:semiHidden/>
    <w:rsid w:val="00132F08"/>
    <w:rPr>
      <w:color w:val="666666"/>
    </w:rPr>
  </w:style>
  <w:style w:type="character" w:styleId="ad">
    <w:name w:val="annotation reference"/>
    <w:basedOn w:val="a0"/>
    <w:uiPriority w:val="99"/>
    <w:semiHidden/>
    <w:unhideWhenUsed/>
    <w:rsid w:val="001A21D3"/>
    <w:rPr>
      <w:sz w:val="21"/>
      <w:szCs w:val="21"/>
    </w:rPr>
  </w:style>
  <w:style w:type="paragraph" w:styleId="ae">
    <w:name w:val="annotation text"/>
    <w:basedOn w:val="a"/>
    <w:link w:val="af"/>
    <w:uiPriority w:val="99"/>
    <w:semiHidden/>
    <w:unhideWhenUsed/>
    <w:rsid w:val="001A21D3"/>
  </w:style>
  <w:style w:type="character" w:customStyle="1" w:styleId="af">
    <w:name w:val="批注文字 字符"/>
    <w:basedOn w:val="a0"/>
    <w:link w:val="ae"/>
    <w:uiPriority w:val="99"/>
    <w:semiHidden/>
    <w:rsid w:val="001A21D3"/>
  </w:style>
  <w:style w:type="paragraph" w:styleId="af0">
    <w:name w:val="annotation subject"/>
    <w:basedOn w:val="ae"/>
    <w:next w:val="ae"/>
    <w:link w:val="af1"/>
    <w:uiPriority w:val="99"/>
    <w:semiHidden/>
    <w:unhideWhenUsed/>
    <w:rsid w:val="001A21D3"/>
    <w:rPr>
      <w:b/>
      <w:bCs/>
    </w:rPr>
  </w:style>
  <w:style w:type="character" w:customStyle="1" w:styleId="af1">
    <w:name w:val="批注主题 字符"/>
    <w:basedOn w:val="af"/>
    <w:link w:val="af0"/>
    <w:uiPriority w:val="99"/>
    <w:semiHidden/>
    <w:rsid w:val="001A21D3"/>
    <w:rPr>
      <w:b/>
      <w:bCs/>
    </w:rPr>
  </w:style>
  <w:style w:type="paragraph" w:styleId="af2">
    <w:name w:val="Balloon Text"/>
    <w:basedOn w:val="a"/>
    <w:link w:val="af3"/>
    <w:uiPriority w:val="99"/>
    <w:semiHidden/>
    <w:unhideWhenUsed/>
    <w:rsid w:val="003E2133"/>
    <w:rPr>
      <w:sz w:val="18"/>
      <w:szCs w:val="18"/>
    </w:rPr>
  </w:style>
  <w:style w:type="character" w:customStyle="1" w:styleId="af3">
    <w:name w:val="批注框文本 字符"/>
    <w:basedOn w:val="a0"/>
    <w:link w:val="af2"/>
    <w:uiPriority w:val="99"/>
    <w:semiHidden/>
    <w:rsid w:val="003E2133"/>
    <w:rPr>
      <w:rFonts w:ascii="宋体" w:eastAsia="宋体" w:hAnsi="宋体" w:cs="宋体"/>
      <w:kern w:val="0"/>
      <w:sz w:val="18"/>
      <w:szCs w:val="18"/>
      <w14:ligatures w14:val="none"/>
    </w:rPr>
  </w:style>
  <w:style w:type="character" w:styleId="af4">
    <w:name w:val="Hyperlink"/>
    <w:basedOn w:val="a0"/>
    <w:uiPriority w:val="99"/>
    <w:unhideWhenUsed/>
    <w:rsid w:val="008C6AE1"/>
    <w:rPr>
      <w:color w:val="0563C1" w:themeColor="hyperlink"/>
      <w:u w:val="single"/>
    </w:rPr>
  </w:style>
  <w:style w:type="character" w:styleId="af5">
    <w:name w:val="Unresolved Mention"/>
    <w:basedOn w:val="a0"/>
    <w:uiPriority w:val="99"/>
    <w:semiHidden/>
    <w:unhideWhenUsed/>
    <w:rsid w:val="008C6AE1"/>
    <w:rPr>
      <w:color w:val="605E5C"/>
      <w:shd w:val="clear" w:color="auto" w:fill="E1DFDD"/>
    </w:rPr>
  </w:style>
  <w:style w:type="paragraph" w:styleId="af6">
    <w:name w:val="Revision"/>
    <w:hidden/>
    <w:uiPriority w:val="99"/>
    <w:semiHidden/>
    <w:rsid w:val="00753F0E"/>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866869">
      <w:bodyDiv w:val="1"/>
      <w:marLeft w:val="0"/>
      <w:marRight w:val="0"/>
      <w:marTop w:val="0"/>
      <w:marBottom w:val="0"/>
      <w:divBdr>
        <w:top w:val="none" w:sz="0" w:space="0" w:color="auto"/>
        <w:left w:val="none" w:sz="0" w:space="0" w:color="auto"/>
        <w:bottom w:val="none" w:sz="0" w:space="0" w:color="auto"/>
        <w:right w:val="none" w:sz="0" w:space="0" w:color="auto"/>
      </w:divBdr>
    </w:div>
    <w:div w:id="162473171">
      <w:bodyDiv w:val="1"/>
      <w:marLeft w:val="0"/>
      <w:marRight w:val="0"/>
      <w:marTop w:val="0"/>
      <w:marBottom w:val="0"/>
      <w:divBdr>
        <w:top w:val="none" w:sz="0" w:space="0" w:color="auto"/>
        <w:left w:val="none" w:sz="0" w:space="0" w:color="auto"/>
        <w:bottom w:val="none" w:sz="0" w:space="0" w:color="auto"/>
        <w:right w:val="none" w:sz="0" w:space="0" w:color="auto"/>
      </w:divBdr>
    </w:div>
    <w:div w:id="357313070">
      <w:bodyDiv w:val="1"/>
      <w:marLeft w:val="0"/>
      <w:marRight w:val="0"/>
      <w:marTop w:val="0"/>
      <w:marBottom w:val="0"/>
      <w:divBdr>
        <w:top w:val="none" w:sz="0" w:space="0" w:color="auto"/>
        <w:left w:val="none" w:sz="0" w:space="0" w:color="auto"/>
        <w:bottom w:val="none" w:sz="0" w:space="0" w:color="auto"/>
        <w:right w:val="none" w:sz="0" w:space="0" w:color="auto"/>
      </w:divBdr>
    </w:div>
    <w:div w:id="545529395">
      <w:bodyDiv w:val="1"/>
      <w:marLeft w:val="0"/>
      <w:marRight w:val="0"/>
      <w:marTop w:val="0"/>
      <w:marBottom w:val="0"/>
      <w:divBdr>
        <w:top w:val="none" w:sz="0" w:space="0" w:color="auto"/>
        <w:left w:val="none" w:sz="0" w:space="0" w:color="auto"/>
        <w:bottom w:val="none" w:sz="0" w:space="0" w:color="auto"/>
        <w:right w:val="none" w:sz="0" w:space="0" w:color="auto"/>
      </w:divBdr>
    </w:div>
    <w:div w:id="768934381">
      <w:bodyDiv w:val="1"/>
      <w:marLeft w:val="0"/>
      <w:marRight w:val="0"/>
      <w:marTop w:val="0"/>
      <w:marBottom w:val="0"/>
      <w:divBdr>
        <w:top w:val="none" w:sz="0" w:space="0" w:color="auto"/>
        <w:left w:val="none" w:sz="0" w:space="0" w:color="auto"/>
        <w:bottom w:val="none" w:sz="0" w:space="0" w:color="auto"/>
        <w:right w:val="none" w:sz="0" w:space="0" w:color="auto"/>
      </w:divBdr>
    </w:div>
    <w:div w:id="854274457">
      <w:bodyDiv w:val="1"/>
      <w:marLeft w:val="0"/>
      <w:marRight w:val="0"/>
      <w:marTop w:val="0"/>
      <w:marBottom w:val="0"/>
      <w:divBdr>
        <w:top w:val="none" w:sz="0" w:space="0" w:color="auto"/>
        <w:left w:val="none" w:sz="0" w:space="0" w:color="auto"/>
        <w:bottom w:val="none" w:sz="0" w:space="0" w:color="auto"/>
        <w:right w:val="none" w:sz="0" w:space="0" w:color="auto"/>
      </w:divBdr>
    </w:div>
    <w:div w:id="1144737986">
      <w:bodyDiv w:val="1"/>
      <w:marLeft w:val="0"/>
      <w:marRight w:val="0"/>
      <w:marTop w:val="0"/>
      <w:marBottom w:val="0"/>
      <w:divBdr>
        <w:top w:val="none" w:sz="0" w:space="0" w:color="auto"/>
        <w:left w:val="none" w:sz="0" w:space="0" w:color="auto"/>
        <w:bottom w:val="none" w:sz="0" w:space="0" w:color="auto"/>
        <w:right w:val="none" w:sz="0" w:space="0" w:color="auto"/>
      </w:divBdr>
    </w:div>
    <w:div w:id="1194734265">
      <w:bodyDiv w:val="1"/>
      <w:marLeft w:val="0"/>
      <w:marRight w:val="0"/>
      <w:marTop w:val="0"/>
      <w:marBottom w:val="0"/>
      <w:divBdr>
        <w:top w:val="none" w:sz="0" w:space="0" w:color="auto"/>
        <w:left w:val="none" w:sz="0" w:space="0" w:color="auto"/>
        <w:bottom w:val="none" w:sz="0" w:space="0" w:color="auto"/>
        <w:right w:val="none" w:sz="0" w:space="0" w:color="auto"/>
      </w:divBdr>
    </w:div>
    <w:div w:id="1308706032">
      <w:bodyDiv w:val="1"/>
      <w:marLeft w:val="0"/>
      <w:marRight w:val="0"/>
      <w:marTop w:val="0"/>
      <w:marBottom w:val="0"/>
      <w:divBdr>
        <w:top w:val="none" w:sz="0" w:space="0" w:color="auto"/>
        <w:left w:val="none" w:sz="0" w:space="0" w:color="auto"/>
        <w:bottom w:val="none" w:sz="0" w:space="0" w:color="auto"/>
        <w:right w:val="none" w:sz="0" w:space="0" w:color="auto"/>
      </w:divBdr>
    </w:div>
    <w:div w:id="1395422787">
      <w:bodyDiv w:val="1"/>
      <w:marLeft w:val="0"/>
      <w:marRight w:val="0"/>
      <w:marTop w:val="0"/>
      <w:marBottom w:val="0"/>
      <w:divBdr>
        <w:top w:val="none" w:sz="0" w:space="0" w:color="auto"/>
        <w:left w:val="none" w:sz="0" w:space="0" w:color="auto"/>
        <w:bottom w:val="none" w:sz="0" w:space="0" w:color="auto"/>
        <w:right w:val="none" w:sz="0" w:space="0" w:color="auto"/>
      </w:divBdr>
    </w:div>
    <w:div w:id="1442872166">
      <w:bodyDiv w:val="1"/>
      <w:marLeft w:val="0"/>
      <w:marRight w:val="0"/>
      <w:marTop w:val="0"/>
      <w:marBottom w:val="0"/>
      <w:divBdr>
        <w:top w:val="none" w:sz="0" w:space="0" w:color="auto"/>
        <w:left w:val="none" w:sz="0" w:space="0" w:color="auto"/>
        <w:bottom w:val="none" w:sz="0" w:space="0" w:color="auto"/>
        <w:right w:val="none" w:sz="0" w:space="0" w:color="auto"/>
      </w:divBdr>
    </w:div>
    <w:div w:id="1499539368">
      <w:bodyDiv w:val="1"/>
      <w:marLeft w:val="0"/>
      <w:marRight w:val="0"/>
      <w:marTop w:val="0"/>
      <w:marBottom w:val="0"/>
      <w:divBdr>
        <w:top w:val="none" w:sz="0" w:space="0" w:color="auto"/>
        <w:left w:val="none" w:sz="0" w:space="0" w:color="auto"/>
        <w:bottom w:val="none" w:sz="0" w:space="0" w:color="auto"/>
        <w:right w:val="none" w:sz="0" w:space="0" w:color="auto"/>
      </w:divBdr>
    </w:div>
    <w:div w:id="1527329192">
      <w:bodyDiv w:val="1"/>
      <w:marLeft w:val="0"/>
      <w:marRight w:val="0"/>
      <w:marTop w:val="0"/>
      <w:marBottom w:val="0"/>
      <w:divBdr>
        <w:top w:val="none" w:sz="0" w:space="0" w:color="auto"/>
        <w:left w:val="none" w:sz="0" w:space="0" w:color="auto"/>
        <w:bottom w:val="none" w:sz="0" w:space="0" w:color="auto"/>
        <w:right w:val="none" w:sz="0" w:space="0" w:color="auto"/>
      </w:divBdr>
    </w:div>
    <w:div w:id="1812749012">
      <w:bodyDiv w:val="1"/>
      <w:marLeft w:val="0"/>
      <w:marRight w:val="0"/>
      <w:marTop w:val="0"/>
      <w:marBottom w:val="0"/>
      <w:divBdr>
        <w:top w:val="none" w:sz="0" w:space="0" w:color="auto"/>
        <w:left w:val="none" w:sz="0" w:space="0" w:color="auto"/>
        <w:bottom w:val="none" w:sz="0" w:space="0" w:color="auto"/>
        <w:right w:val="none" w:sz="0" w:space="0" w:color="auto"/>
      </w:divBdr>
    </w:div>
    <w:div w:id="199591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s://www.cdc.gov/nchs/data/hus/2020-2021/HospAdmis.pdf" TargetMode="External"/><Relationship Id="rId10" Type="http://schemas.openxmlformats.org/officeDocument/2006/relationships/chart" Target="charts/chart1.xml"/><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5.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healthaffairs.org/doi/10.1377/hlthaff.2024.00469" TargetMode="External"/><Relationship Id="rId2" Type="http://schemas.openxmlformats.org/officeDocument/2006/relationships/hyperlink" Target="https://files.fasab.gov/pdffiles/2024_FASAB%20Handbook.pdf" TargetMode="External"/><Relationship Id="rId1" Type="http://schemas.openxmlformats.org/officeDocument/2006/relationships/hyperlink" Target="https://www.bea.gov/itable/national-gdp-and-personal-income" TargetMode="External"/><Relationship Id="rId6" Type="http://schemas.openxmlformats.org/officeDocument/2006/relationships/hyperlink" Target="https://documents1.worldbank.org/curated/en/280911488968799581/pdf/113237-WP-WhoCaresWins-2004.pdf" TargetMode="External"/><Relationship Id="rId5" Type="http://schemas.openxmlformats.org/officeDocument/2006/relationships/hyperlink" Target="https://imaa-institute.org/mergers-and-acquisitions-statistics/" TargetMode="External"/><Relationship Id="rId4" Type="http://schemas.openxmlformats.org/officeDocument/2006/relationships/hyperlink" Target="https://www.federalreserve.gov/releases/z1/dataviz/dfa/index.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jasonkosparis\Desktop\R.&#30740;&#31350;\I.&#26410;&#20998;&#37197;&#21033;&#28070;\&#32654;&#22269;GDP&#26680;&#31639;&#30340;&#19977;&#31181;&#21475;&#2445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jasonkosparis\Desktop\R.&#30740;&#31350;\I.&#26410;&#20998;&#37197;&#21033;&#28070;\&#32654;&#22269;GDP&#26680;&#31639;&#30340;&#19977;&#31181;&#21475;&#2445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jasonkosparis/Desktop/R.&#30740;&#31350;/I.&#26410;&#20998;&#37197;&#21033;&#28070;/&#32654;&#22269;GDP&#26680;&#31639;&#30340;&#19977;&#31181;&#21475;&#2445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jasonkosparis\Desktop\R.&#30740;&#31350;\I.&#26410;&#20998;&#37197;&#21033;&#28070;\&#32654;&#22269;GDP&#26680;&#31639;&#30340;&#19977;&#31181;&#21475;&#2445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jasonkosparis/Desktop/R.&#30740;&#31350;/III.&#32654;&#22269;&#37329;&#34701;&#30340;&#38382;&#39064;&#19982;&#21551;&#31034;/&#37325;&#35201;&#34892;&#19994;&#24179;&#22343;&#24037;&#36164;-&#32654;&#22269;.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jasonkosparis/Desktop/R.&#30740;&#31350;/III.&#32654;&#22269;&#37329;&#34701;&#30340;&#38382;&#39064;&#19982;&#21551;&#31034;/&#25968;&#25454;/Z1/&#25968;&#25454;&#25972;&#29702;/III.&#32654;&#22269;&#37329;&#34701;&#30340;&#38382;&#39064;&#19982;&#21551;&#31034;.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jasonkosparis\Desktop\R.&#30740;&#31350;\I.&#26410;&#20998;&#37197;&#21033;&#28070;\&#32654;&#22269;GDP&#26680;&#31639;&#30340;&#19977;&#31181;&#21475;&#2445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jasonkosparis/Desktop/R.&#30740;&#31350;/I.&#26410;&#20998;&#37197;&#21033;&#28070;/&#32654;&#22269;GDP&#26680;&#31639;&#30340;&#19977;&#31181;&#21475;&#2445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jasonkosparis\Desktop\R.&#30740;&#31350;\I.&#26410;&#20998;&#37197;&#21033;&#28070;\&#32654;&#22269;GDP&#26680;&#31639;&#30340;&#19977;&#31181;&#21475;&#24452;.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'三部门收支-支出合并'!$A$94</c:f>
              <c:strCache>
                <c:ptCount val="1"/>
                <c:pt idx="0">
                  <c:v>真实家庭收支</c:v>
                </c:pt>
              </c:strCache>
            </c:strRef>
          </c:tx>
          <c:spPr>
            <a:ln w="19050" cap="rnd">
              <a:solidFill>
                <a:schemeClr val="tx1"/>
              </a:solidFill>
              <a:round/>
            </a:ln>
            <a:effectLst/>
          </c:spPr>
          <c:marker>
            <c:symbol val="none"/>
          </c:marker>
          <c:cat>
            <c:strRef>
              <c:f>'三部门收支-支出合并'!$B$93:$CR$93</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'三部门收支-支出合并'!$B$94:$CR$94</c:f>
              <c:numCache>
                <c:formatCode>0.00_ </c:formatCode>
                <c:ptCount val="95"/>
                <c:pt idx="0">
                  <c:v>0.9881538461538355</c:v>
                </c:pt>
                <c:pt idx="1">
                  <c:v>0.94953846153845234</c:v>
                </c:pt>
                <c:pt idx="2">
                  <c:v>-3.9692307692305917E-2</c:v>
                </c:pt>
                <c:pt idx="3">
                  <c:v>-3.1695384615384583</c:v>
                </c:pt>
                <c:pt idx="4">
                  <c:v>-4.5927692307692425</c:v>
                </c:pt>
                <c:pt idx="5">
                  <c:v>-4.5961538461538467</c:v>
                </c:pt>
                <c:pt idx="6">
                  <c:v>-3.8895384615384572</c:v>
                </c:pt>
                <c:pt idx="7">
                  <c:v>-3.8983076923076894</c:v>
                </c:pt>
                <c:pt idx="8">
                  <c:v>-5.7964102564102689</c:v>
                </c:pt>
                <c:pt idx="9">
                  <c:v>-10.46076923076923</c:v>
                </c:pt>
                <c:pt idx="10">
                  <c:v>-10.701384615384612</c:v>
                </c:pt>
                <c:pt idx="11">
                  <c:v>-10.761435897435902</c:v>
                </c:pt>
                <c:pt idx="12">
                  <c:v>-5.6089230769230909</c:v>
                </c:pt>
                <c:pt idx="13">
                  <c:v>11.743333333333297</c:v>
                </c:pt>
                <c:pt idx="14">
                  <c:v>17.976410256410233</c:v>
                </c:pt>
                <c:pt idx="15">
                  <c:v>20.762923076923087</c:v>
                </c:pt>
                <c:pt idx="16">
                  <c:v>11.364820512820515</c:v>
                </c:pt>
                <c:pt idx="17">
                  <c:v>-11.804051282051233</c:v>
                </c:pt>
                <c:pt idx="18">
                  <c:v>-22.905076923076962</c:v>
                </c:pt>
                <c:pt idx="19">
                  <c:v>-19.741794871794866</c:v>
                </c:pt>
                <c:pt idx="20">
                  <c:v>-22.945538461538462</c:v>
                </c:pt>
                <c:pt idx="21">
                  <c:v>-23.871692307692257</c:v>
                </c:pt>
                <c:pt idx="22">
                  <c:v>-18.593692307692294</c:v>
                </c:pt>
                <c:pt idx="23">
                  <c:v>-17.627589743589738</c:v>
                </c:pt>
                <c:pt idx="24">
                  <c:v>-16.996923076923053</c:v>
                </c:pt>
                <c:pt idx="25">
                  <c:v>-19.63953846153845</c:v>
                </c:pt>
                <c:pt idx="26">
                  <c:v>-23.97507692307687</c:v>
                </c:pt>
                <c:pt idx="27">
                  <c:v>-16.005999999999972</c:v>
                </c:pt>
                <c:pt idx="28">
                  <c:v>-13.451846153846191</c:v>
                </c:pt>
                <c:pt idx="29">
                  <c:v>-11.314256410256405</c:v>
                </c:pt>
                <c:pt idx="30">
                  <c:v>-19.497230769230725</c:v>
                </c:pt>
                <c:pt idx="31">
                  <c:v>-17.613589743589614</c:v>
                </c:pt>
                <c:pt idx="32">
                  <c:v>-11.277730769230686</c:v>
                </c:pt>
                <c:pt idx="33">
                  <c:v>-11.973333333333358</c:v>
                </c:pt>
                <c:pt idx="34">
                  <c:v>-15.641769230769171</c:v>
                </c:pt>
                <c:pt idx="35">
                  <c:v>-8.3110512820512668</c:v>
                </c:pt>
                <c:pt idx="36">
                  <c:v>-4.9373333333332425</c:v>
                </c:pt>
                <c:pt idx="37">
                  <c:v>-6.0268717948716812</c:v>
                </c:pt>
                <c:pt idx="38">
                  <c:v>1.7733717948718777</c:v>
                </c:pt>
                <c:pt idx="39">
                  <c:v>-6.4326153846153602</c:v>
                </c:pt>
                <c:pt idx="40">
                  <c:v>-6.4666282051282451</c:v>
                </c:pt>
                <c:pt idx="41">
                  <c:v>19.126307692307705</c:v>
                </c:pt>
                <c:pt idx="42">
                  <c:v>18.478692307692199</c:v>
                </c:pt>
                <c:pt idx="43">
                  <c:v>0.74066666666647052</c:v>
                </c:pt>
                <c:pt idx="44">
                  <c:v>19.014307692307739</c:v>
                </c:pt>
                <c:pt idx="45">
                  <c:v>41.422461538461448</c:v>
                </c:pt>
                <c:pt idx="46">
                  <c:v>64.050871794871455</c:v>
                </c:pt>
                <c:pt idx="47">
                  <c:v>36.10702564102553</c:v>
                </c:pt>
                <c:pt idx="48">
                  <c:v>12.042999999999893</c:v>
                </c:pt>
                <c:pt idx="49">
                  <c:v>13.459743589743539</c:v>
                </c:pt>
                <c:pt idx="50">
                  <c:v>18.94353846153831</c:v>
                </c:pt>
              </c:numCache>
            </c:numRef>
          </c:val>
          <c:smooth val="0"/>
          <c:extLst>
            <c:ext xmlns:c16="http://schemas.microsoft.com/office/drawing/2014/chart" uri="{C3380CC4-5D6E-409C-BE32-E72D297353CC}">
              <c16:uniqueId val="{00000000-CB3B-ED43-BEFB-2C007ADA9A30}"/>
            </c:ext>
          </c:extLst>
        </c:ser>
        <c:dLbls>
          <c:showLegendKey val="0"/>
          <c:showVal val="0"/>
          <c:showCatName val="0"/>
          <c:showSerName val="0"/>
          <c:showPercent val="0"/>
          <c:showBubbleSize val="0"/>
        </c:dLbls>
        <c:marker val="1"/>
        <c:smooth val="0"/>
        <c:axId val="1924093056"/>
        <c:axId val="1923211184"/>
      </c:lineChart>
      <c:lineChart>
        <c:grouping val="standard"/>
        <c:varyColors val="0"/>
        <c:ser>
          <c:idx val="1"/>
          <c:order val="1"/>
          <c:tx>
            <c:strRef>
              <c:f>'三部门收支-支出合并'!$A$95</c:f>
              <c:strCache>
                <c:ptCount val="1"/>
                <c:pt idx="0">
                  <c:v>真实家庭收支-里根执政后-副轴</c:v>
                </c:pt>
              </c:strCache>
            </c:strRef>
          </c:tx>
          <c:spPr>
            <a:ln w="19050" cap="rnd">
              <a:solidFill>
                <a:schemeClr val="tx1"/>
              </a:solidFill>
              <a:round/>
            </a:ln>
            <a:effectLst/>
          </c:spPr>
          <c:marker>
            <c:symbol val="none"/>
          </c:marker>
          <c:cat>
            <c:strRef>
              <c:f>'三部门收支-支出合并'!$B$93:$CR$93</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'三部门收支-支出合并'!$B$95:$CR$95</c:f>
              <c:numCache>
                <c:formatCode>General</c:formatCode>
                <c:ptCount val="95"/>
                <c:pt idx="51">
                  <c:v>83.386923076923267</c:v>
                </c:pt>
                <c:pt idx="52">
                  <c:v>128.18907692307653</c:v>
                </c:pt>
                <c:pt idx="53">
                  <c:v>183.65651282051317</c:v>
                </c:pt>
                <c:pt idx="54">
                  <c:v>125.04415384615459</c:v>
                </c:pt>
                <c:pt idx="55">
                  <c:v>156.84810256410265</c:v>
                </c:pt>
                <c:pt idx="56">
                  <c:v>122.25425641025595</c:v>
                </c:pt>
                <c:pt idx="57">
                  <c:v>108.76599999999962</c:v>
                </c:pt>
                <c:pt idx="58">
                  <c:v>83.528923076922638</c:v>
                </c:pt>
                <c:pt idx="59">
                  <c:v>149.52615384615365</c:v>
                </c:pt>
                <c:pt idx="60">
                  <c:v>164.81153846153893</c:v>
                </c:pt>
                <c:pt idx="61">
                  <c:v>210.82758974359058</c:v>
                </c:pt>
                <c:pt idx="62">
                  <c:v>264.48710256410232</c:v>
                </c:pt>
                <c:pt idx="63">
                  <c:v>254.37579487179437</c:v>
                </c:pt>
                <c:pt idx="64">
                  <c:v>153.01717948718033</c:v>
                </c:pt>
                <c:pt idx="65">
                  <c:v>88.920666666666875</c:v>
                </c:pt>
                <c:pt idx="66">
                  <c:v>147.41037179487193</c:v>
                </c:pt>
                <c:pt idx="67">
                  <c:v>129.75315384615351</c:v>
                </c:pt>
                <c:pt idx="68">
                  <c:v>146.91447435897408</c:v>
                </c:pt>
                <c:pt idx="69">
                  <c:v>192.13066666666691</c:v>
                </c:pt>
                <c:pt idx="70">
                  <c:v>57.624410256409647</c:v>
                </c:pt>
                <c:pt idx="71">
                  <c:v>67.738205128204754</c:v>
                </c:pt>
                <c:pt idx="72">
                  <c:v>104.3643076923081</c:v>
                </c:pt>
                <c:pt idx="73">
                  <c:v>182.70500000000084</c:v>
                </c:pt>
                <c:pt idx="74">
                  <c:v>94.152256410256996</c:v>
                </c:pt>
                <c:pt idx="75">
                  <c:v>-42.558333333332484</c:v>
                </c:pt>
                <c:pt idx="76">
                  <c:v>-291.25799999999799</c:v>
                </c:pt>
                <c:pt idx="77">
                  <c:v>-112.54617307692115</c:v>
                </c:pt>
                <c:pt idx="78">
                  <c:v>81.259461538458709</c:v>
                </c:pt>
                <c:pt idx="79">
                  <c:v>464.73821153846075</c:v>
                </c:pt>
                <c:pt idx="80">
                  <c:v>727.87199999999848</c:v>
                </c:pt>
                <c:pt idx="81">
                  <c:v>741.81400000000212</c:v>
                </c:pt>
                <c:pt idx="82">
                  <c:v>803.82999999999993</c:v>
                </c:pt>
                <c:pt idx="83">
                  <c:v>963.78999999999724</c:v>
                </c:pt>
                <c:pt idx="84">
                  <c:v>465.81400000000031</c:v>
                </c:pt>
                <c:pt idx="85">
                  <c:v>493.17000000000007</c:v>
                </c:pt>
                <c:pt idx="86">
                  <c:v>544.20800000000054</c:v>
                </c:pt>
                <c:pt idx="87">
                  <c:v>519.21400000000176</c:v>
                </c:pt>
                <c:pt idx="88">
                  <c:v>594.53999999999905</c:v>
                </c:pt>
                <c:pt idx="89">
                  <c:v>715.32999999999993</c:v>
                </c:pt>
                <c:pt idx="90">
                  <c:v>926.58999999999833</c:v>
                </c:pt>
                <c:pt idx="91">
                  <c:v>2280.5650769230779</c:v>
                </c:pt>
                <c:pt idx="92">
                  <c:v>1563.4316923076876</c:v>
                </c:pt>
                <c:pt idx="93">
                  <c:v>124.6413846153846</c:v>
                </c:pt>
                <c:pt idx="94">
                  <c:v>642.12907692307635</c:v>
                </c:pt>
              </c:numCache>
            </c:numRef>
          </c:val>
          <c:smooth val="0"/>
          <c:extLst>
            <c:ext xmlns:c16="http://schemas.microsoft.com/office/drawing/2014/chart" uri="{C3380CC4-5D6E-409C-BE32-E72D297353CC}">
              <c16:uniqueId val="{00000001-CB3B-ED43-BEFB-2C007ADA9A30}"/>
            </c:ext>
          </c:extLst>
        </c:ser>
        <c:dLbls>
          <c:showLegendKey val="0"/>
          <c:showVal val="0"/>
          <c:showCatName val="0"/>
          <c:showSerName val="0"/>
          <c:showPercent val="0"/>
          <c:showBubbleSize val="0"/>
        </c:dLbls>
        <c:marker val="1"/>
        <c:smooth val="0"/>
        <c:axId val="286792831"/>
        <c:axId val="286789871"/>
      </c:lineChart>
      <c:catAx>
        <c:axId val="1924093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923211184"/>
        <c:crosses val="autoZero"/>
        <c:auto val="1"/>
        <c:lblAlgn val="ctr"/>
        <c:lblOffset val="100"/>
        <c:noMultiLvlLbl val="0"/>
      </c:catAx>
      <c:valAx>
        <c:axId val="1923211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10</a:t>
                </a:r>
                <a:r>
                  <a:rPr lang="zh-CN" altLang="en-US" sz="900">
                    <a:latin typeface="Times New Roman" panose="02020603050405020304" pitchFamily="18" charset="0"/>
                    <a:ea typeface="SimSun" panose="02010600030101010101" pitchFamily="2" charset="-122"/>
                    <a:cs typeface="Times New Roman" panose="02020603050405020304" pitchFamily="18" charset="0"/>
                  </a:rPr>
                  <a:t>亿美元</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924093056"/>
        <c:crosses val="autoZero"/>
        <c:crossBetween val="between"/>
      </c:valAx>
      <c:valAx>
        <c:axId val="286789871"/>
        <c:scaling>
          <c:orientation val="minMax"/>
        </c:scaling>
        <c:delete val="0"/>
        <c:axPos val="r"/>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sz="900">
                    <a:latin typeface="Times New Roman" panose="02020603050405020304" pitchFamily="18" charset="0"/>
                    <a:ea typeface="SimSun" panose="02010600030101010101" pitchFamily="2" charset="-122"/>
                    <a:cs typeface="Times New Roman" panose="02020603050405020304" pitchFamily="18" charset="0"/>
                  </a:rPr>
                  <a:t>单位：</a:t>
                </a:r>
                <a:r>
                  <a:rPr lang="en-US" sz="900">
                    <a:latin typeface="Times New Roman" panose="02020603050405020304" pitchFamily="18" charset="0"/>
                    <a:ea typeface="SimSun" panose="02010600030101010101" pitchFamily="2" charset="-122"/>
                    <a:cs typeface="Times New Roman" panose="02020603050405020304" pitchFamily="18" charset="0"/>
                  </a:rPr>
                  <a:t>10</a:t>
                </a:r>
                <a:r>
                  <a:rPr lang="zh-CN" sz="900">
                    <a:latin typeface="Times New Roman" panose="02020603050405020304" pitchFamily="18" charset="0"/>
                    <a:ea typeface="SimSun" panose="02010600030101010101" pitchFamily="2" charset="-122"/>
                    <a:cs typeface="Times New Roman" panose="02020603050405020304" pitchFamily="18" charset="0"/>
                  </a:rPr>
                  <a:t>亿美元</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286792831"/>
        <c:crosses val="max"/>
        <c:crossBetween val="between"/>
      </c:valAx>
      <c:catAx>
        <c:axId val="286792831"/>
        <c:scaling>
          <c:orientation val="minMax"/>
        </c:scaling>
        <c:delete val="1"/>
        <c:axPos val="b"/>
        <c:numFmt formatCode="General" sourceLinked="1"/>
        <c:majorTickMark val="out"/>
        <c:minorTickMark val="none"/>
        <c:tickLblPos val="nextTo"/>
        <c:crossAx val="286789871"/>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'三部门收支-支出合并'!$A$92</c:f>
              <c:strCache>
                <c:ptCount val="1"/>
                <c:pt idx="0">
                  <c:v>I类家庭收支-里根执政前</c:v>
                </c:pt>
              </c:strCache>
            </c:strRef>
          </c:tx>
          <c:spPr>
            <a:ln w="19050" cap="rnd">
              <a:solidFill>
                <a:schemeClr val="tx1"/>
              </a:solidFill>
              <a:round/>
            </a:ln>
            <a:effectLst/>
          </c:spPr>
          <c:marker>
            <c:symbol val="none"/>
          </c:marker>
          <c:cat>
            <c:strRef>
              <c:f>'三部门收支-支出合并'!$B$91:$CR$91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'三部门收支-支出合并'!$B$92:$CR$92</c:f>
              <c:numCache>
                <c:formatCode>0.0_ </c:formatCode>
                <c:ptCount val="95"/>
                <c:pt idx="0">
                  <c:v>0.9881538461538355</c:v>
                </c:pt>
                <c:pt idx="1">
                  <c:v>0.94953846153845234</c:v>
                </c:pt>
                <c:pt idx="2">
                  <c:v>-3.9692307692305917E-2</c:v>
                </c:pt>
                <c:pt idx="3">
                  <c:v>-3.1695384615384583</c:v>
                </c:pt>
                <c:pt idx="4">
                  <c:v>-4.5927692307692425</c:v>
                </c:pt>
                <c:pt idx="5">
                  <c:v>-4.5961538461538467</c:v>
                </c:pt>
                <c:pt idx="6">
                  <c:v>-3.8895384615384572</c:v>
                </c:pt>
                <c:pt idx="7">
                  <c:v>-3.8983076923076894</c:v>
                </c:pt>
                <c:pt idx="8">
                  <c:v>-5.7964102564102689</c:v>
                </c:pt>
                <c:pt idx="9">
                  <c:v>-10.46076923076923</c:v>
                </c:pt>
                <c:pt idx="10">
                  <c:v>-10.701384615384612</c:v>
                </c:pt>
                <c:pt idx="11">
                  <c:v>-10.761435897435902</c:v>
                </c:pt>
                <c:pt idx="12">
                  <c:v>-5.6089230769230909</c:v>
                </c:pt>
                <c:pt idx="13">
                  <c:v>11.743333333333297</c:v>
                </c:pt>
                <c:pt idx="14">
                  <c:v>17.976410256410233</c:v>
                </c:pt>
                <c:pt idx="15">
                  <c:v>20.762923076923087</c:v>
                </c:pt>
                <c:pt idx="16">
                  <c:v>11.364820512820515</c:v>
                </c:pt>
                <c:pt idx="17">
                  <c:v>-11.804051282051233</c:v>
                </c:pt>
                <c:pt idx="18">
                  <c:v>-22.905076923076962</c:v>
                </c:pt>
                <c:pt idx="19">
                  <c:v>-19.741794871794866</c:v>
                </c:pt>
                <c:pt idx="20">
                  <c:v>-22.945538461538462</c:v>
                </c:pt>
                <c:pt idx="21">
                  <c:v>-23.871692307692257</c:v>
                </c:pt>
                <c:pt idx="22">
                  <c:v>-18.593692307692294</c:v>
                </c:pt>
                <c:pt idx="23">
                  <c:v>-17.627589743589738</c:v>
                </c:pt>
                <c:pt idx="24">
                  <c:v>-16.996923076923053</c:v>
                </c:pt>
                <c:pt idx="25">
                  <c:v>-19.63953846153845</c:v>
                </c:pt>
                <c:pt idx="26">
                  <c:v>-23.97507692307687</c:v>
                </c:pt>
                <c:pt idx="27">
                  <c:v>-16.005999999999972</c:v>
                </c:pt>
                <c:pt idx="28">
                  <c:v>-13.451846153846191</c:v>
                </c:pt>
                <c:pt idx="29">
                  <c:v>-11.314256410256405</c:v>
                </c:pt>
                <c:pt idx="30">
                  <c:v>-19.497230769230725</c:v>
                </c:pt>
                <c:pt idx="31">
                  <c:v>-17.613589743589614</c:v>
                </c:pt>
                <c:pt idx="32">
                  <c:v>-11.277730769230686</c:v>
                </c:pt>
                <c:pt idx="33">
                  <c:v>-11.973333333333358</c:v>
                </c:pt>
                <c:pt idx="34">
                  <c:v>-15.641769230769171</c:v>
                </c:pt>
                <c:pt idx="35">
                  <c:v>-8.3110512820512668</c:v>
                </c:pt>
                <c:pt idx="36">
                  <c:v>-6.6039999999999095</c:v>
                </c:pt>
                <c:pt idx="37">
                  <c:v>-8.0873846153845008</c:v>
                </c:pt>
                <c:pt idx="38">
                  <c:v>-0.76226923076914765</c:v>
                </c:pt>
                <c:pt idx="39">
                  <c:v>-9.623384615384591</c:v>
                </c:pt>
                <c:pt idx="40">
                  <c:v>-10.46073076923081</c:v>
                </c:pt>
                <c:pt idx="41">
                  <c:v>14.172846153846166</c:v>
                </c:pt>
                <c:pt idx="42">
                  <c:v>12.668076923076814</c:v>
                </c:pt>
                <c:pt idx="43">
                  <c:v>-5.9906666666668631</c:v>
                </c:pt>
                <c:pt idx="44">
                  <c:v>11.157076923076968</c:v>
                </c:pt>
                <c:pt idx="45">
                  <c:v>32.192897435897351</c:v>
                </c:pt>
                <c:pt idx="46">
                  <c:v>52.868820512820172</c:v>
                </c:pt>
                <c:pt idx="47">
                  <c:v>22.873025641025528</c:v>
                </c:pt>
                <c:pt idx="48">
                  <c:v>-3.502333333333441</c:v>
                </c:pt>
                <c:pt idx="49">
                  <c:v>-4.7400512820513292</c:v>
                </c:pt>
                <c:pt idx="50">
                  <c:v>-2.3463076923078461</c:v>
                </c:pt>
              </c:numCache>
            </c:numRef>
          </c:val>
          <c:smooth val="0"/>
          <c:extLst>
            <c:ext xmlns:c16="http://schemas.microsoft.com/office/drawing/2014/chart" uri="{C3380CC4-5D6E-409C-BE32-E72D297353CC}">
              <c16:uniqueId val="{00000000-10FB-D549-95CD-0E1641FF9A93}"/>
            </c:ext>
          </c:extLst>
        </c:ser>
        <c:ser>
          <c:idx val="2"/>
          <c:order val="2"/>
          <c:tx>
            <c:strRef>
              <c:f>'三部门收支-支出合并'!$A$94</c:f>
              <c:strCache>
                <c:ptCount val="1"/>
                <c:pt idx="0">
                  <c:v>II类家庭收支-里根执政前</c:v>
                </c:pt>
              </c:strCache>
            </c:strRef>
          </c:tx>
          <c:spPr>
            <a:ln w="19050" cap="rnd">
              <a:solidFill>
                <a:schemeClr val="tx1"/>
              </a:solidFill>
              <a:prstDash val="sysDash"/>
              <a:round/>
            </a:ln>
            <a:effectLst/>
          </c:spPr>
          <c:marker>
            <c:symbol val="none"/>
          </c:marker>
          <c:cat>
            <c:strRef>
              <c:f>'三部门收支-支出合并'!$B$91:$CR$91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'三部门收支-支出合并'!$B$94:$CR$94</c:f>
              <c:numCache>
                <c:formatCode>0.0_ </c:formatCode>
                <c:ptCount val="95"/>
                <c:pt idx="0">
                  <c:v>-11.711846153846173</c:v>
                </c:pt>
                <c:pt idx="1">
                  <c:v>-11.050461538461555</c:v>
                </c:pt>
                <c:pt idx="2">
                  <c:v>-10.639692307692309</c:v>
                </c:pt>
                <c:pt idx="3">
                  <c:v>-11.869538461538463</c:v>
                </c:pt>
                <c:pt idx="4">
                  <c:v>-12.292769230769238</c:v>
                </c:pt>
                <c:pt idx="5">
                  <c:v>-12.896153846153844</c:v>
                </c:pt>
                <c:pt idx="6">
                  <c:v>-12.48953846153846</c:v>
                </c:pt>
                <c:pt idx="7">
                  <c:v>-13.998307692307694</c:v>
                </c:pt>
                <c:pt idx="8">
                  <c:v>-16.196410256410264</c:v>
                </c:pt>
                <c:pt idx="9">
                  <c:v>-19.260769230769224</c:v>
                </c:pt>
                <c:pt idx="10">
                  <c:v>-20.201384615384615</c:v>
                </c:pt>
                <c:pt idx="11">
                  <c:v>-20.561435897435906</c:v>
                </c:pt>
                <c:pt idx="12">
                  <c:v>-15.908923076923084</c:v>
                </c:pt>
                <c:pt idx="13">
                  <c:v>1.6433333333333082</c:v>
                </c:pt>
                <c:pt idx="14">
                  <c:v>7.4764102564102277</c:v>
                </c:pt>
                <c:pt idx="15">
                  <c:v>9.7629230769230873</c:v>
                </c:pt>
                <c:pt idx="16">
                  <c:v>-0.43517948717948518</c:v>
                </c:pt>
                <c:pt idx="17">
                  <c:v>-25.304051282051233</c:v>
                </c:pt>
                <c:pt idx="18">
                  <c:v>-38.305076923076982</c:v>
                </c:pt>
                <c:pt idx="19">
                  <c:v>-36.541794871794863</c:v>
                </c:pt>
                <c:pt idx="20">
                  <c:v>-40.845538461538453</c:v>
                </c:pt>
                <c:pt idx="21">
                  <c:v>-44.57169230769226</c:v>
                </c:pt>
                <c:pt idx="22">
                  <c:v>-39.993692307692314</c:v>
                </c:pt>
                <c:pt idx="23">
                  <c:v>-40.227589743589725</c:v>
                </c:pt>
                <c:pt idx="24">
                  <c:v>-41.496923076923068</c:v>
                </c:pt>
                <c:pt idx="25">
                  <c:v>-46.139538461538443</c:v>
                </c:pt>
                <c:pt idx="26">
                  <c:v>-53.275076923076874</c:v>
                </c:pt>
                <c:pt idx="27">
                  <c:v>-48.305999999999983</c:v>
                </c:pt>
                <c:pt idx="28">
                  <c:v>-48.951846153846169</c:v>
                </c:pt>
                <c:pt idx="29">
                  <c:v>-48.51425641025638</c:v>
                </c:pt>
                <c:pt idx="30">
                  <c:v>-60.197230769230693</c:v>
                </c:pt>
                <c:pt idx="31">
                  <c:v>-62.113589743589635</c:v>
                </c:pt>
                <c:pt idx="32">
                  <c:v>-58.577730769230698</c:v>
                </c:pt>
                <c:pt idx="33">
                  <c:v>-64.073333333333352</c:v>
                </c:pt>
                <c:pt idx="34">
                  <c:v>-72.341769230769188</c:v>
                </c:pt>
                <c:pt idx="35">
                  <c:v>-71.411051282051261</c:v>
                </c:pt>
                <c:pt idx="36">
                  <c:v>-74.437333333333257</c:v>
                </c:pt>
                <c:pt idx="37">
                  <c:v>-81.02687179487171</c:v>
                </c:pt>
                <c:pt idx="38">
                  <c:v>-79.226628205128094</c:v>
                </c:pt>
                <c:pt idx="39">
                  <c:v>-95.232615384615386</c:v>
                </c:pt>
                <c:pt idx="40">
                  <c:v>-106.76662820512828</c:v>
                </c:pt>
                <c:pt idx="41">
                  <c:v>-95.773692307692301</c:v>
                </c:pt>
                <c:pt idx="42">
                  <c:v>-106.62130769230778</c:v>
                </c:pt>
                <c:pt idx="43">
                  <c:v>-135.85933333333358</c:v>
                </c:pt>
                <c:pt idx="44">
                  <c:v>-136.3856923076923</c:v>
                </c:pt>
                <c:pt idx="45">
                  <c:v>-139.17753846153857</c:v>
                </c:pt>
                <c:pt idx="46">
                  <c:v>-136.94912820512849</c:v>
                </c:pt>
                <c:pt idx="47">
                  <c:v>-183.89297435897441</c:v>
                </c:pt>
                <c:pt idx="48">
                  <c:v>-239.55700000000007</c:v>
                </c:pt>
                <c:pt idx="49">
                  <c:v>-272.34025641025642</c:v>
                </c:pt>
                <c:pt idx="50">
                  <c:v>-308.15646153846166</c:v>
                </c:pt>
              </c:numCache>
            </c:numRef>
          </c:val>
          <c:smooth val="0"/>
          <c:extLst>
            <c:ext xmlns:c16="http://schemas.microsoft.com/office/drawing/2014/chart" uri="{C3380CC4-5D6E-409C-BE32-E72D297353CC}">
              <c16:uniqueId val="{00000001-10FB-D549-95CD-0E1641FF9A93}"/>
            </c:ext>
          </c:extLst>
        </c:ser>
        <c:ser>
          <c:idx val="4"/>
          <c:order val="4"/>
          <c:tx>
            <c:strRef>
              <c:f>'三部门收支-支出合并'!$A$96</c:f>
              <c:strCache>
                <c:ptCount val="1"/>
                <c:pt idx="0">
                  <c:v>III类家庭收支-里根执政前</c:v>
                </c:pt>
              </c:strCache>
            </c:strRef>
          </c:tx>
          <c:spPr>
            <a:ln w="19050" cap="rnd">
              <a:solidFill>
                <a:schemeClr val="tx1"/>
              </a:solidFill>
              <a:prstDash val="sysDot"/>
              <a:round/>
            </a:ln>
            <a:effectLst/>
          </c:spPr>
          <c:marker>
            <c:symbol val="none"/>
          </c:marker>
          <c:cat>
            <c:strRef>
              <c:f>'三部门收支-支出合并'!$B$91:$CR$91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'三部门收支-支出合并'!$B$96:$CR$96</c:f>
              <c:numCache>
                <c:formatCode>0.00_ </c:formatCode>
                <c:ptCount val="95"/>
                <c:pt idx="0">
                  <c:v>-7.8228461538461733</c:v>
                </c:pt>
                <c:pt idx="1">
                  <c:v>-8.7614615384615551</c:v>
                </c:pt>
                <c:pt idx="2">
                  <c:v>-8.9506923076923091</c:v>
                </c:pt>
                <c:pt idx="3">
                  <c:v>-11.180538461538463</c:v>
                </c:pt>
                <c:pt idx="4">
                  <c:v>-11.803769230769239</c:v>
                </c:pt>
                <c:pt idx="5">
                  <c:v>-12.107153846153844</c:v>
                </c:pt>
                <c:pt idx="6">
                  <c:v>-11.30053846153846</c:v>
                </c:pt>
                <c:pt idx="7">
                  <c:v>-12.409307692307694</c:v>
                </c:pt>
                <c:pt idx="8">
                  <c:v>-14.207410256410265</c:v>
                </c:pt>
                <c:pt idx="9">
                  <c:v>-17.271769230769223</c:v>
                </c:pt>
                <c:pt idx="10">
                  <c:v>-17.212384615384615</c:v>
                </c:pt>
                <c:pt idx="11">
                  <c:v>-17.172435897435903</c:v>
                </c:pt>
                <c:pt idx="12">
                  <c:v>-11.919923076923086</c:v>
                </c:pt>
                <c:pt idx="13">
                  <c:v>3.8323333333333083</c:v>
                </c:pt>
                <c:pt idx="14">
                  <c:v>8.8654102564102271</c:v>
                </c:pt>
                <c:pt idx="15">
                  <c:v>11.051923076923087</c:v>
                </c:pt>
                <c:pt idx="16">
                  <c:v>1.1538205128205148</c:v>
                </c:pt>
                <c:pt idx="17">
                  <c:v>-17.515051282051232</c:v>
                </c:pt>
                <c:pt idx="18">
                  <c:v>-26.316076923076977</c:v>
                </c:pt>
                <c:pt idx="19">
                  <c:v>-20.952794871794865</c:v>
                </c:pt>
                <c:pt idx="20">
                  <c:v>-26.256538461538454</c:v>
                </c:pt>
                <c:pt idx="21">
                  <c:v>-24.082692307692255</c:v>
                </c:pt>
                <c:pt idx="22">
                  <c:v>-21.504692307692309</c:v>
                </c:pt>
                <c:pt idx="23">
                  <c:v>-21.538589743589725</c:v>
                </c:pt>
                <c:pt idx="24">
                  <c:v>-22.007923076923063</c:v>
                </c:pt>
                <c:pt idx="25">
                  <c:v>-24.950538461538443</c:v>
                </c:pt>
                <c:pt idx="26">
                  <c:v>-28.086076923076874</c:v>
                </c:pt>
                <c:pt idx="27">
                  <c:v>-24.516999999999982</c:v>
                </c:pt>
                <c:pt idx="28">
                  <c:v>-26.562846153846166</c:v>
                </c:pt>
                <c:pt idx="29">
                  <c:v>-25.925256410256381</c:v>
                </c:pt>
                <c:pt idx="30">
                  <c:v>-31.80823076923069</c:v>
                </c:pt>
                <c:pt idx="31">
                  <c:v>-35.424589743589635</c:v>
                </c:pt>
                <c:pt idx="32">
                  <c:v>-31.789730769230697</c:v>
                </c:pt>
                <c:pt idx="33">
                  <c:v>-34.686333333333359</c:v>
                </c:pt>
                <c:pt idx="34">
                  <c:v>-39.655769230769181</c:v>
                </c:pt>
                <c:pt idx="35">
                  <c:v>-36.52605128205127</c:v>
                </c:pt>
                <c:pt idx="36">
                  <c:v>-39.453333333333255</c:v>
                </c:pt>
                <c:pt idx="37">
                  <c:v>-47.843871794871703</c:v>
                </c:pt>
                <c:pt idx="38">
                  <c:v>-45.844628205128103</c:v>
                </c:pt>
                <c:pt idx="39">
                  <c:v>-55.251615384615384</c:v>
                </c:pt>
                <c:pt idx="40">
                  <c:v>-62.586628205128278</c:v>
                </c:pt>
                <c:pt idx="41">
                  <c:v>-52.594692307692291</c:v>
                </c:pt>
                <c:pt idx="42">
                  <c:v>-48.648307692307775</c:v>
                </c:pt>
                <c:pt idx="43">
                  <c:v>-63.692333333333572</c:v>
                </c:pt>
                <c:pt idx="44">
                  <c:v>-58.324692307692281</c:v>
                </c:pt>
                <c:pt idx="45">
                  <c:v>-69.922538461538579</c:v>
                </c:pt>
                <c:pt idx="46">
                  <c:v>-70.500128205128505</c:v>
                </c:pt>
                <c:pt idx="47">
                  <c:v>-97.349974358974407</c:v>
                </c:pt>
                <c:pt idx="48">
                  <c:v>-124.62000000000009</c:v>
                </c:pt>
                <c:pt idx="49">
                  <c:v>-134.60925641025642</c:v>
                </c:pt>
                <c:pt idx="50">
                  <c:v>-160.63146153846165</c:v>
                </c:pt>
              </c:numCache>
            </c:numRef>
          </c:val>
          <c:smooth val="0"/>
          <c:extLst>
            <c:ext xmlns:c16="http://schemas.microsoft.com/office/drawing/2014/chart" uri="{C3380CC4-5D6E-409C-BE32-E72D297353CC}">
              <c16:uniqueId val="{00000002-10FB-D549-95CD-0E1641FF9A93}"/>
            </c:ext>
          </c:extLst>
        </c:ser>
        <c:dLbls>
          <c:showLegendKey val="0"/>
          <c:showVal val="0"/>
          <c:showCatName val="0"/>
          <c:showSerName val="0"/>
          <c:showPercent val="0"/>
          <c:showBubbleSize val="0"/>
        </c:dLbls>
        <c:marker val="1"/>
        <c:smooth val="0"/>
        <c:axId val="525665071"/>
        <c:axId val="525666783"/>
      </c:lineChart>
      <c:lineChart>
        <c:grouping val="standard"/>
        <c:varyColors val="0"/>
        <c:ser>
          <c:idx val="1"/>
          <c:order val="1"/>
          <c:tx>
            <c:strRef>
              <c:f>'三部门收支-支出合并'!$A$93</c:f>
              <c:strCache>
                <c:ptCount val="1"/>
                <c:pt idx="0">
                  <c:v>I类家庭收支-里根执政后-副轴</c:v>
                </c:pt>
              </c:strCache>
            </c:strRef>
          </c:tx>
          <c:spPr>
            <a:ln w="19050" cap="rnd" cmpd="dbl">
              <a:solidFill>
                <a:schemeClr val="tx1"/>
              </a:solidFill>
              <a:round/>
            </a:ln>
            <a:effectLst/>
          </c:spPr>
          <c:marker>
            <c:symbol val="none"/>
          </c:marker>
          <c:cat>
            <c:strRef>
              <c:f>'三部门收支-支出合并'!$B$91:$CR$91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'三部门收支-支出合并'!$B$93:$CR$93</c:f>
              <c:numCache>
                <c:formatCode>General</c:formatCode>
                <c:ptCount val="95"/>
                <c:pt idx="51" formatCode="0.0_ ">
                  <c:v>58.072179487179682</c:v>
                </c:pt>
                <c:pt idx="52" formatCode="0.0_ ">
                  <c:v>98.421769230768831</c:v>
                </c:pt>
                <c:pt idx="53" formatCode="0.0_ ">
                  <c:v>150.45394871794906</c:v>
                </c:pt>
                <c:pt idx="54" formatCode="0.0_ ">
                  <c:v>87.728128205128939</c:v>
                </c:pt>
                <c:pt idx="55" formatCode="0.0_ ">
                  <c:v>116.08207692307701</c:v>
                </c:pt>
                <c:pt idx="56" formatCode="0.0_ ">
                  <c:v>77.699128205127749</c:v>
                </c:pt>
                <c:pt idx="57" formatCode="0.0_ ">
                  <c:v>60.082666666666292</c:v>
                </c:pt>
                <c:pt idx="58" formatCode="0.0_ ">
                  <c:v>29.567384615384171</c:v>
                </c:pt>
                <c:pt idx="59" formatCode="0.0_ ">
                  <c:v>89.062692307692103</c:v>
                </c:pt>
                <c:pt idx="60" formatCode="0.0_ ">
                  <c:v>98.288461538462016</c:v>
                </c:pt>
                <c:pt idx="61" formatCode="0.0_ ">
                  <c:v>136.84451282051367</c:v>
                </c:pt>
                <c:pt idx="62" formatCode="0.0_ ">
                  <c:v>179.83448717948693</c:v>
                </c:pt>
                <c:pt idx="63" formatCode="0.0_ ">
                  <c:v>157.27056410256358</c:v>
                </c:pt>
                <c:pt idx="64" formatCode="0.0_ ">
                  <c:v>46.2147179487188</c:v>
                </c:pt>
                <c:pt idx="65" formatCode="0.0_ ">
                  <c:v>-27.287794871794674</c:v>
                </c:pt>
                <c:pt idx="66" formatCode="0.0_ ">
                  <c:v>20.043448717948849</c:v>
                </c:pt>
                <c:pt idx="67" formatCode="0.0_ ">
                  <c:v>-7.939000000000334</c:v>
                </c:pt>
                <c:pt idx="68" formatCode="0.0_ ">
                  <c:v>-2.7481410256413028</c:v>
                </c:pt>
                <c:pt idx="69" formatCode="0.0_ ">
                  <c:v>29.570666666666909</c:v>
                </c:pt>
                <c:pt idx="70" formatCode="0.0_ ">
                  <c:v>-116.42420512820576</c:v>
                </c:pt>
                <c:pt idx="71" formatCode="0.0_ ">
                  <c:v>-123.00641025641062</c:v>
                </c:pt>
                <c:pt idx="72" formatCode="0.0_ ">
                  <c:v>-102.62184615384575</c:v>
                </c:pt>
                <c:pt idx="73" formatCode="0.0_ ">
                  <c:v>-42.204999999999188</c:v>
                </c:pt>
                <c:pt idx="74" formatCode="0.0_ ">
                  <c:v>-145.52466666666609</c:v>
                </c:pt>
                <c:pt idx="75" formatCode="0.0_ ">
                  <c:v>-299.86833333333249</c:v>
                </c:pt>
                <c:pt idx="76" formatCode="0.0_ ">
                  <c:v>-577.36633333333134</c:v>
                </c:pt>
                <c:pt idx="77" formatCode="0.0_ ">
                  <c:v>-405.20207051281852</c:v>
                </c:pt>
                <c:pt idx="78" formatCode="0.0_ ">
                  <c:v>-237.12207692307976</c:v>
                </c:pt>
                <c:pt idx="79" formatCode="0.0_ ">
                  <c:v>133.73846794871719</c:v>
                </c:pt>
                <c:pt idx="80" formatCode="0.0_ ">
                  <c:v>382.49315384615232</c:v>
                </c:pt>
                <c:pt idx="81" formatCode="0.0_ ">
                  <c:v>375.74630769230981</c:v>
                </c:pt>
                <c:pt idx="82" formatCode="0.0_ ">
                  <c:v>407.3561538461538</c:v>
                </c:pt>
                <c:pt idx="83" formatCode="0.0_ ">
                  <c:v>543.48999999999728</c:v>
                </c:pt>
                <c:pt idx="84" formatCode="0.0_ ">
                  <c:v>38.095794871795249</c:v>
                </c:pt>
                <c:pt idx="85" formatCode="0.0_ ">
                  <c:v>51.691153846153952</c:v>
                </c:pt>
                <c:pt idx="86" formatCode="0.0_ ">
                  <c:v>84.714153846154431</c:v>
                </c:pt>
                <c:pt idx="87" formatCode="0.0_ ">
                  <c:v>44.667076923078639</c:v>
                </c:pt>
                <c:pt idx="88" formatCode="0.0_ ">
                  <c:v>102.30115384615283</c:v>
                </c:pt>
                <c:pt idx="89" formatCode="0.0_ ">
                  <c:v>201.29961538461532</c:v>
                </c:pt>
                <c:pt idx="90" formatCode="0.0_ ">
                  <c:v>385.28730769230594</c:v>
                </c:pt>
                <c:pt idx="91" formatCode="0.0_ ">
                  <c:v>1764.3204615384625</c:v>
                </c:pt>
                <c:pt idx="92" formatCode="0.0_ ">
                  <c:v>986.74515384614915</c:v>
                </c:pt>
                <c:pt idx="93" formatCode="0.0_ ">
                  <c:v>-484.09669230769225</c:v>
                </c:pt>
                <c:pt idx="94" formatCode="0.0_ ">
                  <c:v>-15.475538461539031</c:v>
                </c:pt>
              </c:numCache>
            </c:numRef>
          </c:val>
          <c:smooth val="0"/>
          <c:extLst>
            <c:ext xmlns:c16="http://schemas.microsoft.com/office/drawing/2014/chart" uri="{C3380CC4-5D6E-409C-BE32-E72D297353CC}">
              <c16:uniqueId val="{00000003-10FB-D549-95CD-0E1641FF9A93}"/>
            </c:ext>
          </c:extLst>
        </c:ser>
        <c:ser>
          <c:idx val="3"/>
          <c:order val="3"/>
          <c:tx>
            <c:strRef>
              <c:f>'三部门收支-支出合并'!$A$95</c:f>
              <c:strCache>
                <c:ptCount val="1"/>
                <c:pt idx="0">
                  <c:v>II类家庭收支-里根执政后-副轴</c:v>
                </c:pt>
              </c:strCache>
            </c:strRef>
          </c:tx>
          <c:spPr>
            <a:ln w="19050" cap="rnd" cmpd="dbl">
              <a:solidFill>
                <a:schemeClr val="tx1"/>
              </a:solidFill>
              <a:prstDash val="dash"/>
              <a:round/>
            </a:ln>
            <a:effectLst/>
          </c:spPr>
          <c:marker>
            <c:symbol val="none"/>
          </c:marker>
          <c:cat>
            <c:strRef>
              <c:f>'三部门收支-支出合并'!$B$91:$CR$91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'三部门收支-支出合并'!$B$95:$CR$95</c:f>
              <c:numCache>
                <c:formatCode>General</c:formatCode>
                <c:ptCount val="95"/>
                <c:pt idx="51" formatCode="0.0_ ">
                  <c:v>-314.31307692307678</c:v>
                </c:pt>
                <c:pt idx="52" formatCode="0.0_ ">
                  <c:v>-355.71092307692356</c:v>
                </c:pt>
                <c:pt idx="53" formatCode="0.0_ ">
                  <c:v>-371.24348717948698</c:v>
                </c:pt>
                <c:pt idx="54" formatCode="0.0_ ">
                  <c:v>-475.15584615384557</c:v>
                </c:pt>
                <c:pt idx="55" formatCode="0.0_ ">
                  <c:v>-519.85189743589729</c:v>
                </c:pt>
                <c:pt idx="56" formatCode="0.0_ ">
                  <c:v>-602.04574358974412</c:v>
                </c:pt>
                <c:pt idx="57" formatCode="0.0_ ">
                  <c:v>-657.53400000000011</c:v>
                </c:pt>
                <c:pt idx="58" formatCode="0.0_ ">
                  <c:v>-692.77107692307709</c:v>
                </c:pt>
                <c:pt idx="59" formatCode="0.0_ ">
                  <c:v>-698.47384615384658</c:v>
                </c:pt>
                <c:pt idx="60" formatCode="0.0_ ">
                  <c:v>-794.88846153846089</c:v>
                </c:pt>
                <c:pt idx="61" formatCode="0.0_ ">
                  <c:v>-793.97241025640983</c:v>
                </c:pt>
                <c:pt idx="62" formatCode="0.0_ ">
                  <c:v>-744.21289743589818</c:v>
                </c:pt>
                <c:pt idx="63" formatCode="0.0_ ">
                  <c:v>-741.02420512820595</c:v>
                </c:pt>
                <c:pt idx="64" formatCode="0.0_ ">
                  <c:v>-848.88282051281953</c:v>
                </c:pt>
                <c:pt idx="65" formatCode="0.0_ ">
                  <c:v>-954.67933333333281</c:v>
                </c:pt>
                <c:pt idx="66" formatCode="0.0_ ">
                  <c:v>-981.08962820512772</c:v>
                </c:pt>
                <c:pt idx="67" formatCode="0.0_ ">
                  <c:v>-1059.0468461538467</c:v>
                </c:pt>
                <c:pt idx="68" formatCode="0.0_ ">
                  <c:v>-1119.5855256410255</c:v>
                </c:pt>
                <c:pt idx="69" formatCode="0.0_ ">
                  <c:v>-1160.3693333333329</c:v>
                </c:pt>
                <c:pt idx="70" formatCode="0.0_ ">
                  <c:v>-1278.5755897435899</c:v>
                </c:pt>
                <c:pt idx="71" formatCode="0.0_ ">
                  <c:v>-1387.8617948717952</c:v>
                </c:pt>
                <c:pt idx="72" formatCode="0.0_ ">
                  <c:v>-1357.535692307692</c:v>
                </c:pt>
                <c:pt idx="73" formatCode="0.0_ ">
                  <c:v>-1219.8949999999982</c:v>
                </c:pt>
                <c:pt idx="74" formatCode="0.0_ ">
                  <c:v>-1341.4477435897429</c:v>
                </c:pt>
                <c:pt idx="75" formatCode="0.0_ ">
                  <c:v>-1541.2583333333321</c:v>
                </c:pt>
                <c:pt idx="76" formatCode="0.0_ ">
                  <c:v>-1927.6579999999988</c:v>
                </c:pt>
                <c:pt idx="77" formatCode="0.0_ ">
                  <c:v>-2011.5461730769214</c:v>
                </c:pt>
                <c:pt idx="78" formatCode="0.0_ ">
                  <c:v>-2024.0405384615415</c:v>
                </c:pt>
                <c:pt idx="79" formatCode="0.0_ ">
                  <c:v>-1686.7617884615393</c:v>
                </c:pt>
                <c:pt idx="80" formatCode="0.0_ ">
                  <c:v>-1110.6280000000015</c:v>
                </c:pt>
                <c:pt idx="81" formatCode="0.0_ ">
                  <c:v>-1005.8859999999974</c:v>
                </c:pt>
                <c:pt idx="82" formatCode="0.0_ ">
                  <c:v>-1102.6699999999998</c:v>
                </c:pt>
                <c:pt idx="83" formatCode="0.0_ ">
                  <c:v>-1139.8100000000022</c:v>
                </c:pt>
                <c:pt idx="84" formatCode="0.0_ ">
                  <c:v>-1517.3860000000004</c:v>
                </c:pt>
                <c:pt idx="85" formatCode="0.0_ ">
                  <c:v>-1684.2299999999996</c:v>
                </c:pt>
                <c:pt idx="86" formatCode="0.0_ ">
                  <c:v>-1800.3920000000003</c:v>
                </c:pt>
                <c:pt idx="87" formatCode="0.0_ ">
                  <c:v>-1896.1859999999972</c:v>
                </c:pt>
                <c:pt idx="88" formatCode="0.0_ ">
                  <c:v>-2016.4600000000014</c:v>
                </c:pt>
                <c:pt idx="89" formatCode="0.0_ ">
                  <c:v>-2074.0700000000002</c:v>
                </c:pt>
                <c:pt idx="90" formatCode="0.0_ ">
                  <c:v>-2023.3100000000006</c:v>
                </c:pt>
                <c:pt idx="91" formatCode="0.0_ ">
                  <c:v>-633.13492307692286</c:v>
                </c:pt>
                <c:pt idx="92" formatCode="0.0_ ">
                  <c:v>-1651.2683076923124</c:v>
                </c:pt>
                <c:pt idx="93" formatCode="0.0_ ">
                  <c:v>-3307.3586153846159</c:v>
                </c:pt>
                <c:pt idx="94" formatCode="0.0_ ">
                  <c:v>-2971.2709230769224</c:v>
                </c:pt>
              </c:numCache>
            </c:numRef>
          </c:val>
          <c:smooth val="0"/>
          <c:extLst>
            <c:ext xmlns:c16="http://schemas.microsoft.com/office/drawing/2014/chart" uri="{C3380CC4-5D6E-409C-BE32-E72D297353CC}">
              <c16:uniqueId val="{00000004-10FB-D549-95CD-0E1641FF9A93}"/>
            </c:ext>
          </c:extLst>
        </c:ser>
        <c:ser>
          <c:idx val="5"/>
          <c:order val="5"/>
          <c:tx>
            <c:strRef>
              <c:f>'三部门收支-支出合并'!$A$97</c:f>
              <c:strCache>
                <c:ptCount val="1"/>
                <c:pt idx="0">
                  <c:v>III类家庭收支-里根执政后-副轴</c:v>
                </c:pt>
              </c:strCache>
            </c:strRef>
          </c:tx>
          <c:spPr>
            <a:ln w="19050" cap="rnd">
              <a:solidFill>
                <a:schemeClr val="tx1"/>
              </a:solidFill>
              <a:prstDash val="sysDash"/>
              <a:round/>
            </a:ln>
            <a:effectLst/>
          </c:spPr>
          <c:marker>
            <c:symbol val="none"/>
          </c:marker>
          <c:cat>
            <c:strRef>
              <c:f>'三部门收支-支出合并'!$B$91:$CR$91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'三部门收支-支出合并'!$B$97:$CR$97</c:f>
              <c:numCache>
                <c:formatCode>General</c:formatCode>
                <c:ptCount val="95"/>
                <c:pt idx="51" formatCode="0.00_ ">
                  <c:v>-246.66910256410242</c:v>
                </c:pt>
                <c:pt idx="52" formatCode="0.00_ ">
                  <c:v>-301.13738461538509</c:v>
                </c:pt>
                <c:pt idx="53" formatCode="0.00_ ">
                  <c:v>-344.22943589743568</c:v>
                </c:pt>
                <c:pt idx="54" formatCode="0.00_ ">
                  <c:v>-409.71466666666606</c:v>
                </c:pt>
                <c:pt idx="55" formatCode="0.00_ ">
                  <c:v>-435.58535897435883</c:v>
                </c:pt>
                <c:pt idx="56" formatCode="0.00_ ">
                  <c:v>-519.72625641025695</c:v>
                </c:pt>
                <c:pt idx="57" formatCode="0.00_ ">
                  <c:v>-553.37466666666683</c:v>
                </c:pt>
                <c:pt idx="58" formatCode="0.00_ ">
                  <c:v>-589.934153846154</c:v>
                </c:pt>
                <c:pt idx="59" formatCode="0.00_ ">
                  <c:v>-609.36330769230813</c:v>
                </c:pt>
                <c:pt idx="60" formatCode="0.00_ ">
                  <c:v>-725.38446153846087</c:v>
                </c:pt>
                <c:pt idx="61" formatCode="0.00_ ">
                  <c:v>-766.48702564102518</c:v>
                </c:pt>
                <c:pt idx="62" formatCode="0.00_ ">
                  <c:v>-757.01894871794946</c:v>
                </c:pt>
                <c:pt idx="63" formatCode="0.00_ ">
                  <c:v>-745.42861538461614</c:v>
                </c:pt>
                <c:pt idx="64" formatCode="0.00_ ">
                  <c:v>-837.57328205128113</c:v>
                </c:pt>
                <c:pt idx="65" formatCode="0.00_ ">
                  <c:v>-921.05151282051236</c:v>
                </c:pt>
                <c:pt idx="66" formatCode="0.00_ ">
                  <c:v>-965.25449999999955</c:v>
                </c:pt>
                <c:pt idx="67" formatCode="0.00_ ">
                  <c:v>-1024.3498461538468</c:v>
                </c:pt>
                <c:pt idx="68" formatCode="0.00_ ">
                  <c:v>-1085.4920897435898</c:v>
                </c:pt>
                <c:pt idx="69" formatCode="0.00_ ">
                  <c:v>-1102.3159999999996</c:v>
                </c:pt>
                <c:pt idx="70" formatCode="0.00_ ">
                  <c:v>-1192.7737435897441</c:v>
                </c:pt>
                <c:pt idx="71" formatCode="0.00_ ">
                  <c:v>-1303.9674358974362</c:v>
                </c:pt>
                <c:pt idx="72" formatCode="0.00_ ">
                  <c:v>-1280.1287692307692</c:v>
                </c:pt>
                <c:pt idx="73" formatCode="0.00_ ">
                  <c:v>-1135.7166666666649</c:v>
                </c:pt>
                <c:pt idx="74" formatCode="0.00_ ">
                  <c:v>-1208.8528717948711</c:v>
                </c:pt>
                <c:pt idx="75" formatCode="0.00_ ">
                  <c:v>-1333.0799999999988</c:v>
                </c:pt>
                <c:pt idx="76" formatCode="0.00_ ">
                  <c:v>-1658.9112051282036</c:v>
                </c:pt>
                <c:pt idx="77" formatCode="0.00_ ">
                  <c:v>-1788.9942499999981</c:v>
                </c:pt>
                <c:pt idx="78" formatCode="0.00_ ">
                  <c:v>-1983.5695128205157</c:v>
                </c:pt>
                <c:pt idx="79" formatCode="0.00_ ">
                  <c:v>-1850.7070448717955</c:v>
                </c:pt>
                <c:pt idx="80" formatCode="0.00_ ">
                  <c:v>-1426.0381282051299</c:v>
                </c:pt>
                <c:pt idx="81" formatCode="0.00_ ">
                  <c:v>-1352.7054871794844</c:v>
                </c:pt>
                <c:pt idx="82" formatCode="0.00_ ">
                  <c:v>-1476.2692307692305</c:v>
                </c:pt>
                <c:pt idx="83" formatCode="0.00_ ">
                  <c:v>-1483.0300000000022</c:v>
                </c:pt>
                <c:pt idx="84" formatCode="0.00_ ">
                  <c:v>-1780.0798461538466</c:v>
                </c:pt>
                <c:pt idx="85" formatCode="0.00_ ">
                  <c:v>-1925.8665384615379</c:v>
                </c:pt>
                <c:pt idx="86" formatCode="0.00_ ">
                  <c:v>-2020.3827692307696</c:v>
                </c:pt>
                <c:pt idx="87" formatCode="0.00_ ">
                  <c:v>-2099.0031794871766</c:v>
                </c:pt>
                <c:pt idx="88" formatCode="0.00_ ">
                  <c:v>-2192.4946153846167</c:v>
                </c:pt>
                <c:pt idx="89" formatCode="0.00_ ">
                  <c:v>-2257.164487179487</c:v>
                </c:pt>
                <c:pt idx="90" formatCode="0.00_ ">
                  <c:v>-2247.0602564102574</c:v>
                </c:pt>
                <c:pt idx="91" formatCode="0.00_ ">
                  <c:v>-718.93441025641016</c:v>
                </c:pt>
                <c:pt idx="92" formatCode="0.00_ ">
                  <c:v>-1644.7170256410302</c:v>
                </c:pt>
                <c:pt idx="93" formatCode="0.00_ ">
                  <c:v>-3322.8360512820518</c:v>
                </c:pt>
                <c:pt idx="94" formatCode="0.00_ ">
                  <c:v>-3173.8237435897431</c:v>
                </c:pt>
              </c:numCache>
            </c:numRef>
          </c:val>
          <c:smooth val="0"/>
          <c:extLst>
            <c:ext xmlns:c16="http://schemas.microsoft.com/office/drawing/2014/chart" uri="{C3380CC4-5D6E-409C-BE32-E72D297353CC}">
              <c16:uniqueId val="{00000005-10FB-D549-95CD-0E1641FF9A93}"/>
            </c:ext>
          </c:extLst>
        </c:ser>
        <c:dLbls>
          <c:showLegendKey val="0"/>
          <c:showVal val="0"/>
          <c:showCatName val="0"/>
          <c:showSerName val="0"/>
          <c:showPercent val="0"/>
          <c:showBubbleSize val="0"/>
        </c:dLbls>
        <c:marker val="1"/>
        <c:smooth val="0"/>
        <c:axId val="628582271"/>
        <c:axId val="628579311"/>
      </c:lineChart>
      <c:catAx>
        <c:axId val="525665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525666783"/>
        <c:crosses val="autoZero"/>
        <c:auto val="1"/>
        <c:lblAlgn val="ctr"/>
        <c:lblOffset val="100"/>
        <c:noMultiLvlLbl val="0"/>
      </c:catAx>
      <c:valAx>
        <c:axId val="5256667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10</a:t>
                </a:r>
                <a:r>
                  <a:rPr lang="zh-CN" altLang="en-US" sz="900">
                    <a:latin typeface="Times New Roman" panose="02020603050405020304" pitchFamily="18" charset="0"/>
                    <a:ea typeface="SimSun" panose="02010600030101010101" pitchFamily="2" charset="-122"/>
                    <a:cs typeface="Times New Roman" panose="02020603050405020304" pitchFamily="18" charset="0"/>
                  </a:rPr>
                  <a:t>亿美元</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numFmt formatCode="0.0_ "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525665071"/>
        <c:crosses val="autoZero"/>
        <c:crossBetween val="between"/>
      </c:valAx>
      <c:valAx>
        <c:axId val="628579311"/>
        <c:scaling>
          <c:orientation val="minMax"/>
        </c:scaling>
        <c:delete val="0"/>
        <c:axPos val="r"/>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10</a:t>
                </a:r>
                <a:r>
                  <a:rPr lang="zh-CN" altLang="en-US" sz="900">
                    <a:latin typeface="Times New Roman" panose="02020603050405020304" pitchFamily="18" charset="0"/>
                    <a:ea typeface="SimSun" panose="02010600030101010101" pitchFamily="2" charset="-122"/>
                    <a:cs typeface="Times New Roman" panose="02020603050405020304" pitchFamily="18" charset="0"/>
                  </a:rPr>
                  <a:t>亿美元</a:t>
                </a:r>
              </a:p>
            </c:rich>
          </c:tx>
          <c:layout>
            <c:manualLayout>
              <c:xMode val="edge"/>
              <c:yMode val="edge"/>
              <c:x val="0.92865645972255795"/>
              <c:y val="0.19031598959277571"/>
            </c:manualLayout>
          </c:layout>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28582271"/>
        <c:crosses val="max"/>
        <c:crossBetween val="between"/>
      </c:valAx>
      <c:catAx>
        <c:axId val="628582271"/>
        <c:scaling>
          <c:orientation val="minMax"/>
        </c:scaling>
        <c:delete val="1"/>
        <c:axPos val="b"/>
        <c:numFmt formatCode="General" sourceLinked="1"/>
        <c:majorTickMark val="out"/>
        <c:minorTickMark val="none"/>
        <c:tickLblPos val="nextTo"/>
        <c:crossAx val="628579311"/>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'三部门收支-支出合并'!$A$257</c:f>
              <c:strCache>
                <c:ptCount val="1"/>
                <c:pt idx="0">
                  <c:v>实际折旧</c:v>
                </c:pt>
              </c:strCache>
            </c:strRef>
          </c:tx>
          <c:spPr>
            <a:ln w="19050" cap="rnd">
              <a:solidFill>
                <a:schemeClr val="tx1"/>
              </a:solidFill>
              <a:round/>
            </a:ln>
            <a:effectLst/>
          </c:spPr>
          <c:marker>
            <c:symbol val="none"/>
          </c:marker>
          <c:cat>
            <c:numRef>
              <c:f>'三部门收支-支出合并'!$B$256:$CB$256</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'三部门收支-支出合并'!$B$257:$CB$257</c:f>
              <c:numCache>
                <c:formatCode>0.0</c:formatCode>
                <c:ptCount val="79"/>
                <c:pt idx="0">
                  <c:v>3.4267849158063339</c:v>
                </c:pt>
                <c:pt idx="1">
                  <c:v>3.7491104907366939</c:v>
                </c:pt>
                <c:pt idx="2">
                  <c:v>4.9833922974827249</c:v>
                </c:pt>
                <c:pt idx="3">
                  <c:v>6.100483267440052</c:v>
                </c:pt>
                <c:pt idx="4">
                  <c:v>7.0800329079153821</c:v>
                </c:pt>
                <c:pt idx="5">
                  <c:v>7.3196558645263794</c:v>
                </c:pt>
                <c:pt idx="6">
                  <c:v>8.2984583213410179</c:v>
                </c:pt>
                <c:pt idx="7">
                  <c:v>8.9368452352402059</c:v>
                </c:pt>
                <c:pt idx="8">
                  <c:v>9.6487830099526626</c:v>
                </c:pt>
                <c:pt idx="9">
                  <c:v>10.429107166143561</c:v>
                </c:pt>
                <c:pt idx="10">
                  <c:v>11.114875509889368</c:v>
                </c:pt>
                <c:pt idx="11">
                  <c:v>12.566673133865956</c:v>
                </c:pt>
                <c:pt idx="12">
                  <c:v>14.37235741069275</c:v>
                </c:pt>
                <c:pt idx="13">
                  <c:v>15.882848216436553</c:v>
                </c:pt>
                <c:pt idx="14">
                  <c:v>16.824762751540153</c:v>
                </c:pt>
                <c:pt idx="15">
                  <c:v>17.865847831285119</c:v>
                </c:pt>
                <c:pt idx="16">
                  <c:v>18.969958286535341</c:v>
                </c:pt>
                <c:pt idx="17">
                  <c:v>20.149286831820369</c:v>
                </c:pt>
                <c:pt idx="18">
                  <c:v>21.655701524595926</c:v>
                </c:pt>
                <c:pt idx="19">
                  <c:v>23.578098861030831</c:v>
                </c:pt>
                <c:pt idx="20">
                  <c:v>26.018425323039001</c:v>
                </c:pt>
                <c:pt idx="21">
                  <c:v>28.926487053662054</c:v>
                </c:pt>
                <c:pt idx="22">
                  <c:v>32.267321748077052</c:v>
                </c:pt>
                <c:pt idx="23">
                  <c:v>36.103685292800314</c:v>
                </c:pt>
                <c:pt idx="24">
                  <c:v>40.276114478738997</c:v>
                </c:pt>
                <c:pt idx="25">
                  <c:v>44.215703472561771</c:v>
                </c:pt>
                <c:pt idx="26">
                  <c:v>47.657231190550945</c:v>
                </c:pt>
                <c:pt idx="27">
                  <c:v>51.828580363454599</c:v>
                </c:pt>
                <c:pt idx="28">
                  <c:v>56.539705998626147</c:v>
                </c:pt>
                <c:pt idx="29">
                  <c:v>60.665978659037641</c:v>
                </c:pt>
                <c:pt idx="30">
                  <c:v>70.869092007033913</c:v>
                </c:pt>
                <c:pt idx="31">
                  <c:v>77.804112632662935</c:v>
                </c:pt>
                <c:pt idx="32">
                  <c:v>88.79675430276734</c:v>
                </c:pt>
                <c:pt idx="33">
                  <c:v>99.623729549003301</c:v>
                </c:pt>
                <c:pt idx="34">
                  <c:v>112.89223556257227</c:v>
                </c:pt>
                <c:pt idx="35">
                  <c:v>127.31644102428454</c:v>
                </c:pt>
                <c:pt idx="36">
                  <c:v>144.69017738431427</c:v>
                </c:pt>
                <c:pt idx="37">
                  <c:v>167.1084976232344</c:v>
                </c:pt>
                <c:pt idx="38">
                  <c:v>182.67958245592069</c:v>
                </c:pt>
                <c:pt idx="39">
                  <c:v>199.65028377417326</c:v>
                </c:pt>
                <c:pt idx="40">
                  <c:v>223.58703737043189</c:v>
                </c:pt>
                <c:pt idx="41">
                  <c:v>251.17781386394486</c:v>
                </c:pt>
                <c:pt idx="42">
                  <c:v>270.17407515147914</c:v>
                </c:pt>
                <c:pt idx="43">
                  <c:v>287.22718811093443</c:v>
                </c:pt>
                <c:pt idx="44">
                  <c:v>311.08587818043316</c:v>
                </c:pt>
                <c:pt idx="45">
                  <c:v>351.30653561413897</c:v>
                </c:pt>
                <c:pt idx="46">
                  <c:v>393.41626112975808</c:v>
                </c:pt>
                <c:pt idx="47">
                  <c:v>425.83379506382005</c:v>
                </c:pt>
                <c:pt idx="48">
                  <c:v>446.4753973604117</c:v>
                </c:pt>
                <c:pt idx="49">
                  <c:v>458.68517857874241</c:v>
                </c:pt>
                <c:pt idx="50">
                  <c:v>492.3394669348055</c:v>
                </c:pt>
                <c:pt idx="51">
                  <c:v>529.31235022437409</c:v>
                </c:pt>
                <c:pt idx="52">
                  <c:v>520.52077446026897</c:v>
                </c:pt>
                <c:pt idx="53">
                  <c:v>542.25482041158659</c:v>
                </c:pt>
                <c:pt idx="54">
                  <c:v>588.84384509076835</c:v>
                </c:pt>
                <c:pt idx="55">
                  <c:v>625.54123388179164</c:v>
                </c:pt>
                <c:pt idx="56">
                  <c:v>700.93337694605339</c:v>
                </c:pt>
                <c:pt idx="57">
                  <c:v>723.92380458687398</c:v>
                </c:pt>
                <c:pt idx="58">
                  <c:v>736.53982960247333</c:v>
                </c:pt>
                <c:pt idx="59">
                  <c:v>709.61016933921644</c:v>
                </c:pt>
                <c:pt idx="60">
                  <c:v>749.00075034320469</c:v>
                </c:pt>
                <c:pt idx="61">
                  <c:v>805.04162014431029</c:v>
                </c:pt>
                <c:pt idx="62">
                  <c:v>797.49093714595131</c:v>
                </c:pt>
                <c:pt idx="63">
                  <c:v>880.69440302509975</c:v>
                </c:pt>
                <c:pt idx="64">
                  <c:v>1076.6981323700052</c:v>
                </c:pt>
                <c:pt idx="65">
                  <c:v>978.61279180813813</c:v>
                </c:pt>
                <c:pt idx="66">
                  <c:v>942.91084709634526</c:v>
                </c:pt>
                <c:pt idx="67">
                  <c:v>967.71904618399117</c:v>
                </c:pt>
                <c:pt idx="68">
                  <c:v>961.08855077674616</c:v>
                </c:pt>
                <c:pt idx="69">
                  <c:v>989.92842462085457</c:v>
                </c:pt>
                <c:pt idx="70">
                  <c:v>1009.4752464387177</c:v>
                </c:pt>
                <c:pt idx="71">
                  <c:v>1121.0619686804073</c:v>
                </c:pt>
                <c:pt idx="72">
                  <c:v>1149.9747041212879</c:v>
                </c:pt>
                <c:pt idx="73">
                  <c:v>1243.7348653152872</c:v>
                </c:pt>
                <c:pt idx="74">
                  <c:v>1300.4476038360365</c:v>
                </c:pt>
                <c:pt idx="75">
                  <c:v>1331.4587242754321</c:v>
                </c:pt>
                <c:pt idx="76">
                  <c:v>1286.6209602679564</c:v>
                </c:pt>
                <c:pt idx="77">
                  <c:v>1435.9573148559714</c:v>
                </c:pt>
                <c:pt idx="78">
                  <c:v>1657.1992676348868</c:v>
                </c:pt>
              </c:numCache>
            </c:numRef>
          </c:val>
          <c:smooth val="0"/>
          <c:extLst>
            <c:ext xmlns:c16="http://schemas.microsoft.com/office/drawing/2014/chart" uri="{C3380CC4-5D6E-409C-BE32-E72D297353CC}">
              <c16:uniqueId val="{00000000-264E-FF4D-919D-42363E1A6A0C}"/>
            </c:ext>
          </c:extLst>
        </c:ser>
        <c:ser>
          <c:idx val="1"/>
          <c:order val="1"/>
          <c:tx>
            <c:strRef>
              <c:f>'三部门收支-支出合并'!$A$258</c:f>
              <c:strCache>
                <c:ptCount val="1"/>
                <c:pt idx="0">
                  <c:v>市价折旧</c:v>
                </c:pt>
              </c:strCache>
            </c:strRef>
          </c:tx>
          <c:spPr>
            <a:ln w="19050" cap="rnd">
              <a:solidFill>
                <a:schemeClr val="tx1"/>
              </a:solidFill>
              <a:prstDash val="sysDot"/>
              <a:round/>
            </a:ln>
            <a:effectLst/>
          </c:spPr>
          <c:marker>
            <c:symbol val="none"/>
          </c:marker>
          <c:cat>
            <c:numRef>
              <c:f>'三部门收支-支出合并'!$B$256:$CB$256</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'三部门收支-支出合并'!$B$258:$CB$258</c:f>
              <c:numCache>
                <c:formatCode>General</c:formatCode>
                <c:ptCount val="79"/>
                <c:pt idx="0">
                  <c:v>6.8900000000000006</c:v>
                </c:pt>
                <c:pt idx="1">
                  <c:v>8.3349999999999991</c:v>
                </c:pt>
                <c:pt idx="2">
                  <c:v>11.835000000000001</c:v>
                </c:pt>
                <c:pt idx="3">
                  <c:v>14.425000000000001</c:v>
                </c:pt>
                <c:pt idx="4">
                  <c:v>15.970000000000002</c:v>
                </c:pt>
                <c:pt idx="5">
                  <c:v>16.82</c:v>
                </c:pt>
                <c:pt idx="6">
                  <c:v>19.454999999999998</c:v>
                </c:pt>
                <c:pt idx="7">
                  <c:v>20.32</c:v>
                </c:pt>
                <c:pt idx="8">
                  <c:v>21.1</c:v>
                </c:pt>
                <c:pt idx="9">
                  <c:v>21.865000000000002</c:v>
                </c:pt>
                <c:pt idx="10">
                  <c:v>23.61</c:v>
                </c:pt>
                <c:pt idx="11">
                  <c:v>27.154999999999998</c:v>
                </c:pt>
                <c:pt idx="12">
                  <c:v>30.314999999999998</c:v>
                </c:pt>
                <c:pt idx="13">
                  <c:v>32.32</c:v>
                </c:pt>
                <c:pt idx="14">
                  <c:v>33.54</c:v>
                </c:pt>
                <c:pt idx="15">
                  <c:v>34.175000000000004</c:v>
                </c:pt>
                <c:pt idx="16">
                  <c:v>35.18</c:v>
                </c:pt>
                <c:pt idx="17">
                  <c:v>36.5</c:v>
                </c:pt>
                <c:pt idx="18">
                  <c:v>38.305000000000007</c:v>
                </c:pt>
                <c:pt idx="19">
                  <c:v>41.319999999999993</c:v>
                </c:pt>
                <c:pt idx="20">
                  <c:v>45.195</c:v>
                </c:pt>
                <c:pt idx="21">
                  <c:v>50.285000000000004</c:v>
                </c:pt>
                <c:pt idx="22">
                  <c:v>56.045000000000002</c:v>
                </c:pt>
                <c:pt idx="23">
                  <c:v>63.514999999999993</c:v>
                </c:pt>
                <c:pt idx="24">
                  <c:v>72.14500000000001</c:v>
                </c:pt>
                <c:pt idx="25">
                  <c:v>80.704999999999998</c:v>
                </c:pt>
                <c:pt idx="26">
                  <c:v>89.07</c:v>
                </c:pt>
                <c:pt idx="27">
                  <c:v>98.204999999999998</c:v>
                </c:pt>
                <c:pt idx="28">
                  <c:v>111.86499999999999</c:v>
                </c:pt>
                <c:pt idx="29">
                  <c:v>133.47999999999999</c:v>
                </c:pt>
                <c:pt idx="30">
                  <c:v>159.845</c:v>
                </c:pt>
                <c:pt idx="31">
                  <c:v>179.245</c:v>
                </c:pt>
                <c:pt idx="32">
                  <c:v>207.58499999999998</c:v>
                </c:pt>
                <c:pt idx="33">
                  <c:v>238.07499999999999</c:v>
                </c:pt>
                <c:pt idx="34">
                  <c:v>277.01499999999999</c:v>
                </c:pt>
                <c:pt idx="35">
                  <c:v>318.85000000000002</c:v>
                </c:pt>
                <c:pt idx="36">
                  <c:v>361.66999999999996</c:v>
                </c:pt>
                <c:pt idx="37">
                  <c:v>400.16999999999996</c:v>
                </c:pt>
                <c:pt idx="38">
                  <c:v>418.06</c:v>
                </c:pt>
                <c:pt idx="39">
                  <c:v>442.505</c:v>
                </c:pt>
                <c:pt idx="40">
                  <c:v>474.13</c:v>
                </c:pt>
                <c:pt idx="41">
                  <c:v>516.04500000000007</c:v>
                </c:pt>
                <c:pt idx="42">
                  <c:v>552.18999999999994</c:v>
                </c:pt>
                <c:pt idx="43">
                  <c:v>588.77499999999998</c:v>
                </c:pt>
                <c:pt idx="44">
                  <c:v>631.32500000000005</c:v>
                </c:pt>
                <c:pt idx="45">
                  <c:v>664.43</c:v>
                </c:pt>
                <c:pt idx="46">
                  <c:v>688.69</c:v>
                </c:pt>
                <c:pt idx="47">
                  <c:v>691.39</c:v>
                </c:pt>
                <c:pt idx="48">
                  <c:v>701.61500000000001</c:v>
                </c:pt>
                <c:pt idx="49">
                  <c:v>725.85500000000002</c:v>
                </c:pt>
                <c:pt idx="50">
                  <c:v>774.53500000000008</c:v>
                </c:pt>
                <c:pt idx="51">
                  <c:v>807.97500000000002</c:v>
                </c:pt>
                <c:pt idx="52">
                  <c:v>862.76499999999999</c:v>
                </c:pt>
                <c:pt idx="53">
                  <c:v>911.78000000000009</c:v>
                </c:pt>
                <c:pt idx="54">
                  <c:v>980.47500000000002</c:v>
                </c:pt>
                <c:pt idx="55">
                  <c:v>1075.5250000000001</c:v>
                </c:pt>
                <c:pt idx="56">
                  <c:v>1139.6600000000001</c:v>
                </c:pt>
                <c:pt idx="57">
                  <c:v>1184.6599999999999</c:v>
                </c:pt>
                <c:pt idx="58">
                  <c:v>1218.9649999999999</c:v>
                </c:pt>
                <c:pt idx="59">
                  <c:v>1290.7199999999998</c:v>
                </c:pt>
                <c:pt idx="60">
                  <c:v>1434.665</c:v>
                </c:pt>
                <c:pt idx="61">
                  <c:v>1597.865</c:v>
                </c:pt>
                <c:pt idx="62">
                  <c:v>1694.0450000000001</c:v>
                </c:pt>
                <c:pt idx="63">
                  <c:v>1685.145</c:v>
                </c:pt>
                <c:pt idx="64">
                  <c:v>1633.04</c:v>
                </c:pt>
                <c:pt idx="65">
                  <c:v>1564.5550000000001</c:v>
                </c:pt>
                <c:pt idx="66">
                  <c:v>1566.6750000000002</c:v>
                </c:pt>
                <c:pt idx="67">
                  <c:v>1627.575</c:v>
                </c:pt>
                <c:pt idx="68">
                  <c:v>1684.7049999999999</c:v>
                </c:pt>
                <c:pt idx="69">
                  <c:v>1792.6750000000002</c:v>
                </c:pt>
                <c:pt idx="70">
                  <c:v>1886.71</c:v>
                </c:pt>
                <c:pt idx="71">
                  <c:v>1949.7049999999999</c:v>
                </c:pt>
                <c:pt idx="72">
                  <c:v>2053.4</c:v>
                </c:pt>
                <c:pt idx="73">
                  <c:v>2163.3000000000002</c:v>
                </c:pt>
                <c:pt idx="74">
                  <c:v>2282.8000000000002</c:v>
                </c:pt>
                <c:pt idx="75">
                  <c:v>2378.8999999999996</c:v>
                </c:pt>
                <c:pt idx="76">
                  <c:v>2492.3000000000002</c:v>
                </c:pt>
                <c:pt idx="77">
                  <c:v>2756.6</c:v>
                </c:pt>
                <c:pt idx="78">
                  <c:v>2966.5</c:v>
                </c:pt>
              </c:numCache>
            </c:numRef>
          </c:val>
          <c:smooth val="0"/>
          <c:extLst>
            <c:ext xmlns:c16="http://schemas.microsoft.com/office/drawing/2014/chart" uri="{C3380CC4-5D6E-409C-BE32-E72D297353CC}">
              <c16:uniqueId val="{00000001-264E-FF4D-919D-42363E1A6A0C}"/>
            </c:ext>
          </c:extLst>
        </c:ser>
        <c:dLbls>
          <c:showLegendKey val="0"/>
          <c:showVal val="0"/>
          <c:showCatName val="0"/>
          <c:showSerName val="0"/>
          <c:showPercent val="0"/>
          <c:showBubbleSize val="0"/>
        </c:dLbls>
        <c:marker val="1"/>
        <c:smooth val="0"/>
        <c:axId val="1551121615"/>
        <c:axId val="1551123327"/>
      </c:lineChart>
      <c:lineChart>
        <c:grouping val="standard"/>
        <c:varyColors val="0"/>
        <c:ser>
          <c:idx val="2"/>
          <c:order val="2"/>
          <c:tx>
            <c:strRef>
              <c:f>'三部门收支-支出合并'!$A$259</c:f>
              <c:strCache>
                <c:ptCount val="1"/>
                <c:pt idx="0">
                  <c:v>实际折旧年均增长率（%）-副轴</c:v>
                </c:pt>
              </c:strCache>
            </c:strRef>
          </c:tx>
          <c:spPr>
            <a:ln w="22225" cap="rnd" cmpd="dbl">
              <a:solidFill>
                <a:schemeClr val="tx1"/>
              </a:solidFill>
              <a:round/>
            </a:ln>
            <a:effectLst/>
          </c:spPr>
          <c:marker>
            <c:symbol val="none"/>
          </c:marker>
          <c:cat>
            <c:numRef>
              <c:f>'三部门收支-支出合并'!$B$256:$CB$256</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'三部门收支-支出合并'!$B$259:$CB$259</c:f>
              <c:numCache>
                <c:formatCode>0.0</c:formatCode>
                <c:ptCount val="79"/>
                <c:pt idx="1">
                  <c:v>9.4060637842662977</c:v>
                </c:pt>
                <c:pt idx="2">
                  <c:v>32.921990690743733</c:v>
                </c:pt>
                <c:pt idx="3">
                  <c:v>22.416275967709915</c:v>
                </c:pt>
                <c:pt idx="4">
                  <c:v>16.05691873139714</c:v>
                </c:pt>
                <c:pt idx="5">
                  <c:v>3.3844893057361642</c:v>
                </c:pt>
                <c:pt idx="6">
                  <c:v>13.372246932513024</c:v>
                </c:pt>
                <c:pt idx="7">
                  <c:v>7.6928375028101081</c:v>
                </c:pt>
                <c:pt idx="8">
                  <c:v>7.9663209552416641</c:v>
                </c:pt>
                <c:pt idx="9">
                  <c:v>8.0872805967964965</c:v>
                </c:pt>
                <c:pt idx="10">
                  <c:v>6.5755230320390643</c:v>
                </c:pt>
                <c:pt idx="11">
                  <c:v>13.06175334743843</c:v>
                </c:pt>
                <c:pt idx="12">
                  <c:v>14.368833004501813</c:v>
                </c:pt>
                <c:pt idx="13">
                  <c:v>10.509694148157127</c:v>
                </c:pt>
                <c:pt idx="14">
                  <c:v>5.9303880655917114</c:v>
                </c:pt>
                <c:pt idx="15">
                  <c:v>6.1878143253441422</c:v>
                </c:pt>
                <c:pt idx="16">
                  <c:v>6.1800059290597984</c:v>
                </c:pt>
                <c:pt idx="17">
                  <c:v>6.2168220270790036</c:v>
                </c:pt>
                <c:pt idx="18">
                  <c:v>7.4762680453611949</c:v>
                </c:pt>
                <c:pt idx="19">
                  <c:v>8.8770956426948384</c:v>
                </c:pt>
                <c:pt idx="20">
                  <c:v>10.349971286452901</c:v>
                </c:pt>
                <c:pt idx="21">
                  <c:v>11.17693209530248</c:v>
                </c:pt>
                <c:pt idx="22">
                  <c:v>11.549396538256977</c:v>
                </c:pt>
                <c:pt idx="23">
                  <c:v>11.889315062077898</c:v>
                </c:pt>
                <c:pt idx="24">
                  <c:v>11.556795801039002</c:v>
                </c:pt>
                <c:pt idx="25">
                  <c:v>9.7814524683169459</c:v>
                </c:pt>
                <c:pt idx="26">
                  <c:v>7.7834964677760423</c:v>
                </c:pt>
                <c:pt idx="27">
                  <c:v>8.7528147747926894</c:v>
                </c:pt>
                <c:pt idx="28">
                  <c:v>9.0898218745992505</c:v>
                </c:pt>
                <c:pt idx="29">
                  <c:v>7.2980086958919781</c:v>
                </c:pt>
                <c:pt idx="30">
                  <c:v>16.818509440589523</c:v>
                </c:pt>
                <c:pt idx="31">
                  <c:v>9.785677266671776</c:v>
                </c:pt>
                <c:pt idx="32">
                  <c:v>14.128612612040234</c:v>
                </c:pt>
                <c:pt idx="33">
                  <c:v>12.192985353180347</c:v>
                </c:pt>
                <c:pt idx="34">
                  <c:v>13.318620045279877</c:v>
                </c:pt>
                <c:pt idx="35">
                  <c:v>12.776968575236902</c:v>
                </c:pt>
                <c:pt idx="36">
                  <c:v>13.646105891945117</c:v>
                </c:pt>
                <c:pt idx="37">
                  <c:v>15.494016694287696</c:v>
                </c:pt>
                <c:pt idx="38">
                  <c:v>9.3179491492964779</c:v>
                </c:pt>
                <c:pt idx="39">
                  <c:v>9.2898730608536813</c:v>
                </c:pt>
                <c:pt idx="40">
                  <c:v>11.989341133786599</c:v>
                </c:pt>
                <c:pt idx="41">
                  <c:v>12.340060863099794</c:v>
                </c:pt>
                <c:pt idx="42">
                  <c:v>7.5628738841655663</c:v>
                </c:pt>
                <c:pt idx="43">
                  <c:v>6.311898338097051</c:v>
                </c:pt>
                <c:pt idx="44">
                  <c:v>8.3065569894044593</c:v>
                </c:pt>
                <c:pt idx="45">
                  <c:v>12.929117087847169</c:v>
                </c:pt>
                <c:pt idx="46">
                  <c:v>11.986604644859426</c:v>
                </c:pt>
                <c:pt idx="47">
                  <c:v>8.2400086465591933</c:v>
                </c:pt>
                <c:pt idx="48">
                  <c:v>4.8473377491089185</c:v>
                </c:pt>
                <c:pt idx="49">
                  <c:v>2.7347041495490312</c:v>
                </c:pt>
                <c:pt idx="50">
                  <c:v>7.3371213912650255</c:v>
                </c:pt>
                <c:pt idx="51">
                  <c:v>7.5096322299232714</c:v>
                </c:pt>
                <c:pt idx="52">
                  <c:v>-1.6609428743497849</c:v>
                </c:pt>
                <c:pt idx="53">
                  <c:v>4.1754425601655933</c:v>
                </c:pt>
                <c:pt idx="54">
                  <c:v>8.5917216270792007</c:v>
                </c:pt>
                <c:pt idx="55">
                  <c:v>6.2321087495389378</c:v>
                </c:pt>
                <c:pt idx="56">
                  <c:v>12.052305904187378</c:v>
                </c:pt>
                <c:pt idx="57">
                  <c:v>3.2799733037381142</c:v>
                </c:pt>
                <c:pt idx="58">
                  <c:v>1.7427283003629106</c:v>
                </c:pt>
                <c:pt idx="59">
                  <c:v>-3.6562395108749812</c:v>
                </c:pt>
                <c:pt idx="60">
                  <c:v>5.5510169817138406</c:v>
                </c:pt>
                <c:pt idx="61">
                  <c:v>7.4820846007733284</c:v>
                </c:pt>
                <c:pt idx="62">
                  <c:v>-0.93792455065931346</c:v>
                </c:pt>
                <c:pt idx="63">
                  <c:v>10.433155037086159</c:v>
                </c:pt>
                <c:pt idx="64">
                  <c:v>22.255589302220116</c:v>
                </c:pt>
                <c:pt idx="65">
                  <c:v>-9.1098273149191478</c:v>
                </c:pt>
                <c:pt idx="66">
                  <c:v>-3.6482197055515706</c:v>
                </c:pt>
                <c:pt idx="67">
                  <c:v>2.6310227699725504</c:v>
                </c:pt>
                <c:pt idx="68">
                  <c:v>-0.68516739785075598</c:v>
                </c:pt>
                <c:pt idx="69">
                  <c:v>3.0007509527400145</c:v>
                </c:pt>
                <c:pt idx="70">
                  <c:v>1.9745692043694596</c:v>
                </c:pt>
                <c:pt idx="71">
                  <c:v>11.05393348032568</c:v>
                </c:pt>
                <c:pt idx="72">
                  <c:v>2.5790488169814165</c:v>
                </c:pt>
                <c:pt idx="73">
                  <c:v>8.1532368371217974</c:v>
                </c:pt>
                <c:pt idx="74">
                  <c:v>4.5598736597588774</c:v>
                </c:pt>
                <c:pt idx="75">
                  <c:v>2.3846497427439308</c:v>
                </c:pt>
                <c:pt idx="76">
                  <c:v>-3.3675669541972471</c:v>
                </c:pt>
                <c:pt idx="77">
                  <c:v>11.606864741027817</c:v>
                </c:pt>
                <c:pt idx="78">
                  <c:v>15.407279206005253</c:v>
                </c:pt>
              </c:numCache>
            </c:numRef>
          </c:val>
          <c:smooth val="0"/>
          <c:extLst>
            <c:ext xmlns:c16="http://schemas.microsoft.com/office/drawing/2014/chart" uri="{C3380CC4-5D6E-409C-BE32-E72D297353CC}">
              <c16:uniqueId val="{00000002-264E-FF4D-919D-42363E1A6A0C}"/>
            </c:ext>
          </c:extLst>
        </c:ser>
        <c:ser>
          <c:idx val="3"/>
          <c:order val="3"/>
          <c:tx>
            <c:strRef>
              <c:f>'三部门收支-支出合并'!$A$260</c:f>
              <c:strCache>
                <c:ptCount val="1"/>
                <c:pt idx="0">
                  <c:v>资产折旧年限（年）-副轴</c:v>
                </c:pt>
              </c:strCache>
            </c:strRef>
          </c:tx>
          <c:spPr>
            <a:ln w="25400" cap="rnd" cmpd="tri">
              <a:solidFill>
                <a:schemeClr val="tx1"/>
              </a:solidFill>
              <a:round/>
            </a:ln>
            <a:effectLst/>
          </c:spPr>
          <c:marker>
            <c:symbol val="none"/>
          </c:marker>
          <c:cat>
            <c:numRef>
              <c:f>'三部门收支-支出合并'!$B$256:$CB$256</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'三部门收支-支出合并'!$B$260:$CB$260</c:f>
              <c:numCache>
                <c:formatCode>0.0</c:formatCode>
                <c:ptCount val="79"/>
                <c:pt idx="0">
                  <c:v>41.727140783744552</c:v>
                </c:pt>
                <c:pt idx="1">
                  <c:v>40.875824835033001</c:v>
                </c:pt>
                <c:pt idx="2">
                  <c:v>33.772708069286011</c:v>
                </c:pt>
                <c:pt idx="3">
                  <c:v>30.405545927209701</c:v>
                </c:pt>
                <c:pt idx="4">
                  <c:v>28.090169067000623</c:v>
                </c:pt>
                <c:pt idx="5">
                  <c:v>28.87633769322235</c:v>
                </c:pt>
                <c:pt idx="6">
                  <c:v>27.787201233616035</c:v>
                </c:pt>
                <c:pt idx="7">
                  <c:v>27.677165354330711</c:v>
                </c:pt>
                <c:pt idx="8">
                  <c:v>27.578199052132696</c:v>
                </c:pt>
                <c:pt idx="9">
                  <c:v>27.226160530528237</c:v>
                </c:pt>
                <c:pt idx="10">
                  <c:v>28.005082592121983</c:v>
                </c:pt>
                <c:pt idx="11">
                  <c:v>26.809059105137177</c:v>
                </c:pt>
                <c:pt idx="12">
                  <c:v>25.413161801088577</c:v>
                </c:pt>
                <c:pt idx="13">
                  <c:v>24.486386138613856</c:v>
                </c:pt>
                <c:pt idx="14">
                  <c:v>24.609421586165777</c:v>
                </c:pt>
                <c:pt idx="15">
                  <c:v>24.681784930504755</c:v>
                </c:pt>
                <c:pt idx="16">
                  <c:v>24.695849914724274</c:v>
                </c:pt>
                <c:pt idx="17">
                  <c:v>24.695890410958906</c:v>
                </c:pt>
                <c:pt idx="18">
                  <c:v>24.466779793760598</c:v>
                </c:pt>
                <c:pt idx="19">
                  <c:v>23.949661181026137</c:v>
                </c:pt>
                <c:pt idx="20">
                  <c:v>23.469410333001434</c:v>
                </c:pt>
                <c:pt idx="21">
                  <c:v>22.929302973053591</c:v>
                </c:pt>
                <c:pt idx="22">
                  <c:v>22.101882415915782</c:v>
                </c:pt>
                <c:pt idx="23">
                  <c:v>21.139888215382197</c:v>
                </c:pt>
                <c:pt idx="24">
                  <c:v>20.360385335089052</c:v>
                </c:pt>
                <c:pt idx="25">
                  <c:v>19.749705718356982</c:v>
                </c:pt>
                <c:pt idx="26">
                  <c:v>19.493656674525653</c:v>
                </c:pt>
                <c:pt idx="27">
                  <c:v>19.315717122346115</c:v>
                </c:pt>
                <c:pt idx="28">
                  <c:v>19.461851338667142</c:v>
                </c:pt>
                <c:pt idx="29">
                  <c:v>19.593197482768954</c:v>
                </c:pt>
                <c:pt idx="30">
                  <c:v>17.999311833338545</c:v>
                </c:pt>
                <c:pt idx="31">
                  <c:v>17.850986080504335</c:v>
                </c:pt>
                <c:pt idx="32">
                  <c:v>17.143338873232654</c:v>
                </c:pt>
                <c:pt idx="33">
                  <c:v>17.092512863593409</c:v>
                </c:pt>
                <c:pt idx="34">
                  <c:v>17.023265888128801</c:v>
                </c:pt>
                <c:pt idx="35">
                  <c:v>16.826407401599496</c:v>
                </c:pt>
                <c:pt idx="36">
                  <c:v>16.435701053446515</c:v>
                </c:pt>
                <c:pt idx="37">
                  <c:v>15.510657970362596</c:v>
                </c:pt>
                <c:pt idx="38">
                  <c:v>15.308807348227527</c:v>
                </c:pt>
                <c:pt idx="39">
                  <c:v>15.101298290414794</c:v>
                </c:pt>
                <c:pt idx="40">
                  <c:v>14.602746082298104</c:v>
                </c:pt>
                <c:pt idx="41">
                  <c:v>13.810811072677767</c:v>
                </c:pt>
                <c:pt idx="42">
                  <c:v>13.580651587315963</c:v>
                </c:pt>
                <c:pt idx="43">
                  <c:v>13.553734448643374</c:v>
                </c:pt>
                <c:pt idx="44">
                  <c:v>13.299964360670019</c:v>
                </c:pt>
                <c:pt idx="45">
                  <c:v>12.888791896813814</c:v>
                </c:pt>
                <c:pt idx="46">
                  <c:v>12.113723155556199</c:v>
                </c:pt>
                <c:pt idx="47">
                  <c:v>11.752701080432171</c:v>
                </c:pt>
                <c:pt idx="48">
                  <c:v>11.809895740541466</c:v>
                </c:pt>
                <c:pt idx="49">
                  <c:v>12.081063022228957</c:v>
                </c:pt>
                <c:pt idx="50">
                  <c:v>11.888810705778305</c:v>
                </c:pt>
                <c:pt idx="51">
                  <c:v>11.750858628051613</c:v>
                </c:pt>
                <c:pt idx="52">
                  <c:v>12.578512109322933</c:v>
                </c:pt>
                <c:pt idx="53">
                  <c:v>12.802211059685449</c:v>
                </c:pt>
                <c:pt idx="54">
                  <c:v>12.534536831637725</c:v>
                </c:pt>
                <c:pt idx="55">
                  <c:v>12.56902442992957</c:v>
                </c:pt>
                <c:pt idx="56">
                  <c:v>11.854412719583031</c:v>
                </c:pt>
                <c:pt idx="57">
                  <c:v>11.803639862914254</c:v>
                </c:pt>
                <c:pt idx="58">
                  <c:v>11.969252603643255</c:v>
                </c:pt>
                <c:pt idx="59">
                  <c:v>12.82966096442296</c:v>
                </c:pt>
                <c:pt idx="60">
                  <c:v>12.730846573938864</c:v>
                </c:pt>
                <c:pt idx="61">
                  <c:v>12.521833822006242</c:v>
                </c:pt>
                <c:pt idx="62">
                  <c:v>13.364580043623398</c:v>
                </c:pt>
                <c:pt idx="63">
                  <c:v>12.793498482326445</c:v>
                </c:pt>
                <c:pt idx="64">
                  <c:v>10.91198011071376</c:v>
                </c:pt>
                <c:pt idx="65">
                  <c:v>12.322801052056334</c:v>
                </c:pt>
                <c:pt idx="66">
                  <c:v>13.237142355625767</c:v>
                </c:pt>
                <c:pt idx="67">
                  <c:v>13.452959157028092</c:v>
                </c:pt>
                <c:pt idx="68">
                  <c:v>14.063708483087543</c:v>
                </c:pt>
                <c:pt idx="69">
                  <c:v>14.244299719692638</c:v>
                </c:pt>
                <c:pt idx="70">
                  <c:v>14.35673738942392</c:v>
                </c:pt>
                <c:pt idx="71">
                  <c:v>14.122085135956466</c:v>
                </c:pt>
                <c:pt idx="72">
                  <c:v>14.242524593357357</c:v>
                </c:pt>
                <c:pt idx="73">
                  <c:v>13.795636296399017</c:v>
                </c:pt>
                <c:pt idx="74">
                  <c:v>13.846372875416154</c:v>
                </c:pt>
                <c:pt idx="75">
                  <c:v>14.208625835470174</c:v>
                </c:pt>
                <c:pt idx="76">
                  <c:v>14.954098623761183</c:v>
                </c:pt>
                <c:pt idx="77">
                  <c:v>14.08358122324603</c:v>
                </c:pt>
                <c:pt idx="78">
                  <c:v>12.861857407719533</c:v>
                </c:pt>
              </c:numCache>
            </c:numRef>
          </c:val>
          <c:smooth val="0"/>
          <c:extLst>
            <c:ext xmlns:c16="http://schemas.microsoft.com/office/drawing/2014/chart" uri="{C3380CC4-5D6E-409C-BE32-E72D297353CC}">
              <c16:uniqueId val="{00000003-264E-FF4D-919D-42363E1A6A0C}"/>
            </c:ext>
          </c:extLst>
        </c:ser>
        <c:dLbls>
          <c:showLegendKey val="0"/>
          <c:showVal val="0"/>
          <c:showCatName val="0"/>
          <c:showSerName val="0"/>
          <c:showPercent val="0"/>
          <c:showBubbleSize val="0"/>
        </c:dLbls>
        <c:marker val="1"/>
        <c:smooth val="0"/>
        <c:axId val="529431008"/>
        <c:axId val="1878259087"/>
      </c:lineChart>
      <c:catAx>
        <c:axId val="1551121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551123327"/>
        <c:crosses val="autoZero"/>
        <c:auto val="1"/>
        <c:lblAlgn val="ctr"/>
        <c:lblOffset val="100"/>
        <c:noMultiLvlLbl val="0"/>
      </c:catAx>
      <c:valAx>
        <c:axId val="15511233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10</a:t>
                </a:r>
                <a:r>
                  <a:rPr lang="zh-CN" altLang="en-US" sz="900">
                    <a:latin typeface="Times New Roman" panose="02020603050405020304" pitchFamily="18" charset="0"/>
                    <a:ea typeface="SimSun" panose="02010600030101010101" pitchFamily="2" charset="-122"/>
                    <a:cs typeface="Times New Roman" panose="02020603050405020304" pitchFamily="18" charset="0"/>
                  </a:rPr>
                  <a:t>亿美元</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551121615"/>
        <c:crosses val="autoZero"/>
        <c:crossBetween val="between"/>
      </c:valAx>
      <c:valAx>
        <c:axId val="1878259087"/>
        <c:scaling>
          <c:orientation val="minMax"/>
        </c:scaling>
        <c:delete val="0"/>
        <c:axPos val="r"/>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a:t>
                </a:r>
                <a:r>
                  <a:rPr lang="zh-CN" altLang="en-US" sz="900">
                    <a:latin typeface="Times New Roman" panose="02020603050405020304" pitchFamily="18" charset="0"/>
                    <a:ea typeface="SimSun" panose="02010600030101010101" pitchFamily="2" charset="-122"/>
                    <a:cs typeface="Times New Roman" panose="02020603050405020304" pitchFamily="18" charset="0"/>
                  </a:rPr>
                  <a:t>（或年）</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529431008"/>
        <c:crosses val="max"/>
        <c:crossBetween val="between"/>
      </c:valAx>
      <c:catAx>
        <c:axId val="529431008"/>
        <c:scaling>
          <c:orientation val="minMax"/>
        </c:scaling>
        <c:delete val="1"/>
        <c:axPos val="b"/>
        <c:numFmt formatCode="General" sourceLinked="1"/>
        <c:majorTickMark val="out"/>
        <c:minorTickMark val="none"/>
        <c:tickLblPos val="nextTo"/>
        <c:crossAx val="187825908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2"/>
          <c:tx>
            <c:strRef>
              <c:f>'Government Budget'!$A$612</c:f>
              <c:strCache>
                <c:ptCount val="1"/>
                <c:pt idx="0">
                  <c:v>利息</c:v>
                </c:pt>
              </c:strCache>
            </c:strRef>
          </c:tx>
          <c:spPr>
            <a:noFill/>
            <a:ln>
              <a:solidFill>
                <a:schemeClr val="tx1"/>
              </a:solidFill>
            </a:ln>
            <a:effectLst/>
          </c:spPr>
          <c:invertIfNegative val="0"/>
          <c:cat>
            <c:strRef>
              <c:f>'Government Budget'!$B$609:$BN$609</c:f>
              <c:strCache>
                <c:ptCount val="65"/>
                <c:pt idx="0">
                  <c:v>1959</c:v>
                </c:pt>
                <c:pt idx="1">
                  <c:v>1960</c:v>
                </c:pt>
                <c:pt idx="2">
                  <c:v>1961</c:v>
                </c:pt>
                <c:pt idx="3">
                  <c:v>1962</c:v>
                </c:pt>
                <c:pt idx="4">
                  <c:v>1963</c:v>
                </c:pt>
                <c:pt idx="5">
                  <c:v>1964</c:v>
                </c:pt>
                <c:pt idx="6">
                  <c:v>1965</c:v>
                </c:pt>
                <c:pt idx="7">
                  <c:v>1966</c:v>
                </c:pt>
                <c:pt idx="8">
                  <c:v>1967</c:v>
                </c:pt>
                <c:pt idx="9">
                  <c:v>1968</c:v>
                </c:pt>
                <c:pt idx="10">
                  <c:v>1969</c:v>
                </c:pt>
                <c:pt idx="11">
                  <c:v>1970</c:v>
                </c:pt>
                <c:pt idx="12">
                  <c:v>1971</c:v>
                </c:pt>
                <c:pt idx="13">
                  <c:v>1972</c:v>
                </c:pt>
                <c:pt idx="14">
                  <c:v>1973</c:v>
                </c:pt>
                <c:pt idx="15">
                  <c:v>1974</c:v>
                </c:pt>
                <c:pt idx="16">
                  <c:v>1975</c:v>
                </c:pt>
                <c:pt idx="17">
                  <c:v>1976</c:v>
                </c:pt>
                <c:pt idx="18">
                  <c:v>1977</c:v>
                </c:pt>
                <c:pt idx="19">
                  <c:v>1978</c:v>
                </c:pt>
                <c:pt idx="20">
                  <c:v>1979</c:v>
                </c:pt>
                <c:pt idx="21">
                  <c:v>1980</c:v>
                </c:pt>
                <c:pt idx="22">
                  <c:v>1981</c:v>
                </c:pt>
                <c:pt idx="23">
                  <c:v>1982</c:v>
                </c:pt>
                <c:pt idx="24">
                  <c:v>1983</c:v>
                </c:pt>
                <c:pt idx="25">
                  <c:v>1984</c:v>
                </c:pt>
                <c:pt idx="26">
                  <c:v>1985</c:v>
                </c:pt>
                <c:pt idx="27">
                  <c:v>1986</c:v>
                </c:pt>
                <c:pt idx="28">
                  <c:v>1987</c:v>
                </c:pt>
                <c:pt idx="29">
                  <c:v>1988</c:v>
                </c:pt>
                <c:pt idx="30">
                  <c:v>1989</c:v>
                </c:pt>
                <c:pt idx="31">
                  <c:v>1990</c:v>
                </c:pt>
                <c:pt idx="32">
                  <c:v>1991</c:v>
                </c:pt>
                <c:pt idx="33">
                  <c:v>1992</c:v>
                </c:pt>
                <c:pt idx="34">
                  <c:v>1993</c:v>
                </c:pt>
                <c:pt idx="35">
                  <c:v>1994</c:v>
                </c:pt>
                <c:pt idx="36">
                  <c:v>1995</c:v>
                </c:pt>
                <c:pt idx="37">
                  <c:v>1996</c:v>
                </c:pt>
                <c:pt idx="38">
                  <c:v>1997</c:v>
                </c:pt>
                <c:pt idx="39">
                  <c:v>1998</c:v>
                </c:pt>
                <c:pt idx="40">
                  <c:v>1999</c:v>
                </c:pt>
                <c:pt idx="41">
                  <c:v>2000</c:v>
                </c:pt>
                <c:pt idx="42">
                  <c:v>2001</c:v>
                </c:pt>
                <c:pt idx="43">
                  <c:v>2002</c:v>
                </c:pt>
                <c:pt idx="44">
                  <c:v>2003</c:v>
                </c:pt>
                <c:pt idx="45">
                  <c:v>2004</c:v>
                </c:pt>
                <c:pt idx="46">
                  <c:v>2005</c:v>
                </c:pt>
                <c:pt idx="47">
                  <c:v>2006</c:v>
                </c:pt>
                <c:pt idx="48">
                  <c:v>2007</c:v>
                </c:pt>
                <c:pt idx="49">
                  <c:v>2008</c:v>
                </c:pt>
                <c:pt idx="50">
                  <c:v>2009</c:v>
                </c:pt>
                <c:pt idx="51">
                  <c:v>2010</c:v>
                </c:pt>
                <c:pt idx="52">
                  <c:v>2011</c:v>
                </c:pt>
                <c:pt idx="53">
                  <c:v>2012</c:v>
                </c:pt>
                <c:pt idx="54">
                  <c:v>2013</c:v>
                </c:pt>
                <c:pt idx="55">
                  <c:v>2014</c:v>
                </c:pt>
                <c:pt idx="56">
                  <c:v>2015</c:v>
                </c:pt>
                <c:pt idx="57">
                  <c:v>2016</c:v>
                </c:pt>
                <c:pt idx="58">
                  <c:v>2017</c:v>
                </c:pt>
                <c:pt idx="59">
                  <c:v>2018</c:v>
                </c:pt>
                <c:pt idx="60">
                  <c:v>2019</c:v>
                </c:pt>
                <c:pt idx="61">
                  <c:v>2020</c:v>
                </c:pt>
                <c:pt idx="62">
                  <c:v>2021</c:v>
                </c:pt>
                <c:pt idx="63">
                  <c:v>2022</c:v>
                </c:pt>
                <c:pt idx="64">
                  <c:v>2023</c:v>
                </c:pt>
              </c:strCache>
            </c:strRef>
          </c:cat>
          <c:val>
            <c:numRef>
              <c:f>'Government Budget'!$B$612:$BN$612</c:f>
              <c:numCache>
                <c:formatCode>General</c:formatCode>
                <c:ptCount val="65"/>
                <c:pt idx="0">
                  <c:v>14.6</c:v>
                </c:pt>
                <c:pt idx="1">
                  <c:v>17.5</c:v>
                </c:pt>
                <c:pt idx="2">
                  <c:v>17.899999999999999</c:v>
                </c:pt>
                <c:pt idx="3">
                  <c:v>19.7</c:v>
                </c:pt>
                <c:pt idx="4">
                  <c:v>21.3</c:v>
                </c:pt>
                <c:pt idx="5">
                  <c:v>22.9</c:v>
                </c:pt>
                <c:pt idx="6">
                  <c:v>24.5</c:v>
                </c:pt>
                <c:pt idx="7">
                  <c:v>26.7</c:v>
                </c:pt>
                <c:pt idx="8">
                  <c:v>29.1</c:v>
                </c:pt>
                <c:pt idx="9">
                  <c:v>32.799999999999997</c:v>
                </c:pt>
                <c:pt idx="10">
                  <c:v>36.6</c:v>
                </c:pt>
                <c:pt idx="11">
                  <c:v>44.4</c:v>
                </c:pt>
                <c:pt idx="12">
                  <c:v>48.6</c:v>
                </c:pt>
                <c:pt idx="13">
                  <c:v>53.5</c:v>
                </c:pt>
                <c:pt idx="14">
                  <c:v>62</c:v>
                </c:pt>
                <c:pt idx="15">
                  <c:v>69.5</c:v>
                </c:pt>
                <c:pt idx="16">
                  <c:v>77.400000000000006</c:v>
                </c:pt>
                <c:pt idx="17">
                  <c:v>86.7</c:v>
                </c:pt>
                <c:pt idx="18">
                  <c:v>95.8</c:v>
                </c:pt>
                <c:pt idx="19">
                  <c:v>112.4</c:v>
                </c:pt>
                <c:pt idx="20">
                  <c:v>128.5</c:v>
                </c:pt>
              </c:numCache>
            </c:numRef>
          </c:val>
          <c:extLst>
            <c:ext xmlns:c16="http://schemas.microsoft.com/office/drawing/2014/chart" uri="{C3380CC4-5D6E-409C-BE32-E72D297353CC}">
              <c16:uniqueId val="{00000000-A2D7-D145-B12B-41C2A9FC8E50}"/>
            </c:ext>
          </c:extLst>
        </c:ser>
        <c:ser>
          <c:idx val="3"/>
          <c:order val="3"/>
          <c:tx>
            <c:strRef>
              <c:f>'Government Budget'!$A$613</c:f>
              <c:strCache>
                <c:ptCount val="1"/>
                <c:pt idx="0">
                  <c:v>医疗</c:v>
                </c:pt>
              </c:strCache>
            </c:strRef>
          </c:tx>
          <c:spPr>
            <a:solidFill>
              <a:schemeClr val="tx1"/>
            </a:solidFill>
            <a:ln>
              <a:solidFill>
                <a:schemeClr val="tx1"/>
              </a:solidFill>
            </a:ln>
            <a:effectLst/>
          </c:spPr>
          <c:invertIfNegative val="0"/>
          <c:cat>
            <c:strRef>
              <c:f>'Government Budget'!$B$609:$BN$609</c:f>
              <c:strCache>
                <c:ptCount val="65"/>
                <c:pt idx="0">
                  <c:v>1959</c:v>
                </c:pt>
                <c:pt idx="1">
                  <c:v>1960</c:v>
                </c:pt>
                <c:pt idx="2">
                  <c:v>1961</c:v>
                </c:pt>
                <c:pt idx="3">
                  <c:v>1962</c:v>
                </c:pt>
                <c:pt idx="4">
                  <c:v>1963</c:v>
                </c:pt>
                <c:pt idx="5">
                  <c:v>1964</c:v>
                </c:pt>
                <c:pt idx="6">
                  <c:v>1965</c:v>
                </c:pt>
                <c:pt idx="7">
                  <c:v>1966</c:v>
                </c:pt>
                <c:pt idx="8">
                  <c:v>1967</c:v>
                </c:pt>
                <c:pt idx="9">
                  <c:v>1968</c:v>
                </c:pt>
                <c:pt idx="10">
                  <c:v>1969</c:v>
                </c:pt>
                <c:pt idx="11">
                  <c:v>1970</c:v>
                </c:pt>
                <c:pt idx="12">
                  <c:v>1971</c:v>
                </c:pt>
                <c:pt idx="13">
                  <c:v>1972</c:v>
                </c:pt>
                <c:pt idx="14">
                  <c:v>1973</c:v>
                </c:pt>
                <c:pt idx="15">
                  <c:v>1974</c:v>
                </c:pt>
                <c:pt idx="16">
                  <c:v>1975</c:v>
                </c:pt>
                <c:pt idx="17">
                  <c:v>1976</c:v>
                </c:pt>
                <c:pt idx="18">
                  <c:v>1977</c:v>
                </c:pt>
                <c:pt idx="19">
                  <c:v>1978</c:v>
                </c:pt>
                <c:pt idx="20">
                  <c:v>1979</c:v>
                </c:pt>
                <c:pt idx="21">
                  <c:v>1980</c:v>
                </c:pt>
                <c:pt idx="22">
                  <c:v>1981</c:v>
                </c:pt>
                <c:pt idx="23">
                  <c:v>1982</c:v>
                </c:pt>
                <c:pt idx="24">
                  <c:v>1983</c:v>
                </c:pt>
                <c:pt idx="25">
                  <c:v>1984</c:v>
                </c:pt>
                <c:pt idx="26">
                  <c:v>1985</c:v>
                </c:pt>
                <c:pt idx="27">
                  <c:v>1986</c:v>
                </c:pt>
                <c:pt idx="28">
                  <c:v>1987</c:v>
                </c:pt>
                <c:pt idx="29">
                  <c:v>1988</c:v>
                </c:pt>
                <c:pt idx="30">
                  <c:v>1989</c:v>
                </c:pt>
                <c:pt idx="31">
                  <c:v>1990</c:v>
                </c:pt>
                <c:pt idx="32">
                  <c:v>1991</c:v>
                </c:pt>
                <c:pt idx="33">
                  <c:v>1992</c:v>
                </c:pt>
                <c:pt idx="34">
                  <c:v>1993</c:v>
                </c:pt>
                <c:pt idx="35">
                  <c:v>1994</c:v>
                </c:pt>
                <c:pt idx="36">
                  <c:v>1995</c:v>
                </c:pt>
                <c:pt idx="37">
                  <c:v>1996</c:v>
                </c:pt>
                <c:pt idx="38">
                  <c:v>1997</c:v>
                </c:pt>
                <c:pt idx="39">
                  <c:v>1998</c:v>
                </c:pt>
                <c:pt idx="40">
                  <c:v>1999</c:v>
                </c:pt>
                <c:pt idx="41">
                  <c:v>2000</c:v>
                </c:pt>
                <c:pt idx="42">
                  <c:v>2001</c:v>
                </c:pt>
                <c:pt idx="43">
                  <c:v>2002</c:v>
                </c:pt>
                <c:pt idx="44">
                  <c:v>2003</c:v>
                </c:pt>
                <c:pt idx="45">
                  <c:v>2004</c:v>
                </c:pt>
                <c:pt idx="46">
                  <c:v>2005</c:v>
                </c:pt>
                <c:pt idx="47">
                  <c:v>2006</c:v>
                </c:pt>
                <c:pt idx="48">
                  <c:v>2007</c:v>
                </c:pt>
                <c:pt idx="49">
                  <c:v>2008</c:v>
                </c:pt>
                <c:pt idx="50">
                  <c:v>2009</c:v>
                </c:pt>
                <c:pt idx="51">
                  <c:v>2010</c:v>
                </c:pt>
                <c:pt idx="52">
                  <c:v>2011</c:v>
                </c:pt>
                <c:pt idx="53">
                  <c:v>2012</c:v>
                </c:pt>
                <c:pt idx="54">
                  <c:v>2013</c:v>
                </c:pt>
                <c:pt idx="55">
                  <c:v>2014</c:v>
                </c:pt>
                <c:pt idx="56">
                  <c:v>2015</c:v>
                </c:pt>
                <c:pt idx="57">
                  <c:v>2016</c:v>
                </c:pt>
                <c:pt idx="58">
                  <c:v>2017</c:v>
                </c:pt>
                <c:pt idx="59">
                  <c:v>2018</c:v>
                </c:pt>
                <c:pt idx="60">
                  <c:v>2019</c:v>
                </c:pt>
                <c:pt idx="61">
                  <c:v>2020</c:v>
                </c:pt>
                <c:pt idx="62">
                  <c:v>2021</c:v>
                </c:pt>
                <c:pt idx="63">
                  <c:v>2022</c:v>
                </c:pt>
                <c:pt idx="64">
                  <c:v>2023</c:v>
                </c:pt>
              </c:strCache>
            </c:strRef>
          </c:cat>
          <c:val>
            <c:numRef>
              <c:f>'Government Budget'!$B$613:$BN$613</c:f>
              <c:numCache>
                <c:formatCode>General</c:formatCode>
                <c:ptCount val="65"/>
                <c:pt idx="0">
                  <c:v>0.60000000000000053</c:v>
                </c:pt>
                <c:pt idx="1">
                  <c:v>0.59999999999999964</c:v>
                </c:pt>
                <c:pt idx="2">
                  <c:v>1</c:v>
                </c:pt>
                <c:pt idx="3">
                  <c:v>1</c:v>
                </c:pt>
                <c:pt idx="4">
                  <c:v>1.2000000000000002</c:v>
                </c:pt>
                <c:pt idx="5">
                  <c:v>1</c:v>
                </c:pt>
                <c:pt idx="6">
                  <c:v>1.2999999999999998</c:v>
                </c:pt>
                <c:pt idx="7">
                  <c:v>2.7</c:v>
                </c:pt>
                <c:pt idx="8">
                  <c:v>6.9</c:v>
                </c:pt>
                <c:pt idx="9">
                  <c:v>9</c:v>
                </c:pt>
                <c:pt idx="10">
                  <c:v>10.3</c:v>
                </c:pt>
                <c:pt idx="11">
                  <c:v>11.600000000000001</c:v>
                </c:pt>
                <c:pt idx="12">
                  <c:v>13.3</c:v>
                </c:pt>
                <c:pt idx="13">
                  <c:v>15.3</c:v>
                </c:pt>
                <c:pt idx="14">
                  <c:v>17.899999999999999</c:v>
                </c:pt>
                <c:pt idx="15">
                  <c:v>21.5</c:v>
                </c:pt>
                <c:pt idx="16">
                  <c:v>26.6</c:v>
                </c:pt>
                <c:pt idx="17">
                  <c:v>30.799999999999997</c:v>
                </c:pt>
                <c:pt idx="18">
                  <c:v>35.700000000000003</c:v>
                </c:pt>
                <c:pt idx="19">
                  <c:v>40.6</c:v>
                </c:pt>
                <c:pt idx="20">
                  <c:v>47</c:v>
                </c:pt>
              </c:numCache>
            </c:numRef>
          </c:val>
          <c:extLst>
            <c:ext xmlns:c16="http://schemas.microsoft.com/office/drawing/2014/chart" uri="{C3380CC4-5D6E-409C-BE32-E72D297353CC}">
              <c16:uniqueId val="{00000001-A2D7-D145-B12B-41C2A9FC8E50}"/>
            </c:ext>
          </c:extLst>
        </c:ser>
        <c:ser>
          <c:idx val="4"/>
          <c:order val="4"/>
          <c:tx>
            <c:strRef>
              <c:f>'Government Budget'!$A$614</c:f>
              <c:strCache>
                <c:ptCount val="1"/>
                <c:pt idx="0">
                  <c:v>社保</c:v>
                </c:pt>
              </c:strCache>
            </c:strRef>
          </c:tx>
          <c:spPr>
            <a:pattFill prst="pct30">
              <a:fgClr>
                <a:schemeClr val="tx1"/>
              </a:fgClr>
              <a:bgClr>
                <a:schemeClr val="bg1"/>
              </a:bgClr>
            </a:pattFill>
            <a:ln>
              <a:noFill/>
            </a:ln>
            <a:effectLst/>
          </c:spPr>
          <c:invertIfNegative val="0"/>
          <c:cat>
            <c:strRef>
              <c:f>'Government Budget'!$B$609:$BN$609</c:f>
              <c:strCache>
                <c:ptCount val="65"/>
                <c:pt idx="0">
                  <c:v>1959</c:v>
                </c:pt>
                <c:pt idx="1">
                  <c:v>1960</c:v>
                </c:pt>
                <c:pt idx="2">
                  <c:v>1961</c:v>
                </c:pt>
                <c:pt idx="3">
                  <c:v>1962</c:v>
                </c:pt>
                <c:pt idx="4">
                  <c:v>1963</c:v>
                </c:pt>
                <c:pt idx="5">
                  <c:v>1964</c:v>
                </c:pt>
                <c:pt idx="6">
                  <c:v>1965</c:v>
                </c:pt>
                <c:pt idx="7">
                  <c:v>1966</c:v>
                </c:pt>
                <c:pt idx="8">
                  <c:v>1967</c:v>
                </c:pt>
                <c:pt idx="9">
                  <c:v>1968</c:v>
                </c:pt>
                <c:pt idx="10">
                  <c:v>1969</c:v>
                </c:pt>
                <c:pt idx="11">
                  <c:v>1970</c:v>
                </c:pt>
                <c:pt idx="12">
                  <c:v>1971</c:v>
                </c:pt>
                <c:pt idx="13">
                  <c:v>1972</c:v>
                </c:pt>
                <c:pt idx="14">
                  <c:v>1973</c:v>
                </c:pt>
                <c:pt idx="15">
                  <c:v>1974</c:v>
                </c:pt>
                <c:pt idx="16">
                  <c:v>1975</c:v>
                </c:pt>
                <c:pt idx="17">
                  <c:v>1976</c:v>
                </c:pt>
                <c:pt idx="18">
                  <c:v>1977</c:v>
                </c:pt>
                <c:pt idx="19">
                  <c:v>1978</c:v>
                </c:pt>
                <c:pt idx="20">
                  <c:v>1979</c:v>
                </c:pt>
                <c:pt idx="21">
                  <c:v>1980</c:v>
                </c:pt>
                <c:pt idx="22">
                  <c:v>1981</c:v>
                </c:pt>
                <c:pt idx="23">
                  <c:v>1982</c:v>
                </c:pt>
                <c:pt idx="24">
                  <c:v>1983</c:v>
                </c:pt>
                <c:pt idx="25">
                  <c:v>1984</c:v>
                </c:pt>
                <c:pt idx="26">
                  <c:v>1985</c:v>
                </c:pt>
                <c:pt idx="27">
                  <c:v>1986</c:v>
                </c:pt>
                <c:pt idx="28">
                  <c:v>1987</c:v>
                </c:pt>
                <c:pt idx="29">
                  <c:v>1988</c:v>
                </c:pt>
                <c:pt idx="30">
                  <c:v>1989</c:v>
                </c:pt>
                <c:pt idx="31">
                  <c:v>1990</c:v>
                </c:pt>
                <c:pt idx="32">
                  <c:v>1991</c:v>
                </c:pt>
                <c:pt idx="33">
                  <c:v>1992</c:v>
                </c:pt>
                <c:pt idx="34">
                  <c:v>1993</c:v>
                </c:pt>
                <c:pt idx="35">
                  <c:v>1994</c:v>
                </c:pt>
                <c:pt idx="36">
                  <c:v>1995</c:v>
                </c:pt>
                <c:pt idx="37">
                  <c:v>1996</c:v>
                </c:pt>
                <c:pt idx="38">
                  <c:v>1997</c:v>
                </c:pt>
                <c:pt idx="39">
                  <c:v>1998</c:v>
                </c:pt>
                <c:pt idx="40">
                  <c:v>1999</c:v>
                </c:pt>
                <c:pt idx="41">
                  <c:v>2000</c:v>
                </c:pt>
                <c:pt idx="42">
                  <c:v>2001</c:v>
                </c:pt>
                <c:pt idx="43">
                  <c:v>2002</c:v>
                </c:pt>
                <c:pt idx="44">
                  <c:v>2003</c:v>
                </c:pt>
                <c:pt idx="45">
                  <c:v>2004</c:v>
                </c:pt>
                <c:pt idx="46">
                  <c:v>2005</c:v>
                </c:pt>
                <c:pt idx="47">
                  <c:v>2006</c:v>
                </c:pt>
                <c:pt idx="48">
                  <c:v>2007</c:v>
                </c:pt>
                <c:pt idx="49">
                  <c:v>2008</c:v>
                </c:pt>
                <c:pt idx="50">
                  <c:v>2009</c:v>
                </c:pt>
                <c:pt idx="51">
                  <c:v>2010</c:v>
                </c:pt>
                <c:pt idx="52">
                  <c:v>2011</c:v>
                </c:pt>
                <c:pt idx="53">
                  <c:v>2012</c:v>
                </c:pt>
                <c:pt idx="54">
                  <c:v>2013</c:v>
                </c:pt>
                <c:pt idx="55">
                  <c:v>2014</c:v>
                </c:pt>
                <c:pt idx="56">
                  <c:v>2015</c:v>
                </c:pt>
                <c:pt idx="57">
                  <c:v>2016</c:v>
                </c:pt>
                <c:pt idx="58">
                  <c:v>2017</c:v>
                </c:pt>
                <c:pt idx="59">
                  <c:v>2018</c:v>
                </c:pt>
                <c:pt idx="60">
                  <c:v>2019</c:v>
                </c:pt>
                <c:pt idx="61">
                  <c:v>2020</c:v>
                </c:pt>
                <c:pt idx="62">
                  <c:v>2021</c:v>
                </c:pt>
                <c:pt idx="63">
                  <c:v>2022</c:v>
                </c:pt>
                <c:pt idx="64">
                  <c:v>2023</c:v>
                </c:pt>
              </c:strCache>
            </c:strRef>
          </c:cat>
          <c:val>
            <c:numRef>
              <c:f>'Government Budget'!$B$614:$BN$614</c:f>
              <c:numCache>
                <c:formatCode>General</c:formatCode>
                <c:ptCount val="65"/>
                <c:pt idx="0">
                  <c:v>20.799999999999997</c:v>
                </c:pt>
                <c:pt idx="1">
                  <c:v>22.5</c:v>
                </c:pt>
                <c:pt idx="2">
                  <c:v>25.6</c:v>
                </c:pt>
                <c:pt idx="3">
                  <c:v>26.5</c:v>
                </c:pt>
                <c:pt idx="4">
                  <c:v>27.7</c:v>
                </c:pt>
                <c:pt idx="5">
                  <c:v>28.7</c:v>
                </c:pt>
                <c:pt idx="6">
                  <c:v>30.8</c:v>
                </c:pt>
                <c:pt idx="7">
                  <c:v>32.4</c:v>
                </c:pt>
                <c:pt idx="8">
                  <c:v>35.4</c:v>
                </c:pt>
                <c:pt idx="9">
                  <c:v>40.300000000000004</c:v>
                </c:pt>
                <c:pt idx="10">
                  <c:v>44</c:v>
                </c:pt>
                <c:pt idx="11">
                  <c:v>54.4</c:v>
                </c:pt>
                <c:pt idx="12">
                  <c:v>65</c:v>
                </c:pt>
                <c:pt idx="13">
                  <c:v>71.399999999999991</c:v>
                </c:pt>
                <c:pt idx="14">
                  <c:v>81.8</c:v>
                </c:pt>
                <c:pt idx="15">
                  <c:v>96.1</c:v>
                </c:pt>
                <c:pt idx="16">
                  <c:v>122.8</c:v>
                </c:pt>
                <c:pt idx="17">
                  <c:v>132.4</c:v>
                </c:pt>
                <c:pt idx="18">
                  <c:v>139.70000000000002</c:v>
                </c:pt>
                <c:pt idx="19">
                  <c:v>147.30000000000001</c:v>
                </c:pt>
                <c:pt idx="20">
                  <c:v>164.3</c:v>
                </c:pt>
              </c:numCache>
            </c:numRef>
          </c:val>
          <c:extLst>
            <c:ext xmlns:c16="http://schemas.microsoft.com/office/drawing/2014/chart" uri="{C3380CC4-5D6E-409C-BE32-E72D297353CC}">
              <c16:uniqueId val="{00000002-A2D7-D145-B12B-41C2A9FC8E50}"/>
            </c:ext>
          </c:extLst>
        </c:ser>
        <c:dLbls>
          <c:showLegendKey val="0"/>
          <c:showVal val="0"/>
          <c:showCatName val="0"/>
          <c:showSerName val="0"/>
          <c:showPercent val="0"/>
          <c:showBubbleSize val="0"/>
        </c:dLbls>
        <c:gapWidth val="150"/>
        <c:axId val="1521734624"/>
        <c:axId val="1521736336"/>
      </c:barChart>
      <c:barChart>
        <c:barDir val="col"/>
        <c:grouping val="clustered"/>
        <c:varyColors val="0"/>
        <c:ser>
          <c:idx val="5"/>
          <c:order val="5"/>
          <c:tx>
            <c:strRef>
              <c:f>'Government Budget'!$A$615</c:f>
              <c:strCache>
                <c:ptCount val="1"/>
                <c:pt idx="0">
                  <c:v>利息-里根执政后-副轴</c:v>
                </c:pt>
              </c:strCache>
            </c:strRef>
          </c:tx>
          <c:spPr>
            <a:noFill/>
            <a:ln>
              <a:solidFill>
                <a:schemeClr val="tx1"/>
              </a:solidFill>
            </a:ln>
            <a:effectLst/>
          </c:spPr>
          <c:invertIfNegative val="0"/>
          <c:cat>
            <c:strRef>
              <c:f>'Government Budget'!$B$609:$BN$609</c:f>
              <c:strCache>
                <c:ptCount val="65"/>
                <c:pt idx="0">
                  <c:v>1959</c:v>
                </c:pt>
                <c:pt idx="1">
                  <c:v>1960</c:v>
                </c:pt>
                <c:pt idx="2">
                  <c:v>1961</c:v>
                </c:pt>
                <c:pt idx="3">
                  <c:v>1962</c:v>
                </c:pt>
                <c:pt idx="4">
                  <c:v>1963</c:v>
                </c:pt>
                <c:pt idx="5">
                  <c:v>1964</c:v>
                </c:pt>
                <c:pt idx="6">
                  <c:v>1965</c:v>
                </c:pt>
                <c:pt idx="7">
                  <c:v>1966</c:v>
                </c:pt>
                <c:pt idx="8">
                  <c:v>1967</c:v>
                </c:pt>
                <c:pt idx="9">
                  <c:v>1968</c:v>
                </c:pt>
                <c:pt idx="10">
                  <c:v>1969</c:v>
                </c:pt>
                <c:pt idx="11">
                  <c:v>1970</c:v>
                </c:pt>
                <c:pt idx="12">
                  <c:v>1971</c:v>
                </c:pt>
                <c:pt idx="13">
                  <c:v>1972</c:v>
                </c:pt>
                <c:pt idx="14">
                  <c:v>1973</c:v>
                </c:pt>
                <c:pt idx="15">
                  <c:v>1974</c:v>
                </c:pt>
                <c:pt idx="16">
                  <c:v>1975</c:v>
                </c:pt>
                <c:pt idx="17">
                  <c:v>1976</c:v>
                </c:pt>
                <c:pt idx="18">
                  <c:v>1977</c:v>
                </c:pt>
                <c:pt idx="19">
                  <c:v>1978</c:v>
                </c:pt>
                <c:pt idx="20">
                  <c:v>1979</c:v>
                </c:pt>
                <c:pt idx="21">
                  <c:v>1980</c:v>
                </c:pt>
                <c:pt idx="22">
                  <c:v>1981</c:v>
                </c:pt>
                <c:pt idx="23">
                  <c:v>1982</c:v>
                </c:pt>
                <c:pt idx="24">
                  <c:v>1983</c:v>
                </c:pt>
                <c:pt idx="25">
                  <c:v>1984</c:v>
                </c:pt>
                <c:pt idx="26">
                  <c:v>1985</c:v>
                </c:pt>
                <c:pt idx="27">
                  <c:v>1986</c:v>
                </c:pt>
                <c:pt idx="28">
                  <c:v>1987</c:v>
                </c:pt>
                <c:pt idx="29">
                  <c:v>1988</c:v>
                </c:pt>
                <c:pt idx="30">
                  <c:v>1989</c:v>
                </c:pt>
                <c:pt idx="31">
                  <c:v>1990</c:v>
                </c:pt>
                <c:pt idx="32">
                  <c:v>1991</c:v>
                </c:pt>
                <c:pt idx="33">
                  <c:v>1992</c:v>
                </c:pt>
                <c:pt idx="34">
                  <c:v>1993</c:v>
                </c:pt>
                <c:pt idx="35">
                  <c:v>1994</c:v>
                </c:pt>
                <c:pt idx="36">
                  <c:v>1995</c:v>
                </c:pt>
                <c:pt idx="37">
                  <c:v>1996</c:v>
                </c:pt>
                <c:pt idx="38">
                  <c:v>1997</c:v>
                </c:pt>
                <c:pt idx="39">
                  <c:v>1998</c:v>
                </c:pt>
                <c:pt idx="40">
                  <c:v>1999</c:v>
                </c:pt>
                <c:pt idx="41">
                  <c:v>2000</c:v>
                </c:pt>
                <c:pt idx="42">
                  <c:v>2001</c:v>
                </c:pt>
                <c:pt idx="43">
                  <c:v>2002</c:v>
                </c:pt>
                <c:pt idx="44">
                  <c:v>2003</c:v>
                </c:pt>
                <c:pt idx="45">
                  <c:v>2004</c:v>
                </c:pt>
                <c:pt idx="46">
                  <c:v>2005</c:v>
                </c:pt>
                <c:pt idx="47">
                  <c:v>2006</c:v>
                </c:pt>
                <c:pt idx="48">
                  <c:v>2007</c:v>
                </c:pt>
                <c:pt idx="49">
                  <c:v>2008</c:v>
                </c:pt>
                <c:pt idx="50">
                  <c:v>2009</c:v>
                </c:pt>
                <c:pt idx="51">
                  <c:v>2010</c:v>
                </c:pt>
                <c:pt idx="52">
                  <c:v>2011</c:v>
                </c:pt>
                <c:pt idx="53">
                  <c:v>2012</c:v>
                </c:pt>
                <c:pt idx="54">
                  <c:v>2013</c:v>
                </c:pt>
                <c:pt idx="55">
                  <c:v>2014</c:v>
                </c:pt>
                <c:pt idx="56">
                  <c:v>2015</c:v>
                </c:pt>
                <c:pt idx="57">
                  <c:v>2016</c:v>
                </c:pt>
                <c:pt idx="58">
                  <c:v>2017</c:v>
                </c:pt>
                <c:pt idx="59">
                  <c:v>2018</c:v>
                </c:pt>
                <c:pt idx="60">
                  <c:v>2019</c:v>
                </c:pt>
                <c:pt idx="61">
                  <c:v>2020</c:v>
                </c:pt>
                <c:pt idx="62">
                  <c:v>2021</c:v>
                </c:pt>
                <c:pt idx="63">
                  <c:v>2022</c:v>
                </c:pt>
                <c:pt idx="64">
                  <c:v>2023</c:v>
                </c:pt>
              </c:strCache>
            </c:strRef>
          </c:cat>
          <c:val>
            <c:numRef>
              <c:f>'Government Budget'!$B$615:$BN$615</c:f>
              <c:numCache>
                <c:formatCode>General</c:formatCode>
                <c:ptCount val="65"/>
                <c:pt idx="21">
                  <c:v>148.80000000000001</c:v>
                </c:pt>
                <c:pt idx="22">
                  <c:v>180.1</c:v>
                </c:pt>
                <c:pt idx="23">
                  <c:v>206.2</c:v>
                </c:pt>
                <c:pt idx="24">
                  <c:v>228</c:v>
                </c:pt>
                <c:pt idx="25">
                  <c:v>260.10000000000002</c:v>
                </c:pt>
                <c:pt idx="26">
                  <c:v>285.8</c:v>
                </c:pt>
                <c:pt idx="27">
                  <c:v>302.7</c:v>
                </c:pt>
                <c:pt idx="28">
                  <c:v>314.7</c:v>
                </c:pt>
                <c:pt idx="29">
                  <c:v>333.7</c:v>
                </c:pt>
                <c:pt idx="30">
                  <c:v>362.1</c:v>
                </c:pt>
                <c:pt idx="31">
                  <c:v>383.3</c:v>
                </c:pt>
                <c:pt idx="32">
                  <c:v>408.7</c:v>
                </c:pt>
                <c:pt idx="33">
                  <c:v>417.2</c:v>
                </c:pt>
                <c:pt idx="34">
                  <c:v>422.7</c:v>
                </c:pt>
                <c:pt idx="35">
                  <c:v>434.1</c:v>
                </c:pt>
                <c:pt idx="36">
                  <c:v>473</c:v>
                </c:pt>
                <c:pt idx="37">
                  <c:v>479.4</c:v>
                </c:pt>
                <c:pt idx="38">
                  <c:v>485.3</c:v>
                </c:pt>
                <c:pt idx="39">
                  <c:v>479.3</c:v>
                </c:pt>
                <c:pt idx="40">
                  <c:v>465.6</c:v>
                </c:pt>
                <c:pt idx="41">
                  <c:v>464.8</c:v>
                </c:pt>
                <c:pt idx="42">
                  <c:v>459.8</c:v>
                </c:pt>
                <c:pt idx="43">
                  <c:v>452.2</c:v>
                </c:pt>
                <c:pt idx="44">
                  <c:v>475.6</c:v>
                </c:pt>
                <c:pt idx="45">
                  <c:v>480.7</c:v>
                </c:pt>
                <c:pt idx="46">
                  <c:v>521.5</c:v>
                </c:pt>
                <c:pt idx="47">
                  <c:v>560.9</c:v>
                </c:pt>
                <c:pt idx="48">
                  <c:v>600</c:v>
                </c:pt>
                <c:pt idx="49">
                  <c:v>592.29999999999995</c:v>
                </c:pt>
                <c:pt idx="50">
                  <c:v>621.6</c:v>
                </c:pt>
                <c:pt idx="51">
                  <c:v>648.5</c:v>
                </c:pt>
                <c:pt idx="52">
                  <c:v>691.2</c:v>
                </c:pt>
                <c:pt idx="53">
                  <c:v>703.7</c:v>
                </c:pt>
                <c:pt idx="54">
                  <c:v>686.5</c:v>
                </c:pt>
                <c:pt idx="55">
                  <c:v>701.4</c:v>
                </c:pt>
                <c:pt idx="56">
                  <c:v>698</c:v>
                </c:pt>
                <c:pt idx="57">
                  <c:v>737.1</c:v>
                </c:pt>
                <c:pt idx="58">
                  <c:v>767.6</c:v>
                </c:pt>
                <c:pt idx="59">
                  <c:v>826.6</c:v>
                </c:pt>
                <c:pt idx="60">
                  <c:v>883.5</c:v>
                </c:pt>
                <c:pt idx="61">
                  <c:v>815.3</c:v>
                </c:pt>
                <c:pt idx="62">
                  <c:v>855.5</c:v>
                </c:pt>
                <c:pt idx="63">
                  <c:v>973.7</c:v>
                </c:pt>
              </c:numCache>
            </c:numRef>
          </c:val>
          <c:extLst>
            <c:ext xmlns:c16="http://schemas.microsoft.com/office/drawing/2014/chart" uri="{C3380CC4-5D6E-409C-BE32-E72D297353CC}">
              <c16:uniqueId val="{00000003-A2D7-D145-B12B-41C2A9FC8E50}"/>
            </c:ext>
          </c:extLst>
        </c:ser>
        <c:ser>
          <c:idx val="6"/>
          <c:order val="6"/>
          <c:tx>
            <c:strRef>
              <c:f>'Government Budget'!$A$616</c:f>
              <c:strCache>
                <c:ptCount val="1"/>
                <c:pt idx="0">
                  <c:v>医疗-里根执政后-副轴</c:v>
                </c:pt>
              </c:strCache>
            </c:strRef>
          </c:tx>
          <c:spPr>
            <a:solidFill>
              <a:schemeClr val="tx1"/>
            </a:solidFill>
            <a:ln>
              <a:solidFill>
                <a:schemeClr val="tx1"/>
              </a:solidFill>
            </a:ln>
            <a:effectLst/>
          </c:spPr>
          <c:invertIfNegative val="0"/>
          <c:cat>
            <c:strRef>
              <c:f>'Government Budget'!$B$609:$BN$609</c:f>
              <c:strCache>
                <c:ptCount val="65"/>
                <c:pt idx="0">
                  <c:v>1959</c:v>
                </c:pt>
                <c:pt idx="1">
                  <c:v>1960</c:v>
                </c:pt>
                <c:pt idx="2">
                  <c:v>1961</c:v>
                </c:pt>
                <c:pt idx="3">
                  <c:v>1962</c:v>
                </c:pt>
                <c:pt idx="4">
                  <c:v>1963</c:v>
                </c:pt>
                <c:pt idx="5">
                  <c:v>1964</c:v>
                </c:pt>
                <c:pt idx="6">
                  <c:v>1965</c:v>
                </c:pt>
                <c:pt idx="7">
                  <c:v>1966</c:v>
                </c:pt>
                <c:pt idx="8">
                  <c:v>1967</c:v>
                </c:pt>
                <c:pt idx="9">
                  <c:v>1968</c:v>
                </c:pt>
                <c:pt idx="10">
                  <c:v>1969</c:v>
                </c:pt>
                <c:pt idx="11">
                  <c:v>1970</c:v>
                </c:pt>
                <c:pt idx="12">
                  <c:v>1971</c:v>
                </c:pt>
                <c:pt idx="13">
                  <c:v>1972</c:v>
                </c:pt>
                <c:pt idx="14">
                  <c:v>1973</c:v>
                </c:pt>
                <c:pt idx="15">
                  <c:v>1974</c:v>
                </c:pt>
                <c:pt idx="16">
                  <c:v>1975</c:v>
                </c:pt>
                <c:pt idx="17">
                  <c:v>1976</c:v>
                </c:pt>
                <c:pt idx="18">
                  <c:v>1977</c:v>
                </c:pt>
                <c:pt idx="19">
                  <c:v>1978</c:v>
                </c:pt>
                <c:pt idx="20">
                  <c:v>1979</c:v>
                </c:pt>
                <c:pt idx="21">
                  <c:v>1980</c:v>
                </c:pt>
                <c:pt idx="22">
                  <c:v>1981</c:v>
                </c:pt>
                <c:pt idx="23">
                  <c:v>1982</c:v>
                </c:pt>
                <c:pt idx="24">
                  <c:v>1983</c:v>
                </c:pt>
                <c:pt idx="25">
                  <c:v>1984</c:v>
                </c:pt>
                <c:pt idx="26">
                  <c:v>1985</c:v>
                </c:pt>
                <c:pt idx="27">
                  <c:v>1986</c:v>
                </c:pt>
                <c:pt idx="28">
                  <c:v>1987</c:v>
                </c:pt>
                <c:pt idx="29">
                  <c:v>1988</c:v>
                </c:pt>
                <c:pt idx="30">
                  <c:v>1989</c:v>
                </c:pt>
                <c:pt idx="31">
                  <c:v>1990</c:v>
                </c:pt>
                <c:pt idx="32">
                  <c:v>1991</c:v>
                </c:pt>
                <c:pt idx="33">
                  <c:v>1992</c:v>
                </c:pt>
                <c:pt idx="34">
                  <c:v>1993</c:v>
                </c:pt>
                <c:pt idx="35">
                  <c:v>1994</c:v>
                </c:pt>
                <c:pt idx="36">
                  <c:v>1995</c:v>
                </c:pt>
                <c:pt idx="37">
                  <c:v>1996</c:v>
                </c:pt>
                <c:pt idx="38">
                  <c:v>1997</c:v>
                </c:pt>
                <c:pt idx="39">
                  <c:v>1998</c:v>
                </c:pt>
                <c:pt idx="40">
                  <c:v>1999</c:v>
                </c:pt>
                <c:pt idx="41">
                  <c:v>2000</c:v>
                </c:pt>
                <c:pt idx="42">
                  <c:v>2001</c:v>
                </c:pt>
                <c:pt idx="43">
                  <c:v>2002</c:v>
                </c:pt>
                <c:pt idx="44">
                  <c:v>2003</c:v>
                </c:pt>
                <c:pt idx="45">
                  <c:v>2004</c:v>
                </c:pt>
                <c:pt idx="46">
                  <c:v>2005</c:v>
                </c:pt>
                <c:pt idx="47">
                  <c:v>2006</c:v>
                </c:pt>
                <c:pt idx="48">
                  <c:v>2007</c:v>
                </c:pt>
                <c:pt idx="49">
                  <c:v>2008</c:v>
                </c:pt>
                <c:pt idx="50">
                  <c:v>2009</c:v>
                </c:pt>
                <c:pt idx="51">
                  <c:v>2010</c:v>
                </c:pt>
                <c:pt idx="52">
                  <c:v>2011</c:v>
                </c:pt>
                <c:pt idx="53">
                  <c:v>2012</c:v>
                </c:pt>
                <c:pt idx="54">
                  <c:v>2013</c:v>
                </c:pt>
                <c:pt idx="55">
                  <c:v>2014</c:v>
                </c:pt>
                <c:pt idx="56">
                  <c:v>2015</c:v>
                </c:pt>
                <c:pt idx="57">
                  <c:v>2016</c:v>
                </c:pt>
                <c:pt idx="58">
                  <c:v>2017</c:v>
                </c:pt>
                <c:pt idx="59">
                  <c:v>2018</c:v>
                </c:pt>
                <c:pt idx="60">
                  <c:v>2019</c:v>
                </c:pt>
                <c:pt idx="61">
                  <c:v>2020</c:v>
                </c:pt>
                <c:pt idx="62">
                  <c:v>2021</c:v>
                </c:pt>
                <c:pt idx="63">
                  <c:v>2022</c:v>
                </c:pt>
                <c:pt idx="64">
                  <c:v>2023</c:v>
                </c:pt>
              </c:strCache>
            </c:strRef>
          </c:cat>
          <c:val>
            <c:numRef>
              <c:f>'Government Budget'!$B$616:$BN$616</c:f>
              <c:numCache>
                <c:formatCode>General</c:formatCode>
                <c:ptCount val="65"/>
                <c:pt idx="21">
                  <c:v>55.599999999999994</c:v>
                </c:pt>
                <c:pt idx="22">
                  <c:v>66.7</c:v>
                </c:pt>
                <c:pt idx="23">
                  <c:v>76.8</c:v>
                </c:pt>
                <c:pt idx="24">
                  <c:v>87.000000000000014</c:v>
                </c:pt>
                <c:pt idx="25">
                  <c:v>95.899999999999991</c:v>
                </c:pt>
                <c:pt idx="26">
                  <c:v>103.8</c:v>
                </c:pt>
                <c:pt idx="27">
                  <c:v>112.9</c:v>
                </c:pt>
                <c:pt idx="28">
                  <c:v>122.49999999999999</c:v>
                </c:pt>
                <c:pt idx="29">
                  <c:v>132.19999999999999</c:v>
                </c:pt>
                <c:pt idx="30">
                  <c:v>151.10000000000002</c:v>
                </c:pt>
                <c:pt idx="31">
                  <c:v>173</c:v>
                </c:pt>
                <c:pt idx="32">
                  <c:v>205.50000000000003</c:v>
                </c:pt>
                <c:pt idx="33">
                  <c:v>239.8</c:v>
                </c:pt>
                <c:pt idx="34">
                  <c:v>265.89999999999998</c:v>
                </c:pt>
                <c:pt idx="35">
                  <c:v>289.5</c:v>
                </c:pt>
                <c:pt idx="36">
                  <c:v>316.79999999999995</c:v>
                </c:pt>
                <c:pt idx="37">
                  <c:v>340.3</c:v>
                </c:pt>
                <c:pt idx="38">
                  <c:v>357.09999999999997</c:v>
                </c:pt>
                <c:pt idx="39">
                  <c:v>358.29999999999995</c:v>
                </c:pt>
                <c:pt idx="40">
                  <c:v>370.20000000000005</c:v>
                </c:pt>
                <c:pt idx="41">
                  <c:v>392.2</c:v>
                </c:pt>
                <c:pt idx="42">
                  <c:v>448.90000000000003</c:v>
                </c:pt>
                <c:pt idx="43">
                  <c:v>485.7</c:v>
                </c:pt>
                <c:pt idx="44">
                  <c:v>514.1</c:v>
                </c:pt>
                <c:pt idx="45">
                  <c:v>566.20000000000005</c:v>
                </c:pt>
                <c:pt idx="46">
                  <c:v>608.20000000000005</c:v>
                </c:pt>
                <c:pt idx="47">
                  <c:v>669.1</c:v>
                </c:pt>
                <c:pt idx="48">
                  <c:v>721.5</c:v>
                </c:pt>
                <c:pt idx="49">
                  <c:v>768.30000000000007</c:v>
                </c:pt>
                <c:pt idx="50">
                  <c:v>831.9</c:v>
                </c:pt>
                <c:pt idx="51">
                  <c:v>880</c:v>
                </c:pt>
                <c:pt idx="52">
                  <c:v>913.89999999999986</c:v>
                </c:pt>
                <c:pt idx="53">
                  <c:v>943.09999999999991</c:v>
                </c:pt>
                <c:pt idx="54">
                  <c:v>985.1</c:v>
                </c:pt>
                <c:pt idx="55">
                  <c:v>1080.8999999999999</c:v>
                </c:pt>
                <c:pt idx="56">
                  <c:v>1170.4000000000001</c:v>
                </c:pt>
                <c:pt idx="57">
                  <c:v>1223.6999999999998</c:v>
                </c:pt>
                <c:pt idx="58">
                  <c:v>1275.0999999999999</c:v>
                </c:pt>
                <c:pt idx="59">
                  <c:v>1339.3</c:v>
                </c:pt>
                <c:pt idx="60">
                  <c:v>1416.1</c:v>
                </c:pt>
                <c:pt idx="61">
                  <c:v>1565.9</c:v>
                </c:pt>
                <c:pt idx="62">
                  <c:v>1655.9999999999998</c:v>
                </c:pt>
                <c:pt idx="63">
                  <c:v>1775.4</c:v>
                </c:pt>
              </c:numCache>
            </c:numRef>
          </c:val>
          <c:extLst>
            <c:ext xmlns:c16="http://schemas.microsoft.com/office/drawing/2014/chart" uri="{C3380CC4-5D6E-409C-BE32-E72D297353CC}">
              <c16:uniqueId val="{00000004-A2D7-D145-B12B-41C2A9FC8E50}"/>
            </c:ext>
          </c:extLst>
        </c:ser>
        <c:ser>
          <c:idx val="7"/>
          <c:order val="7"/>
          <c:tx>
            <c:strRef>
              <c:f>'Government Budget'!$A$617</c:f>
              <c:strCache>
                <c:ptCount val="1"/>
                <c:pt idx="0">
                  <c:v>社保-里根执政后-副轴</c:v>
                </c:pt>
              </c:strCache>
            </c:strRef>
          </c:tx>
          <c:spPr>
            <a:pattFill prst="pct40">
              <a:fgClr>
                <a:schemeClr val="tx1"/>
              </a:fgClr>
              <a:bgClr>
                <a:schemeClr val="bg1"/>
              </a:bgClr>
            </a:pattFill>
            <a:ln>
              <a:noFill/>
            </a:ln>
            <a:effectLst/>
          </c:spPr>
          <c:invertIfNegative val="0"/>
          <c:cat>
            <c:strRef>
              <c:f>'Government Budget'!$B$609:$BN$609</c:f>
              <c:strCache>
                <c:ptCount val="65"/>
                <c:pt idx="0">
                  <c:v>1959</c:v>
                </c:pt>
                <c:pt idx="1">
                  <c:v>1960</c:v>
                </c:pt>
                <c:pt idx="2">
                  <c:v>1961</c:v>
                </c:pt>
                <c:pt idx="3">
                  <c:v>1962</c:v>
                </c:pt>
                <c:pt idx="4">
                  <c:v>1963</c:v>
                </c:pt>
                <c:pt idx="5">
                  <c:v>1964</c:v>
                </c:pt>
                <c:pt idx="6">
                  <c:v>1965</c:v>
                </c:pt>
                <c:pt idx="7">
                  <c:v>1966</c:v>
                </c:pt>
                <c:pt idx="8">
                  <c:v>1967</c:v>
                </c:pt>
                <c:pt idx="9">
                  <c:v>1968</c:v>
                </c:pt>
                <c:pt idx="10">
                  <c:v>1969</c:v>
                </c:pt>
                <c:pt idx="11">
                  <c:v>1970</c:v>
                </c:pt>
                <c:pt idx="12">
                  <c:v>1971</c:v>
                </c:pt>
                <c:pt idx="13">
                  <c:v>1972</c:v>
                </c:pt>
                <c:pt idx="14">
                  <c:v>1973</c:v>
                </c:pt>
                <c:pt idx="15">
                  <c:v>1974</c:v>
                </c:pt>
                <c:pt idx="16">
                  <c:v>1975</c:v>
                </c:pt>
                <c:pt idx="17">
                  <c:v>1976</c:v>
                </c:pt>
                <c:pt idx="18">
                  <c:v>1977</c:v>
                </c:pt>
                <c:pt idx="19">
                  <c:v>1978</c:v>
                </c:pt>
                <c:pt idx="20">
                  <c:v>1979</c:v>
                </c:pt>
                <c:pt idx="21">
                  <c:v>1980</c:v>
                </c:pt>
                <c:pt idx="22">
                  <c:v>1981</c:v>
                </c:pt>
                <c:pt idx="23">
                  <c:v>1982</c:v>
                </c:pt>
                <c:pt idx="24">
                  <c:v>1983</c:v>
                </c:pt>
                <c:pt idx="25">
                  <c:v>1984</c:v>
                </c:pt>
                <c:pt idx="26">
                  <c:v>1985</c:v>
                </c:pt>
                <c:pt idx="27">
                  <c:v>1986</c:v>
                </c:pt>
                <c:pt idx="28">
                  <c:v>1987</c:v>
                </c:pt>
                <c:pt idx="29">
                  <c:v>1988</c:v>
                </c:pt>
                <c:pt idx="30">
                  <c:v>1989</c:v>
                </c:pt>
                <c:pt idx="31">
                  <c:v>1990</c:v>
                </c:pt>
                <c:pt idx="32">
                  <c:v>1991</c:v>
                </c:pt>
                <c:pt idx="33">
                  <c:v>1992</c:v>
                </c:pt>
                <c:pt idx="34">
                  <c:v>1993</c:v>
                </c:pt>
                <c:pt idx="35">
                  <c:v>1994</c:v>
                </c:pt>
                <c:pt idx="36">
                  <c:v>1995</c:v>
                </c:pt>
                <c:pt idx="37">
                  <c:v>1996</c:v>
                </c:pt>
                <c:pt idx="38">
                  <c:v>1997</c:v>
                </c:pt>
                <c:pt idx="39">
                  <c:v>1998</c:v>
                </c:pt>
                <c:pt idx="40">
                  <c:v>1999</c:v>
                </c:pt>
                <c:pt idx="41">
                  <c:v>2000</c:v>
                </c:pt>
                <c:pt idx="42">
                  <c:v>2001</c:v>
                </c:pt>
                <c:pt idx="43">
                  <c:v>2002</c:v>
                </c:pt>
                <c:pt idx="44">
                  <c:v>2003</c:v>
                </c:pt>
                <c:pt idx="45">
                  <c:v>2004</c:v>
                </c:pt>
                <c:pt idx="46">
                  <c:v>2005</c:v>
                </c:pt>
                <c:pt idx="47">
                  <c:v>2006</c:v>
                </c:pt>
                <c:pt idx="48">
                  <c:v>2007</c:v>
                </c:pt>
                <c:pt idx="49">
                  <c:v>2008</c:v>
                </c:pt>
                <c:pt idx="50">
                  <c:v>2009</c:v>
                </c:pt>
                <c:pt idx="51">
                  <c:v>2010</c:v>
                </c:pt>
                <c:pt idx="52">
                  <c:v>2011</c:v>
                </c:pt>
                <c:pt idx="53">
                  <c:v>2012</c:v>
                </c:pt>
                <c:pt idx="54">
                  <c:v>2013</c:v>
                </c:pt>
                <c:pt idx="55">
                  <c:v>2014</c:v>
                </c:pt>
                <c:pt idx="56">
                  <c:v>2015</c:v>
                </c:pt>
                <c:pt idx="57">
                  <c:v>2016</c:v>
                </c:pt>
                <c:pt idx="58">
                  <c:v>2017</c:v>
                </c:pt>
                <c:pt idx="59">
                  <c:v>2018</c:v>
                </c:pt>
                <c:pt idx="60">
                  <c:v>2019</c:v>
                </c:pt>
                <c:pt idx="61">
                  <c:v>2020</c:v>
                </c:pt>
                <c:pt idx="62">
                  <c:v>2021</c:v>
                </c:pt>
                <c:pt idx="63">
                  <c:v>2022</c:v>
                </c:pt>
                <c:pt idx="64">
                  <c:v>2023</c:v>
                </c:pt>
              </c:strCache>
            </c:strRef>
          </c:cat>
          <c:val>
            <c:numRef>
              <c:f>'Government Budget'!$B$617:$BN$617</c:f>
              <c:numCache>
                <c:formatCode>General</c:formatCode>
                <c:ptCount val="65"/>
                <c:pt idx="21">
                  <c:v>197.39999999999998</c:v>
                </c:pt>
                <c:pt idx="22">
                  <c:v>222</c:v>
                </c:pt>
                <c:pt idx="23">
                  <c:v>248.2</c:v>
                </c:pt>
                <c:pt idx="24">
                  <c:v>263.90000000000003</c:v>
                </c:pt>
                <c:pt idx="25">
                  <c:v>264.09999999999997</c:v>
                </c:pt>
                <c:pt idx="26">
                  <c:v>277.40000000000003</c:v>
                </c:pt>
                <c:pt idx="27">
                  <c:v>292.3</c:v>
                </c:pt>
                <c:pt idx="28">
                  <c:v>300.2</c:v>
                </c:pt>
                <c:pt idx="29">
                  <c:v>317.8</c:v>
                </c:pt>
                <c:pt idx="30">
                  <c:v>339.90000000000003</c:v>
                </c:pt>
                <c:pt idx="31">
                  <c:v>370.8</c:v>
                </c:pt>
                <c:pt idx="32">
                  <c:v>411</c:v>
                </c:pt>
                <c:pt idx="33">
                  <c:v>454.4</c:v>
                </c:pt>
                <c:pt idx="34">
                  <c:v>472.30000000000007</c:v>
                </c:pt>
                <c:pt idx="35">
                  <c:v>485.3</c:v>
                </c:pt>
                <c:pt idx="36">
                  <c:v>504.09999999999997</c:v>
                </c:pt>
                <c:pt idx="37">
                  <c:v>521.40000000000009</c:v>
                </c:pt>
                <c:pt idx="38">
                  <c:v>531.79999999999995</c:v>
                </c:pt>
                <c:pt idx="39">
                  <c:v>547.5</c:v>
                </c:pt>
                <c:pt idx="40">
                  <c:v>566.6</c:v>
                </c:pt>
                <c:pt idx="41">
                  <c:v>594.6</c:v>
                </c:pt>
                <c:pt idx="42">
                  <c:v>632</c:v>
                </c:pt>
                <c:pt idx="43">
                  <c:v>691.6</c:v>
                </c:pt>
                <c:pt idx="44">
                  <c:v>728.3</c:v>
                </c:pt>
                <c:pt idx="45">
                  <c:v>754</c:v>
                </c:pt>
                <c:pt idx="46">
                  <c:v>793.9</c:v>
                </c:pt>
                <c:pt idx="47">
                  <c:v>829.09999999999991</c:v>
                </c:pt>
                <c:pt idx="48">
                  <c:v>876</c:v>
                </c:pt>
                <c:pt idx="49">
                  <c:v>1041.5999999999999</c:v>
                </c:pt>
                <c:pt idx="50">
                  <c:v>1151.8000000000002</c:v>
                </c:pt>
                <c:pt idx="51">
                  <c:v>1251.7</c:v>
                </c:pt>
                <c:pt idx="52">
                  <c:v>1244.3999999999999</c:v>
                </c:pt>
                <c:pt idx="53">
                  <c:v>1226</c:v>
                </c:pt>
                <c:pt idx="54">
                  <c:v>1252.7</c:v>
                </c:pt>
                <c:pt idx="55">
                  <c:v>1267.7</c:v>
                </c:pt>
                <c:pt idx="56">
                  <c:v>1313</c:v>
                </c:pt>
                <c:pt idx="57">
                  <c:v>1337.4</c:v>
                </c:pt>
                <c:pt idx="58">
                  <c:v>1371.5</c:v>
                </c:pt>
                <c:pt idx="59">
                  <c:v>1417.9</c:v>
                </c:pt>
                <c:pt idx="60">
                  <c:v>1496.1</c:v>
                </c:pt>
                <c:pt idx="61">
                  <c:v>2422.9</c:v>
                </c:pt>
                <c:pt idx="62">
                  <c:v>2688.4</c:v>
                </c:pt>
                <c:pt idx="63">
                  <c:v>1900.1</c:v>
                </c:pt>
              </c:numCache>
            </c:numRef>
          </c:val>
          <c:extLst>
            <c:ext xmlns:c16="http://schemas.microsoft.com/office/drawing/2014/chart" uri="{C3380CC4-5D6E-409C-BE32-E72D297353CC}">
              <c16:uniqueId val="{00000005-A2D7-D145-B12B-41C2A9FC8E50}"/>
            </c:ext>
          </c:extLst>
        </c:ser>
        <c:dLbls>
          <c:showLegendKey val="0"/>
          <c:showVal val="0"/>
          <c:showCatName val="0"/>
          <c:showSerName val="0"/>
          <c:showPercent val="0"/>
          <c:showBubbleSize val="0"/>
        </c:dLbls>
        <c:gapWidth val="150"/>
        <c:axId val="713523920"/>
        <c:axId val="713517904"/>
      </c:barChart>
      <c:lineChart>
        <c:grouping val="standard"/>
        <c:varyColors val="0"/>
        <c:ser>
          <c:idx val="0"/>
          <c:order val="0"/>
          <c:tx>
            <c:strRef>
              <c:f>'Government Budget'!$A$610</c:f>
              <c:strCache>
                <c:ptCount val="1"/>
                <c:pt idx="0">
                  <c:v>财政支出-表内-副轴</c:v>
                </c:pt>
              </c:strCache>
            </c:strRef>
          </c:tx>
          <c:spPr>
            <a:ln w="19050" cap="rnd">
              <a:solidFill>
                <a:schemeClr val="tx1"/>
              </a:solidFill>
              <a:prstDash val="sysDot"/>
              <a:round/>
            </a:ln>
            <a:effectLst/>
          </c:spPr>
          <c:marker>
            <c:symbol val="none"/>
          </c:marker>
          <c:cat>
            <c:strRef>
              <c:f>'Government Budget'!$B$609:$BN$609</c:f>
              <c:strCache>
                <c:ptCount val="65"/>
                <c:pt idx="0">
                  <c:v>1959</c:v>
                </c:pt>
                <c:pt idx="1">
                  <c:v>1960</c:v>
                </c:pt>
                <c:pt idx="2">
                  <c:v>1961</c:v>
                </c:pt>
                <c:pt idx="3">
                  <c:v>1962</c:v>
                </c:pt>
                <c:pt idx="4">
                  <c:v>1963</c:v>
                </c:pt>
                <c:pt idx="5">
                  <c:v>1964</c:v>
                </c:pt>
                <c:pt idx="6">
                  <c:v>1965</c:v>
                </c:pt>
                <c:pt idx="7">
                  <c:v>1966</c:v>
                </c:pt>
                <c:pt idx="8">
                  <c:v>1967</c:v>
                </c:pt>
                <c:pt idx="9">
                  <c:v>1968</c:v>
                </c:pt>
                <c:pt idx="10">
                  <c:v>1969</c:v>
                </c:pt>
                <c:pt idx="11">
                  <c:v>1970</c:v>
                </c:pt>
                <c:pt idx="12">
                  <c:v>1971</c:v>
                </c:pt>
                <c:pt idx="13">
                  <c:v>1972</c:v>
                </c:pt>
                <c:pt idx="14">
                  <c:v>1973</c:v>
                </c:pt>
                <c:pt idx="15">
                  <c:v>1974</c:v>
                </c:pt>
                <c:pt idx="16">
                  <c:v>1975</c:v>
                </c:pt>
                <c:pt idx="17">
                  <c:v>1976</c:v>
                </c:pt>
                <c:pt idx="18">
                  <c:v>1977</c:v>
                </c:pt>
                <c:pt idx="19">
                  <c:v>1978</c:v>
                </c:pt>
                <c:pt idx="20">
                  <c:v>1979</c:v>
                </c:pt>
                <c:pt idx="21">
                  <c:v>1980</c:v>
                </c:pt>
                <c:pt idx="22">
                  <c:v>1981</c:v>
                </c:pt>
                <c:pt idx="23">
                  <c:v>1982</c:v>
                </c:pt>
                <c:pt idx="24">
                  <c:v>1983</c:v>
                </c:pt>
                <c:pt idx="25">
                  <c:v>1984</c:v>
                </c:pt>
                <c:pt idx="26">
                  <c:v>1985</c:v>
                </c:pt>
                <c:pt idx="27">
                  <c:v>1986</c:v>
                </c:pt>
                <c:pt idx="28">
                  <c:v>1987</c:v>
                </c:pt>
                <c:pt idx="29">
                  <c:v>1988</c:v>
                </c:pt>
                <c:pt idx="30">
                  <c:v>1989</c:v>
                </c:pt>
                <c:pt idx="31">
                  <c:v>1990</c:v>
                </c:pt>
                <c:pt idx="32">
                  <c:v>1991</c:v>
                </c:pt>
                <c:pt idx="33">
                  <c:v>1992</c:v>
                </c:pt>
                <c:pt idx="34">
                  <c:v>1993</c:v>
                </c:pt>
                <c:pt idx="35">
                  <c:v>1994</c:v>
                </c:pt>
                <c:pt idx="36">
                  <c:v>1995</c:v>
                </c:pt>
                <c:pt idx="37">
                  <c:v>1996</c:v>
                </c:pt>
                <c:pt idx="38">
                  <c:v>1997</c:v>
                </c:pt>
                <c:pt idx="39">
                  <c:v>1998</c:v>
                </c:pt>
                <c:pt idx="40">
                  <c:v>1999</c:v>
                </c:pt>
                <c:pt idx="41">
                  <c:v>2000</c:v>
                </c:pt>
                <c:pt idx="42">
                  <c:v>2001</c:v>
                </c:pt>
                <c:pt idx="43">
                  <c:v>2002</c:v>
                </c:pt>
                <c:pt idx="44">
                  <c:v>2003</c:v>
                </c:pt>
                <c:pt idx="45">
                  <c:v>2004</c:v>
                </c:pt>
                <c:pt idx="46">
                  <c:v>2005</c:v>
                </c:pt>
                <c:pt idx="47">
                  <c:v>2006</c:v>
                </c:pt>
                <c:pt idx="48">
                  <c:v>2007</c:v>
                </c:pt>
                <c:pt idx="49">
                  <c:v>2008</c:v>
                </c:pt>
                <c:pt idx="50">
                  <c:v>2009</c:v>
                </c:pt>
                <c:pt idx="51">
                  <c:v>2010</c:v>
                </c:pt>
                <c:pt idx="52">
                  <c:v>2011</c:v>
                </c:pt>
                <c:pt idx="53">
                  <c:v>2012</c:v>
                </c:pt>
                <c:pt idx="54">
                  <c:v>2013</c:v>
                </c:pt>
                <c:pt idx="55">
                  <c:v>2014</c:v>
                </c:pt>
                <c:pt idx="56">
                  <c:v>2015</c:v>
                </c:pt>
                <c:pt idx="57">
                  <c:v>2016</c:v>
                </c:pt>
                <c:pt idx="58">
                  <c:v>2017</c:v>
                </c:pt>
                <c:pt idx="59">
                  <c:v>2018</c:v>
                </c:pt>
                <c:pt idx="60">
                  <c:v>2019</c:v>
                </c:pt>
                <c:pt idx="61">
                  <c:v>2020</c:v>
                </c:pt>
                <c:pt idx="62">
                  <c:v>2021</c:v>
                </c:pt>
                <c:pt idx="63">
                  <c:v>2022</c:v>
                </c:pt>
                <c:pt idx="64">
                  <c:v>2023</c:v>
                </c:pt>
              </c:strCache>
            </c:strRef>
          </c:cat>
          <c:val>
            <c:numRef>
              <c:f>'Government Budget'!$B$610:$BN$610</c:f>
              <c:numCache>
                <c:formatCode>General</c:formatCode>
                <c:ptCount val="65"/>
                <c:pt idx="0">
                  <c:v>118.5</c:v>
                </c:pt>
                <c:pt idx="1">
                  <c:v>120.5</c:v>
                </c:pt>
                <c:pt idx="2">
                  <c:v>129.19999999999999</c:v>
                </c:pt>
                <c:pt idx="3">
                  <c:v>140.30000000000001</c:v>
                </c:pt>
                <c:pt idx="4">
                  <c:v>147.19999999999999</c:v>
                </c:pt>
                <c:pt idx="5">
                  <c:v>154.80000000000001</c:v>
                </c:pt>
                <c:pt idx="6">
                  <c:v>164.1</c:v>
                </c:pt>
                <c:pt idx="7">
                  <c:v>185.4</c:v>
                </c:pt>
                <c:pt idx="8">
                  <c:v>207</c:v>
                </c:pt>
                <c:pt idx="9">
                  <c:v>225.5</c:v>
                </c:pt>
                <c:pt idx="10">
                  <c:v>239</c:v>
                </c:pt>
                <c:pt idx="11">
                  <c:v>252.6</c:v>
                </c:pt>
                <c:pt idx="12">
                  <c:v>267.5</c:v>
                </c:pt>
                <c:pt idx="13">
                  <c:v>286.2</c:v>
                </c:pt>
                <c:pt idx="14">
                  <c:v>304.8</c:v>
                </c:pt>
                <c:pt idx="15">
                  <c:v>341.4</c:v>
                </c:pt>
                <c:pt idx="16">
                  <c:v>381.1</c:v>
                </c:pt>
                <c:pt idx="17">
                  <c:v>404.2</c:v>
                </c:pt>
                <c:pt idx="18">
                  <c:v>434.3</c:v>
                </c:pt>
                <c:pt idx="19">
                  <c:v>476.3</c:v>
                </c:pt>
                <c:pt idx="20">
                  <c:v>524.79999999999995</c:v>
                </c:pt>
                <c:pt idx="21">
                  <c:v>589.6</c:v>
                </c:pt>
                <c:pt idx="22">
                  <c:v>654.4</c:v>
                </c:pt>
                <c:pt idx="23">
                  <c:v>711.5</c:v>
                </c:pt>
                <c:pt idx="24">
                  <c:v>766.6</c:v>
                </c:pt>
                <c:pt idx="25">
                  <c:v>827.9</c:v>
                </c:pt>
                <c:pt idx="26">
                  <c:v>910.5</c:v>
                </c:pt>
                <c:pt idx="27">
                  <c:v>976.1</c:v>
                </c:pt>
                <c:pt idx="28">
                  <c:v>1031.5</c:v>
                </c:pt>
                <c:pt idx="29">
                  <c:v>1078.9000000000001</c:v>
                </c:pt>
                <c:pt idx="30">
                  <c:v>1151.9000000000001</c:v>
                </c:pt>
                <c:pt idx="31">
                  <c:v>1238.5999999999999</c:v>
                </c:pt>
                <c:pt idx="32">
                  <c:v>1299</c:v>
                </c:pt>
                <c:pt idx="33">
                  <c:v>1344.5</c:v>
                </c:pt>
                <c:pt idx="34">
                  <c:v>1364.9</c:v>
                </c:pt>
                <c:pt idx="35">
                  <c:v>1402.3</c:v>
                </c:pt>
                <c:pt idx="36">
                  <c:v>1449.4</c:v>
                </c:pt>
                <c:pt idx="37">
                  <c:v>1492.8</c:v>
                </c:pt>
                <c:pt idx="38">
                  <c:v>1547.1</c:v>
                </c:pt>
                <c:pt idx="39">
                  <c:v>1611.6</c:v>
                </c:pt>
                <c:pt idx="40">
                  <c:v>1719.9</c:v>
                </c:pt>
                <c:pt idx="41">
                  <c:v>1826.4</c:v>
                </c:pt>
                <c:pt idx="42">
                  <c:v>1950</c:v>
                </c:pt>
                <c:pt idx="43">
                  <c:v>2089.5</c:v>
                </c:pt>
                <c:pt idx="44">
                  <c:v>2210.6</c:v>
                </c:pt>
                <c:pt idx="45">
                  <c:v>2338.1</c:v>
                </c:pt>
                <c:pt idx="46">
                  <c:v>2475.3000000000002</c:v>
                </c:pt>
                <c:pt idx="47">
                  <c:v>2623.8</c:v>
                </c:pt>
                <c:pt idx="48">
                  <c:v>2790.6</c:v>
                </c:pt>
                <c:pt idx="49">
                  <c:v>2983</c:v>
                </c:pt>
                <c:pt idx="50">
                  <c:v>3076.3</c:v>
                </c:pt>
                <c:pt idx="51">
                  <c:v>3155.6</c:v>
                </c:pt>
                <c:pt idx="52">
                  <c:v>3147.9</c:v>
                </c:pt>
                <c:pt idx="53">
                  <c:v>3136.5</c:v>
                </c:pt>
                <c:pt idx="54">
                  <c:v>3132.6</c:v>
                </c:pt>
                <c:pt idx="55">
                  <c:v>3168.6</c:v>
                </c:pt>
                <c:pt idx="56">
                  <c:v>3233.4</c:v>
                </c:pt>
                <c:pt idx="57">
                  <c:v>3303</c:v>
                </c:pt>
                <c:pt idx="58">
                  <c:v>3397.1</c:v>
                </c:pt>
                <c:pt idx="59">
                  <c:v>3590.4</c:v>
                </c:pt>
                <c:pt idx="60">
                  <c:v>3789.9</c:v>
                </c:pt>
                <c:pt idx="61">
                  <c:v>3994.8</c:v>
                </c:pt>
                <c:pt idx="62">
                  <c:v>4193.1000000000004</c:v>
                </c:pt>
                <c:pt idx="63">
                  <c:v>4446.8</c:v>
                </c:pt>
                <c:pt idx="64">
                  <c:v>4745.1000000000004</c:v>
                </c:pt>
              </c:numCache>
            </c:numRef>
          </c:val>
          <c:smooth val="0"/>
          <c:extLst>
            <c:ext xmlns:c16="http://schemas.microsoft.com/office/drawing/2014/chart" uri="{C3380CC4-5D6E-409C-BE32-E72D297353CC}">
              <c16:uniqueId val="{00000006-A2D7-D145-B12B-41C2A9FC8E50}"/>
            </c:ext>
          </c:extLst>
        </c:ser>
        <c:ser>
          <c:idx val="1"/>
          <c:order val="1"/>
          <c:tx>
            <c:strRef>
              <c:f>'Government Budget'!$A$611</c:f>
              <c:strCache>
                <c:ptCount val="1"/>
                <c:pt idx="0">
                  <c:v>财政支出-表外-副轴</c:v>
                </c:pt>
              </c:strCache>
            </c:strRef>
          </c:tx>
          <c:spPr>
            <a:ln w="19050" cap="rnd">
              <a:solidFill>
                <a:schemeClr val="tx1"/>
              </a:solidFill>
              <a:round/>
            </a:ln>
            <a:effectLst/>
          </c:spPr>
          <c:marker>
            <c:symbol val="none"/>
          </c:marker>
          <c:cat>
            <c:strRef>
              <c:f>'Government Budget'!$B$609:$BN$609</c:f>
              <c:strCache>
                <c:ptCount val="65"/>
                <c:pt idx="0">
                  <c:v>1959</c:v>
                </c:pt>
                <c:pt idx="1">
                  <c:v>1960</c:v>
                </c:pt>
                <c:pt idx="2">
                  <c:v>1961</c:v>
                </c:pt>
                <c:pt idx="3">
                  <c:v>1962</c:v>
                </c:pt>
                <c:pt idx="4">
                  <c:v>1963</c:v>
                </c:pt>
                <c:pt idx="5">
                  <c:v>1964</c:v>
                </c:pt>
                <c:pt idx="6">
                  <c:v>1965</c:v>
                </c:pt>
                <c:pt idx="7">
                  <c:v>1966</c:v>
                </c:pt>
                <c:pt idx="8">
                  <c:v>1967</c:v>
                </c:pt>
                <c:pt idx="9">
                  <c:v>1968</c:v>
                </c:pt>
                <c:pt idx="10">
                  <c:v>1969</c:v>
                </c:pt>
                <c:pt idx="11">
                  <c:v>1970</c:v>
                </c:pt>
                <c:pt idx="12">
                  <c:v>1971</c:v>
                </c:pt>
                <c:pt idx="13">
                  <c:v>1972</c:v>
                </c:pt>
                <c:pt idx="14">
                  <c:v>1973</c:v>
                </c:pt>
                <c:pt idx="15">
                  <c:v>1974</c:v>
                </c:pt>
                <c:pt idx="16">
                  <c:v>1975</c:v>
                </c:pt>
                <c:pt idx="17">
                  <c:v>1976</c:v>
                </c:pt>
                <c:pt idx="18">
                  <c:v>1977</c:v>
                </c:pt>
                <c:pt idx="19">
                  <c:v>1978</c:v>
                </c:pt>
                <c:pt idx="20">
                  <c:v>1979</c:v>
                </c:pt>
                <c:pt idx="21">
                  <c:v>1980</c:v>
                </c:pt>
                <c:pt idx="22">
                  <c:v>1981</c:v>
                </c:pt>
                <c:pt idx="23">
                  <c:v>1982</c:v>
                </c:pt>
                <c:pt idx="24">
                  <c:v>1983</c:v>
                </c:pt>
                <c:pt idx="25">
                  <c:v>1984</c:v>
                </c:pt>
                <c:pt idx="26">
                  <c:v>1985</c:v>
                </c:pt>
                <c:pt idx="27">
                  <c:v>1986</c:v>
                </c:pt>
                <c:pt idx="28">
                  <c:v>1987</c:v>
                </c:pt>
                <c:pt idx="29">
                  <c:v>1988</c:v>
                </c:pt>
                <c:pt idx="30">
                  <c:v>1989</c:v>
                </c:pt>
                <c:pt idx="31">
                  <c:v>1990</c:v>
                </c:pt>
                <c:pt idx="32">
                  <c:v>1991</c:v>
                </c:pt>
                <c:pt idx="33">
                  <c:v>1992</c:v>
                </c:pt>
                <c:pt idx="34">
                  <c:v>1993</c:v>
                </c:pt>
                <c:pt idx="35">
                  <c:v>1994</c:v>
                </c:pt>
                <c:pt idx="36">
                  <c:v>1995</c:v>
                </c:pt>
                <c:pt idx="37">
                  <c:v>1996</c:v>
                </c:pt>
                <c:pt idx="38">
                  <c:v>1997</c:v>
                </c:pt>
                <c:pt idx="39">
                  <c:v>1998</c:v>
                </c:pt>
                <c:pt idx="40">
                  <c:v>1999</c:v>
                </c:pt>
                <c:pt idx="41">
                  <c:v>2000</c:v>
                </c:pt>
                <c:pt idx="42">
                  <c:v>2001</c:v>
                </c:pt>
                <c:pt idx="43">
                  <c:v>2002</c:v>
                </c:pt>
                <c:pt idx="44">
                  <c:v>2003</c:v>
                </c:pt>
                <c:pt idx="45">
                  <c:v>2004</c:v>
                </c:pt>
                <c:pt idx="46">
                  <c:v>2005</c:v>
                </c:pt>
                <c:pt idx="47">
                  <c:v>2006</c:v>
                </c:pt>
                <c:pt idx="48">
                  <c:v>2007</c:v>
                </c:pt>
                <c:pt idx="49">
                  <c:v>2008</c:v>
                </c:pt>
                <c:pt idx="50">
                  <c:v>2009</c:v>
                </c:pt>
                <c:pt idx="51">
                  <c:v>2010</c:v>
                </c:pt>
                <c:pt idx="52">
                  <c:v>2011</c:v>
                </c:pt>
                <c:pt idx="53">
                  <c:v>2012</c:v>
                </c:pt>
                <c:pt idx="54">
                  <c:v>2013</c:v>
                </c:pt>
                <c:pt idx="55">
                  <c:v>2014</c:v>
                </c:pt>
                <c:pt idx="56">
                  <c:v>2015</c:v>
                </c:pt>
                <c:pt idx="57">
                  <c:v>2016</c:v>
                </c:pt>
                <c:pt idx="58">
                  <c:v>2017</c:v>
                </c:pt>
                <c:pt idx="59">
                  <c:v>2018</c:v>
                </c:pt>
                <c:pt idx="60">
                  <c:v>2019</c:v>
                </c:pt>
                <c:pt idx="61">
                  <c:v>2020</c:v>
                </c:pt>
                <c:pt idx="62">
                  <c:v>2021</c:v>
                </c:pt>
                <c:pt idx="63">
                  <c:v>2022</c:v>
                </c:pt>
                <c:pt idx="64">
                  <c:v>2023</c:v>
                </c:pt>
              </c:strCache>
            </c:strRef>
          </c:cat>
          <c:val>
            <c:numRef>
              <c:f>'Government Budget'!$B$611:$BN$611</c:f>
              <c:numCache>
                <c:formatCode>General</c:formatCode>
                <c:ptCount val="65"/>
                <c:pt idx="0">
                  <c:v>5.9000000000000057</c:v>
                </c:pt>
                <c:pt idx="1">
                  <c:v>10.800000000000011</c:v>
                </c:pt>
                <c:pt idx="2">
                  <c:v>11.900000000000006</c:v>
                </c:pt>
                <c:pt idx="3">
                  <c:v>12.099999999999994</c:v>
                </c:pt>
                <c:pt idx="4">
                  <c:v>13.300000000000011</c:v>
                </c:pt>
                <c:pt idx="5">
                  <c:v>14.299999999999983</c:v>
                </c:pt>
                <c:pt idx="6">
                  <c:v>17.5</c:v>
                </c:pt>
                <c:pt idx="7">
                  <c:v>19.099999999999994</c:v>
                </c:pt>
                <c:pt idx="8">
                  <c:v>25.599999999999994</c:v>
                </c:pt>
                <c:pt idx="9">
                  <c:v>36.199999999999989</c:v>
                </c:pt>
                <c:pt idx="10">
                  <c:v>45.699999999999989</c:v>
                </c:pt>
                <c:pt idx="11">
                  <c:v>66.599999999999994</c:v>
                </c:pt>
                <c:pt idx="12">
                  <c:v>87</c:v>
                </c:pt>
                <c:pt idx="13">
                  <c:v>102.30000000000001</c:v>
                </c:pt>
                <c:pt idx="14">
                  <c:v>116.69999999999999</c:v>
                </c:pt>
                <c:pt idx="15">
                  <c:v>132.5</c:v>
                </c:pt>
                <c:pt idx="16">
                  <c:v>168.79999999999995</c:v>
                </c:pt>
                <c:pt idx="17">
                  <c:v>186.8</c:v>
                </c:pt>
                <c:pt idx="18">
                  <c:v>205.99999999999994</c:v>
                </c:pt>
                <c:pt idx="19">
                  <c:v>226.99999999999994</c:v>
                </c:pt>
                <c:pt idx="20">
                  <c:v>253.10000000000002</c:v>
                </c:pt>
                <c:pt idx="21">
                  <c:v>305</c:v>
                </c:pt>
                <c:pt idx="22">
                  <c:v>363</c:v>
                </c:pt>
                <c:pt idx="23">
                  <c:v>419.5</c:v>
                </c:pt>
                <c:pt idx="24">
                  <c:v>461.1</c:v>
                </c:pt>
                <c:pt idx="25">
                  <c:v>483.80000000000007</c:v>
                </c:pt>
                <c:pt idx="26">
                  <c:v>508.20000000000005</c:v>
                </c:pt>
                <c:pt idx="27">
                  <c:v>536.69999999999993</c:v>
                </c:pt>
                <c:pt idx="28">
                  <c:v>555.20000000000005</c:v>
                </c:pt>
                <c:pt idx="29">
                  <c:v>599.39999999999986</c:v>
                </c:pt>
                <c:pt idx="30">
                  <c:v>658.8</c:v>
                </c:pt>
                <c:pt idx="31">
                  <c:v>714.30000000000018</c:v>
                </c:pt>
                <c:pt idx="32">
                  <c:v>773.19999999999982</c:v>
                </c:pt>
                <c:pt idx="33">
                  <c:v>909.69999999999982</c:v>
                </c:pt>
                <c:pt idx="34">
                  <c:v>974.40000000000009</c:v>
                </c:pt>
                <c:pt idx="35">
                  <c:v>1014.8999999999999</c:v>
                </c:pt>
                <c:pt idx="36">
                  <c:v>1087.0999999999999</c:v>
                </c:pt>
                <c:pt idx="37">
                  <c:v>1129.0000000000002</c:v>
                </c:pt>
                <c:pt idx="38">
                  <c:v>1152.8000000000002</c:v>
                </c:pt>
                <c:pt idx="39">
                  <c:v>1155.8000000000002</c:v>
                </c:pt>
                <c:pt idx="40">
                  <c:v>1159.5999999999999</c:v>
                </c:pt>
                <c:pt idx="41">
                  <c:v>1193.5</c:v>
                </c:pt>
                <c:pt idx="42">
                  <c:v>1279.1999999999998</c:v>
                </c:pt>
                <c:pt idx="43">
                  <c:v>1330.3000000000002</c:v>
                </c:pt>
                <c:pt idx="44">
                  <c:v>1413.4</c:v>
                </c:pt>
                <c:pt idx="45">
                  <c:v>1479.3000000000002</c:v>
                </c:pt>
                <c:pt idx="46">
                  <c:v>1600</c:v>
                </c:pt>
                <c:pt idx="47">
                  <c:v>1696.3000000000002</c:v>
                </c:pt>
                <c:pt idx="48">
                  <c:v>1809.0000000000005</c:v>
                </c:pt>
                <c:pt idx="49">
                  <c:v>1989</c:v>
                </c:pt>
                <c:pt idx="50">
                  <c:v>2207.6999999999998</c:v>
                </c:pt>
                <c:pt idx="51">
                  <c:v>2404.4</c:v>
                </c:pt>
                <c:pt idx="52">
                  <c:v>2491.6</c:v>
                </c:pt>
                <c:pt idx="53">
                  <c:v>2530.6000000000004</c:v>
                </c:pt>
                <c:pt idx="54">
                  <c:v>2596.9</c:v>
                </c:pt>
                <c:pt idx="55">
                  <c:v>2717.1</c:v>
                </c:pt>
                <c:pt idx="56">
                  <c:v>2826.1</c:v>
                </c:pt>
                <c:pt idx="57">
                  <c:v>2935.7</c:v>
                </c:pt>
                <c:pt idx="58">
                  <c:v>3021.4</c:v>
                </c:pt>
                <c:pt idx="59">
                  <c:v>3159.4999999999995</c:v>
                </c:pt>
                <c:pt idx="60">
                  <c:v>3344.4</c:v>
                </c:pt>
                <c:pt idx="61">
                  <c:v>4925.9999999999991</c:v>
                </c:pt>
                <c:pt idx="62">
                  <c:v>5159.7999999999993</c:v>
                </c:pt>
                <c:pt idx="63">
                  <c:v>4244.9000000000005</c:v>
                </c:pt>
                <c:pt idx="64">
                  <c:v>4464.1999999999989</c:v>
                </c:pt>
              </c:numCache>
            </c:numRef>
          </c:val>
          <c:smooth val="0"/>
          <c:extLst>
            <c:ext xmlns:c16="http://schemas.microsoft.com/office/drawing/2014/chart" uri="{C3380CC4-5D6E-409C-BE32-E72D297353CC}">
              <c16:uniqueId val="{00000007-A2D7-D145-B12B-41C2A9FC8E50}"/>
            </c:ext>
          </c:extLst>
        </c:ser>
        <c:dLbls>
          <c:showLegendKey val="0"/>
          <c:showVal val="0"/>
          <c:showCatName val="0"/>
          <c:showSerName val="0"/>
          <c:showPercent val="0"/>
          <c:showBubbleSize val="0"/>
        </c:dLbls>
        <c:marker val="1"/>
        <c:smooth val="0"/>
        <c:axId val="713523920"/>
        <c:axId val="713517904"/>
      </c:lineChart>
      <c:catAx>
        <c:axId val="1521734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521736336"/>
        <c:crosses val="autoZero"/>
        <c:auto val="1"/>
        <c:lblAlgn val="ctr"/>
        <c:lblOffset val="100"/>
        <c:noMultiLvlLbl val="0"/>
      </c:catAx>
      <c:valAx>
        <c:axId val="1521736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r>
                  <a:rPr lang="zh-CN" altLang="en-US" sz="900">
                    <a:latin typeface="SimSun" panose="02010600030101010101" pitchFamily="2" charset="-122"/>
                    <a:ea typeface="SimSun" panose="02010600030101010101" pitchFamily="2" charset="-122"/>
                  </a:rPr>
                  <a:t>单位：</a:t>
                </a:r>
                <a:r>
                  <a:rPr lang="en-US" altLang="zh-CN" sz="900">
                    <a:latin typeface="SimSun" panose="02010600030101010101" pitchFamily="2" charset="-122"/>
                    <a:ea typeface="SimSun" panose="02010600030101010101" pitchFamily="2" charset="-122"/>
                  </a:rPr>
                  <a:t>10</a:t>
                </a:r>
                <a:r>
                  <a:rPr lang="zh-CN" altLang="en-US" sz="900">
                    <a:latin typeface="SimSun" panose="02010600030101010101" pitchFamily="2" charset="-122"/>
                    <a:ea typeface="SimSun" panose="02010600030101010101" pitchFamily="2" charset="-122"/>
                  </a:rPr>
                  <a:t>亿美元</a:t>
                </a:r>
              </a:p>
            </c:rich>
          </c:tx>
          <c:layout>
            <c:manualLayout>
              <c:xMode val="edge"/>
              <c:yMode val="edge"/>
              <c:x val="2.6490066225165563E-2"/>
              <c:y val="0.17904636920384953"/>
            </c:manualLayout>
          </c:layout>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521734624"/>
        <c:crosses val="autoZero"/>
        <c:crossBetween val="between"/>
      </c:valAx>
      <c:valAx>
        <c:axId val="713517904"/>
        <c:scaling>
          <c:orientation val="minMax"/>
        </c:scaling>
        <c:delete val="0"/>
        <c:axPos val="r"/>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r>
                  <a:rPr lang="zh-CN" altLang="en-US" sz="900" b="0" i="0" u="none" strike="noStrike" kern="1200" baseline="0">
                    <a:solidFill>
                      <a:sysClr val="windowText" lastClr="000000">
                        <a:lumMod val="65000"/>
                        <a:lumOff val="35000"/>
                      </a:sysClr>
                    </a:solidFill>
                    <a:latin typeface="SimSun" panose="02010600030101010101" pitchFamily="2" charset="-122"/>
                    <a:ea typeface="SimSun" panose="02010600030101010101" pitchFamily="2" charset="-122"/>
                  </a:rPr>
                  <a:t>单位：</a:t>
                </a:r>
                <a:r>
                  <a:rPr lang="en-US" altLang="zh-CN" sz="900" b="0" i="0" u="none" strike="noStrike" kern="1200" baseline="0">
                    <a:solidFill>
                      <a:sysClr val="windowText" lastClr="000000">
                        <a:lumMod val="65000"/>
                        <a:lumOff val="35000"/>
                      </a:sysClr>
                    </a:solidFill>
                    <a:latin typeface="SimSun" panose="02010600030101010101" pitchFamily="2" charset="-122"/>
                    <a:ea typeface="SimSun" panose="02010600030101010101" pitchFamily="2" charset="-122"/>
                  </a:rPr>
                  <a:t>10</a:t>
                </a:r>
                <a:r>
                  <a:rPr lang="zh-CN" altLang="en-US" sz="900" b="0" i="0" u="none" strike="noStrike" kern="1200" baseline="0">
                    <a:solidFill>
                      <a:sysClr val="windowText" lastClr="000000">
                        <a:lumMod val="65000"/>
                        <a:lumOff val="35000"/>
                      </a:sysClr>
                    </a:solidFill>
                    <a:latin typeface="SimSun" panose="02010600030101010101" pitchFamily="2" charset="-122"/>
                    <a:ea typeface="SimSun" panose="02010600030101010101" pitchFamily="2" charset="-122"/>
                  </a:rPr>
                  <a:t>亿美元</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713523920"/>
        <c:crosses val="max"/>
        <c:crossBetween val="between"/>
      </c:valAx>
      <c:catAx>
        <c:axId val="713523920"/>
        <c:scaling>
          <c:orientation val="minMax"/>
        </c:scaling>
        <c:delete val="1"/>
        <c:axPos val="b"/>
        <c:numFmt formatCode="General" sourceLinked="1"/>
        <c:majorTickMark val="out"/>
        <c:minorTickMark val="none"/>
        <c:tickLblPos val="nextTo"/>
        <c:crossAx val="7135179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就业与工资对比!$A$3</c:f>
              <c:strCache>
                <c:ptCount val="1"/>
                <c:pt idx="0">
                  <c:v>制造就业-主轴</c:v>
                </c:pt>
              </c:strCache>
            </c:strRef>
          </c:tx>
          <c:spPr>
            <a:ln w="19050" cap="rnd">
              <a:solidFill>
                <a:schemeClr val="tx1"/>
              </a:solidFill>
              <a:prstDash val="solid"/>
              <a:round/>
            </a:ln>
            <a:effectLst/>
          </c:spPr>
          <c:marker>
            <c:symbol val="none"/>
          </c:marker>
          <c:cat>
            <c:strRef>
              <c:f>就业与工资对比!$B$1:$CR$1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pt idx="75">
                  <c:v>2003</c:v>
                </c:pt>
                <c:pt idx="76">
                  <c:v>2004</c:v>
                </c:pt>
                <c:pt idx="77">
                  <c:v>2005</c:v>
                </c:pt>
                <c:pt idx="78">
                  <c:v>2006</c:v>
                </c:pt>
                <c:pt idx="79">
                  <c:v>2007</c:v>
                </c:pt>
                <c:pt idx="80">
                  <c:v>2008</c:v>
                </c:pt>
                <c:pt idx="81">
                  <c:v>2009</c:v>
                </c:pt>
                <c:pt idx="82">
                  <c:v>2010</c:v>
                </c:pt>
                <c:pt idx="83">
                  <c:v>2011</c:v>
                </c:pt>
                <c:pt idx="84">
                  <c:v>2012</c:v>
                </c:pt>
                <c:pt idx="85">
                  <c:v>2013</c:v>
                </c:pt>
                <c:pt idx="86">
                  <c:v>2014</c:v>
                </c:pt>
                <c:pt idx="87">
                  <c:v>2015</c:v>
                </c:pt>
                <c:pt idx="88">
                  <c:v>2016</c:v>
                </c:pt>
                <c:pt idx="89">
                  <c:v>2017</c:v>
                </c:pt>
                <c:pt idx="90">
                  <c:v>2018</c:v>
                </c:pt>
                <c:pt idx="91">
                  <c:v>2019</c:v>
                </c:pt>
                <c:pt idx="92">
                  <c:v>2020</c:v>
                </c:pt>
                <c:pt idx="93">
                  <c:v>2021</c:v>
                </c:pt>
                <c:pt idx="94">
                  <c:v>2022</c:v>
                </c:pt>
              </c:strCache>
            </c:strRef>
          </c:cat>
          <c:val>
            <c:numRef>
              <c:f>就业与工资对比!$B$3:$CR$3</c:f>
              <c:numCache>
                <c:formatCode>General</c:formatCode>
                <c:ptCount val="95"/>
                <c:pt idx="0">
                  <c:v>10428</c:v>
                </c:pt>
                <c:pt idx="1">
                  <c:v>9309</c:v>
                </c:pt>
                <c:pt idx="2">
                  <c:v>7895</c:v>
                </c:pt>
                <c:pt idx="3">
                  <c:v>6678</c:v>
                </c:pt>
                <c:pt idx="4">
                  <c:v>7204</c:v>
                </c:pt>
                <c:pt idx="5">
                  <c:v>8364</c:v>
                </c:pt>
                <c:pt idx="6">
                  <c:v>8904</c:v>
                </c:pt>
                <c:pt idx="7">
                  <c:v>9645</c:v>
                </c:pt>
                <c:pt idx="8">
                  <c:v>10591</c:v>
                </c:pt>
                <c:pt idx="9">
                  <c:v>9131</c:v>
                </c:pt>
                <c:pt idx="10">
                  <c:v>9967</c:v>
                </c:pt>
                <c:pt idx="11">
                  <c:v>10882</c:v>
                </c:pt>
                <c:pt idx="12">
                  <c:v>13137</c:v>
                </c:pt>
                <c:pt idx="13">
                  <c:v>15284</c:v>
                </c:pt>
                <c:pt idx="14">
                  <c:v>17402</c:v>
                </c:pt>
                <c:pt idx="15">
                  <c:v>17050</c:v>
                </c:pt>
                <c:pt idx="16">
                  <c:v>15186</c:v>
                </c:pt>
                <c:pt idx="17">
                  <c:v>14493</c:v>
                </c:pt>
                <c:pt idx="18">
                  <c:v>15205</c:v>
                </c:pt>
                <c:pt idx="19">
                  <c:v>15276</c:v>
                </c:pt>
                <c:pt idx="20">
                  <c:v>15521</c:v>
                </c:pt>
                <c:pt idx="21">
                  <c:v>14368</c:v>
                </c:pt>
                <c:pt idx="22">
                  <c:v>15110</c:v>
                </c:pt>
                <c:pt idx="23">
                  <c:v>16252</c:v>
                </c:pt>
                <c:pt idx="24">
                  <c:v>16482</c:v>
                </c:pt>
                <c:pt idx="25">
                  <c:v>17241</c:v>
                </c:pt>
                <c:pt idx="26">
                  <c:v>15999</c:v>
                </c:pt>
                <c:pt idx="27">
                  <c:v>16490</c:v>
                </c:pt>
                <c:pt idx="28">
                  <c:v>16774</c:v>
                </c:pt>
                <c:pt idx="29">
                  <c:v>16745</c:v>
                </c:pt>
                <c:pt idx="30">
                  <c:v>15291</c:v>
                </c:pt>
                <c:pt idx="31">
                  <c:v>16060</c:v>
                </c:pt>
                <c:pt idx="32">
                  <c:v>16189</c:v>
                </c:pt>
                <c:pt idx="33">
                  <c:v>15772</c:v>
                </c:pt>
                <c:pt idx="34">
                  <c:v>16360</c:v>
                </c:pt>
                <c:pt idx="35">
                  <c:v>16484</c:v>
                </c:pt>
                <c:pt idx="36">
                  <c:v>16722</c:v>
                </c:pt>
                <c:pt idx="37">
                  <c:v>17624</c:v>
                </c:pt>
                <c:pt idx="38">
                  <c:v>18852</c:v>
                </c:pt>
                <c:pt idx="39">
                  <c:v>19068</c:v>
                </c:pt>
                <c:pt idx="40">
                  <c:v>19386</c:v>
                </c:pt>
                <c:pt idx="41">
                  <c:v>19789</c:v>
                </c:pt>
                <c:pt idx="42">
                  <c:v>18906</c:v>
                </c:pt>
                <c:pt idx="43">
                  <c:v>18087</c:v>
                </c:pt>
                <c:pt idx="44">
                  <c:v>18571</c:v>
                </c:pt>
                <c:pt idx="45">
                  <c:v>19605</c:v>
                </c:pt>
                <c:pt idx="46">
                  <c:v>19538</c:v>
                </c:pt>
                <c:pt idx="47">
                  <c:v>17783</c:v>
                </c:pt>
                <c:pt idx="48">
                  <c:v>18546</c:v>
                </c:pt>
                <c:pt idx="49">
                  <c:v>19245</c:v>
                </c:pt>
                <c:pt idx="50">
                  <c:v>20092</c:v>
                </c:pt>
                <c:pt idx="51">
                  <c:v>20611</c:v>
                </c:pt>
                <c:pt idx="52">
                  <c:v>19813</c:v>
                </c:pt>
                <c:pt idx="53">
                  <c:v>19749</c:v>
                </c:pt>
                <c:pt idx="54">
                  <c:v>18249</c:v>
                </c:pt>
                <c:pt idx="55">
                  <c:v>17935</c:v>
                </c:pt>
                <c:pt idx="56">
                  <c:v>18888</c:v>
                </c:pt>
                <c:pt idx="57">
                  <c:v>18754</c:v>
                </c:pt>
                <c:pt idx="58">
                  <c:v>18463</c:v>
                </c:pt>
                <c:pt idx="59">
                  <c:v>18571</c:v>
                </c:pt>
                <c:pt idx="60">
                  <c:v>18912</c:v>
                </c:pt>
                <c:pt idx="61">
                  <c:v>18955</c:v>
                </c:pt>
                <c:pt idx="62">
                  <c:v>18649</c:v>
                </c:pt>
                <c:pt idx="63">
                  <c:v>17979</c:v>
                </c:pt>
                <c:pt idx="64">
                  <c:v>17641</c:v>
                </c:pt>
                <c:pt idx="65">
                  <c:v>17631</c:v>
                </c:pt>
                <c:pt idx="66">
                  <c:v>17977</c:v>
                </c:pt>
                <c:pt idx="67">
                  <c:v>18148</c:v>
                </c:pt>
                <c:pt idx="68">
                  <c:v>18119</c:v>
                </c:pt>
                <c:pt idx="69">
                  <c:v>18293</c:v>
                </c:pt>
                <c:pt idx="70">
                  <c:v>18431</c:v>
                </c:pt>
                <c:pt idx="71">
                  <c:v>18208</c:v>
                </c:pt>
                <c:pt idx="72">
                  <c:v>18098</c:v>
                </c:pt>
                <c:pt idx="73">
                  <c:v>16126</c:v>
                </c:pt>
                <c:pt idx="74">
                  <c:v>14973</c:v>
                </c:pt>
                <c:pt idx="75">
                  <c:v>14214</c:v>
                </c:pt>
                <c:pt idx="76">
                  <c:v>14021</c:v>
                </c:pt>
                <c:pt idx="77">
                  <c:v>13946</c:v>
                </c:pt>
                <c:pt idx="78">
                  <c:v>13884</c:v>
                </c:pt>
                <c:pt idx="79">
                  <c:v>13596</c:v>
                </c:pt>
                <c:pt idx="80">
                  <c:v>13129</c:v>
                </c:pt>
                <c:pt idx="81">
                  <c:v>11514</c:v>
                </c:pt>
                <c:pt idx="82">
                  <c:v>11223</c:v>
                </c:pt>
                <c:pt idx="83">
                  <c:v>11443</c:v>
                </c:pt>
                <c:pt idx="84">
                  <c:v>11652</c:v>
                </c:pt>
                <c:pt idx="85">
                  <c:v>11742</c:v>
                </c:pt>
                <c:pt idx="86">
                  <c:v>11917</c:v>
                </c:pt>
                <c:pt idx="87">
                  <c:v>12075</c:v>
                </c:pt>
                <c:pt idx="88">
                  <c:v>12039</c:v>
                </c:pt>
                <c:pt idx="89">
                  <c:v>12180</c:v>
                </c:pt>
                <c:pt idx="90">
                  <c:v>12387</c:v>
                </c:pt>
                <c:pt idx="91">
                  <c:v>12526</c:v>
                </c:pt>
                <c:pt idx="92">
                  <c:v>11844</c:v>
                </c:pt>
                <c:pt idx="93">
                  <c:v>12087</c:v>
                </c:pt>
                <c:pt idx="94">
                  <c:v>12523</c:v>
                </c:pt>
              </c:numCache>
            </c:numRef>
          </c:val>
          <c:smooth val="0"/>
          <c:extLst>
            <c:ext xmlns:c16="http://schemas.microsoft.com/office/drawing/2014/chart" uri="{C3380CC4-5D6E-409C-BE32-E72D297353CC}">
              <c16:uniqueId val="{00000000-D2C1-6342-8CD2-F05FF6FE9F6B}"/>
            </c:ext>
          </c:extLst>
        </c:ser>
        <c:ser>
          <c:idx val="2"/>
          <c:order val="1"/>
          <c:tx>
            <c:strRef>
              <c:f>就业与工资对比!$A$4</c:f>
              <c:strCache>
                <c:ptCount val="1"/>
                <c:pt idx="0">
                  <c:v>医疗就业-主轴</c:v>
                </c:pt>
              </c:strCache>
            </c:strRef>
          </c:tx>
          <c:spPr>
            <a:ln w="19050" cap="rnd">
              <a:solidFill>
                <a:schemeClr val="tx1"/>
              </a:solidFill>
              <a:prstDash val="sysDash"/>
              <a:round/>
            </a:ln>
            <a:effectLst/>
          </c:spPr>
          <c:marker>
            <c:symbol val="none"/>
          </c:marker>
          <c:cat>
            <c:strRef>
              <c:f>就业与工资对比!$B$1:$CR$1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pt idx="75">
                  <c:v>2003</c:v>
                </c:pt>
                <c:pt idx="76">
                  <c:v>2004</c:v>
                </c:pt>
                <c:pt idx="77">
                  <c:v>2005</c:v>
                </c:pt>
                <c:pt idx="78">
                  <c:v>2006</c:v>
                </c:pt>
                <c:pt idx="79">
                  <c:v>2007</c:v>
                </c:pt>
                <c:pt idx="80">
                  <c:v>2008</c:v>
                </c:pt>
                <c:pt idx="81">
                  <c:v>2009</c:v>
                </c:pt>
                <c:pt idx="82">
                  <c:v>2010</c:v>
                </c:pt>
                <c:pt idx="83">
                  <c:v>2011</c:v>
                </c:pt>
                <c:pt idx="84">
                  <c:v>2012</c:v>
                </c:pt>
                <c:pt idx="85">
                  <c:v>2013</c:v>
                </c:pt>
                <c:pt idx="86">
                  <c:v>2014</c:v>
                </c:pt>
                <c:pt idx="87">
                  <c:v>2015</c:v>
                </c:pt>
                <c:pt idx="88">
                  <c:v>2016</c:v>
                </c:pt>
                <c:pt idx="89">
                  <c:v>2017</c:v>
                </c:pt>
                <c:pt idx="90">
                  <c:v>2018</c:v>
                </c:pt>
                <c:pt idx="91">
                  <c:v>2019</c:v>
                </c:pt>
                <c:pt idx="92">
                  <c:v>2020</c:v>
                </c:pt>
                <c:pt idx="93">
                  <c:v>2021</c:v>
                </c:pt>
                <c:pt idx="94">
                  <c:v>2022</c:v>
                </c:pt>
              </c:strCache>
            </c:strRef>
          </c:cat>
          <c:val>
            <c:numRef>
              <c:f>就业与工资对比!$B$4:$CR$4</c:f>
              <c:numCache>
                <c:formatCode>General</c:formatCode>
                <c:ptCount val="95"/>
                <c:pt idx="0">
                  <c:v>429</c:v>
                </c:pt>
                <c:pt idx="1">
                  <c:v>434</c:v>
                </c:pt>
                <c:pt idx="2">
                  <c:v>419</c:v>
                </c:pt>
                <c:pt idx="3">
                  <c:v>399</c:v>
                </c:pt>
                <c:pt idx="4">
                  <c:v>390</c:v>
                </c:pt>
                <c:pt idx="5">
                  <c:v>403</c:v>
                </c:pt>
                <c:pt idx="6">
                  <c:v>420</c:v>
                </c:pt>
                <c:pt idx="7">
                  <c:v>455</c:v>
                </c:pt>
                <c:pt idx="8">
                  <c:v>491</c:v>
                </c:pt>
                <c:pt idx="9">
                  <c:v>516</c:v>
                </c:pt>
                <c:pt idx="10">
                  <c:v>522</c:v>
                </c:pt>
                <c:pt idx="11">
                  <c:v>549</c:v>
                </c:pt>
                <c:pt idx="12">
                  <c:v>580</c:v>
                </c:pt>
                <c:pt idx="13">
                  <c:v>614</c:v>
                </c:pt>
                <c:pt idx="14">
                  <c:v>655</c:v>
                </c:pt>
                <c:pt idx="15">
                  <c:v>665</c:v>
                </c:pt>
                <c:pt idx="16">
                  <c:v>661</c:v>
                </c:pt>
                <c:pt idx="17">
                  <c:v>701</c:v>
                </c:pt>
                <c:pt idx="18">
                  <c:v>767</c:v>
                </c:pt>
                <c:pt idx="19">
                  <c:v>832</c:v>
                </c:pt>
                <c:pt idx="20">
                  <c:v>825</c:v>
                </c:pt>
                <c:pt idx="21">
                  <c:v>846</c:v>
                </c:pt>
                <c:pt idx="22">
                  <c:v>905</c:v>
                </c:pt>
                <c:pt idx="23">
                  <c:v>958</c:v>
                </c:pt>
                <c:pt idx="24">
                  <c:v>989</c:v>
                </c:pt>
                <c:pt idx="25">
                  <c:v>1035</c:v>
                </c:pt>
                <c:pt idx="26">
                  <c:v>1084</c:v>
                </c:pt>
                <c:pt idx="27">
                  <c:v>1132</c:v>
                </c:pt>
                <c:pt idx="28">
                  <c:v>1191</c:v>
                </c:pt>
                <c:pt idx="29">
                  <c:v>1264</c:v>
                </c:pt>
                <c:pt idx="30">
                  <c:v>1331</c:v>
                </c:pt>
                <c:pt idx="31">
                  <c:v>1379</c:v>
                </c:pt>
                <c:pt idx="32">
                  <c:v>1418</c:v>
                </c:pt>
                <c:pt idx="33">
                  <c:v>1439</c:v>
                </c:pt>
                <c:pt idx="34">
                  <c:v>1486</c:v>
                </c:pt>
                <c:pt idx="35">
                  <c:v>1554</c:v>
                </c:pt>
                <c:pt idx="36">
                  <c:v>1630</c:v>
                </c:pt>
                <c:pt idx="37">
                  <c:v>1735</c:v>
                </c:pt>
                <c:pt idx="38">
                  <c:v>1882</c:v>
                </c:pt>
                <c:pt idx="39">
                  <c:v>2056</c:v>
                </c:pt>
                <c:pt idx="40">
                  <c:v>2220</c:v>
                </c:pt>
                <c:pt idx="41">
                  <c:v>2394</c:v>
                </c:pt>
                <c:pt idx="42">
                  <c:v>2520</c:v>
                </c:pt>
                <c:pt idx="43">
                  <c:v>2746</c:v>
                </c:pt>
                <c:pt idx="44">
                  <c:v>3050</c:v>
                </c:pt>
                <c:pt idx="45">
                  <c:v>3308</c:v>
                </c:pt>
                <c:pt idx="46">
                  <c:v>3537</c:v>
                </c:pt>
                <c:pt idx="47">
                  <c:v>3775</c:v>
                </c:pt>
                <c:pt idx="48">
                  <c:v>3962</c:v>
                </c:pt>
                <c:pt idx="49">
                  <c:v>4163</c:v>
                </c:pt>
                <c:pt idx="50">
                  <c:v>4401</c:v>
                </c:pt>
                <c:pt idx="51">
                  <c:v>4617</c:v>
                </c:pt>
                <c:pt idx="52">
                  <c:v>4878</c:v>
                </c:pt>
                <c:pt idx="53">
                  <c:v>5151</c:v>
                </c:pt>
                <c:pt idx="54">
                  <c:v>5314</c:v>
                </c:pt>
                <c:pt idx="55">
                  <c:v>5472</c:v>
                </c:pt>
                <c:pt idx="56">
                  <c:v>5600</c:v>
                </c:pt>
                <c:pt idx="57">
                  <c:v>5778</c:v>
                </c:pt>
                <c:pt idx="58">
                  <c:v>6000</c:v>
                </c:pt>
                <c:pt idx="59">
                  <c:v>6255</c:v>
                </c:pt>
                <c:pt idx="60">
                  <c:v>6365</c:v>
                </c:pt>
                <c:pt idx="61">
                  <c:v>6680</c:v>
                </c:pt>
                <c:pt idx="62">
                  <c:v>6988</c:v>
                </c:pt>
                <c:pt idx="63">
                  <c:v>7292</c:v>
                </c:pt>
                <c:pt idx="64">
                  <c:v>7657</c:v>
                </c:pt>
                <c:pt idx="65">
                  <c:v>7918</c:v>
                </c:pt>
                <c:pt idx="66">
                  <c:v>8137</c:v>
                </c:pt>
                <c:pt idx="67">
                  <c:v>8315</c:v>
                </c:pt>
                <c:pt idx="68">
                  <c:v>8569</c:v>
                </c:pt>
                <c:pt idx="69">
                  <c:v>8752</c:v>
                </c:pt>
                <c:pt idx="70">
                  <c:v>8883</c:v>
                </c:pt>
                <c:pt idx="71">
                  <c:v>9005</c:v>
                </c:pt>
                <c:pt idx="72">
                  <c:v>9131</c:v>
                </c:pt>
                <c:pt idx="73">
                  <c:v>11955</c:v>
                </c:pt>
                <c:pt idx="74">
                  <c:v>12338</c:v>
                </c:pt>
                <c:pt idx="75">
                  <c:v>12657</c:v>
                </c:pt>
                <c:pt idx="76">
                  <c:v>12914</c:v>
                </c:pt>
                <c:pt idx="77">
                  <c:v>13257</c:v>
                </c:pt>
                <c:pt idx="78">
                  <c:v>13687</c:v>
                </c:pt>
                <c:pt idx="79">
                  <c:v>14017</c:v>
                </c:pt>
                <c:pt idx="80">
                  <c:v>14423</c:v>
                </c:pt>
                <c:pt idx="81">
                  <c:v>14648</c:v>
                </c:pt>
                <c:pt idx="82">
                  <c:v>14903</c:v>
                </c:pt>
                <c:pt idx="83">
                  <c:v>15093</c:v>
                </c:pt>
                <c:pt idx="84">
                  <c:v>15733</c:v>
                </c:pt>
                <c:pt idx="85">
                  <c:v>16129</c:v>
                </c:pt>
                <c:pt idx="86">
                  <c:v>16441</c:v>
                </c:pt>
                <c:pt idx="87">
                  <c:v>16901</c:v>
                </c:pt>
                <c:pt idx="88">
                  <c:v>17362</c:v>
                </c:pt>
                <c:pt idx="89">
                  <c:v>17822</c:v>
                </c:pt>
                <c:pt idx="90">
                  <c:v>18255</c:v>
                </c:pt>
                <c:pt idx="91">
                  <c:v>18615</c:v>
                </c:pt>
                <c:pt idx="92">
                  <c:v>18179</c:v>
                </c:pt>
                <c:pt idx="93">
                  <c:v>18522</c:v>
                </c:pt>
                <c:pt idx="94">
                  <c:v>18904</c:v>
                </c:pt>
              </c:numCache>
            </c:numRef>
          </c:val>
          <c:smooth val="0"/>
          <c:extLst>
            <c:ext xmlns:c16="http://schemas.microsoft.com/office/drawing/2014/chart" uri="{C3380CC4-5D6E-409C-BE32-E72D297353CC}">
              <c16:uniqueId val="{00000001-D2C1-6342-8CD2-F05FF6FE9F6B}"/>
            </c:ext>
          </c:extLst>
        </c:ser>
        <c:ser>
          <c:idx val="3"/>
          <c:order val="2"/>
          <c:tx>
            <c:strRef>
              <c:f>就业与工资对比!$A$5</c:f>
              <c:strCache>
                <c:ptCount val="1"/>
                <c:pt idx="0">
                  <c:v>证券经销就业-主轴</c:v>
                </c:pt>
              </c:strCache>
            </c:strRef>
          </c:tx>
          <c:spPr>
            <a:ln w="19050" cap="rnd">
              <a:solidFill>
                <a:schemeClr val="tx1"/>
              </a:solidFill>
              <a:prstDash val="dash"/>
              <a:round/>
            </a:ln>
            <a:effectLst/>
          </c:spPr>
          <c:marker>
            <c:symbol val="none"/>
          </c:marker>
          <c:cat>
            <c:strRef>
              <c:f>就业与工资对比!$B$1:$CR$1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pt idx="75">
                  <c:v>2003</c:v>
                </c:pt>
                <c:pt idx="76">
                  <c:v>2004</c:v>
                </c:pt>
                <c:pt idx="77">
                  <c:v>2005</c:v>
                </c:pt>
                <c:pt idx="78">
                  <c:v>2006</c:v>
                </c:pt>
                <c:pt idx="79">
                  <c:v>2007</c:v>
                </c:pt>
                <c:pt idx="80">
                  <c:v>2008</c:v>
                </c:pt>
                <c:pt idx="81">
                  <c:v>2009</c:v>
                </c:pt>
                <c:pt idx="82">
                  <c:v>2010</c:v>
                </c:pt>
                <c:pt idx="83">
                  <c:v>2011</c:v>
                </c:pt>
                <c:pt idx="84">
                  <c:v>2012</c:v>
                </c:pt>
                <c:pt idx="85">
                  <c:v>2013</c:v>
                </c:pt>
                <c:pt idx="86">
                  <c:v>2014</c:v>
                </c:pt>
                <c:pt idx="87">
                  <c:v>2015</c:v>
                </c:pt>
                <c:pt idx="88">
                  <c:v>2016</c:v>
                </c:pt>
                <c:pt idx="89">
                  <c:v>2017</c:v>
                </c:pt>
                <c:pt idx="90">
                  <c:v>2018</c:v>
                </c:pt>
                <c:pt idx="91">
                  <c:v>2019</c:v>
                </c:pt>
                <c:pt idx="92">
                  <c:v>2020</c:v>
                </c:pt>
                <c:pt idx="93">
                  <c:v>2021</c:v>
                </c:pt>
                <c:pt idx="94">
                  <c:v>2022</c:v>
                </c:pt>
              </c:strCache>
            </c:strRef>
          </c:cat>
          <c:val>
            <c:numRef>
              <c:f>就业与工资对比!$B$5:$CR$5</c:f>
              <c:numCache>
                <c:formatCode>General</c:formatCode>
                <c:ptCount val="95"/>
                <c:pt idx="0">
                  <c:v>128</c:v>
                </c:pt>
                <c:pt idx="1">
                  <c:v>103</c:v>
                </c:pt>
                <c:pt idx="2">
                  <c:v>88</c:v>
                </c:pt>
                <c:pt idx="3">
                  <c:v>80</c:v>
                </c:pt>
                <c:pt idx="4">
                  <c:v>89</c:v>
                </c:pt>
                <c:pt idx="5">
                  <c:v>83</c:v>
                </c:pt>
                <c:pt idx="6">
                  <c:v>74</c:v>
                </c:pt>
                <c:pt idx="7">
                  <c:v>85</c:v>
                </c:pt>
                <c:pt idx="8">
                  <c:v>83</c:v>
                </c:pt>
                <c:pt idx="9">
                  <c:v>68</c:v>
                </c:pt>
                <c:pt idx="10">
                  <c:v>62</c:v>
                </c:pt>
                <c:pt idx="11">
                  <c:v>58</c:v>
                </c:pt>
                <c:pt idx="12">
                  <c:v>50</c:v>
                </c:pt>
                <c:pt idx="13">
                  <c:v>41</c:v>
                </c:pt>
                <c:pt idx="14">
                  <c:v>38</c:v>
                </c:pt>
                <c:pt idx="15">
                  <c:v>39</c:v>
                </c:pt>
                <c:pt idx="16">
                  <c:v>42</c:v>
                </c:pt>
                <c:pt idx="17">
                  <c:v>53</c:v>
                </c:pt>
                <c:pt idx="18">
                  <c:v>49</c:v>
                </c:pt>
                <c:pt idx="19">
                  <c:v>50</c:v>
                </c:pt>
                <c:pt idx="20">
                  <c:v>53</c:v>
                </c:pt>
                <c:pt idx="21">
                  <c:v>51</c:v>
                </c:pt>
                <c:pt idx="22">
                  <c:v>56</c:v>
                </c:pt>
                <c:pt idx="23">
                  <c:v>60</c:v>
                </c:pt>
                <c:pt idx="24">
                  <c:v>63</c:v>
                </c:pt>
                <c:pt idx="25">
                  <c:v>64</c:v>
                </c:pt>
                <c:pt idx="26">
                  <c:v>67</c:v>
                </c:pt>
                <c:pt idx="27">
                  <c:v>78</c:v>
                </c:pt>
                <c:pt idx="28">
                  <c:v>85</c:v>
                </c:pt>
                <c:pt idx="29">
                  <c:v>85</c:v>
                </c:pt>
                <c:pt idx="30">
                  <c:v>91</c:v>
                </c:pt>
                <c:pt idx="31">
                  <c:v>102</c:v>
                </c:pt>
                <c:pt idx="32">
                  <c:v>111</c:v>
                </c:pt>
                <c:pt idx="33">
                  <c:v>122</c:v>
                </c:pt>
                <c:pt idx="34">
                  <c:v>127</c:v>
                </c:pt>
                <c:pt idx="35">
                  <c:v>119</c:v>
                </c:pt>
                <c:pt idx="36">
                  <c:v>121</c:v>
                </c:pt>
                <c:pt idx="37">
                  <c:v>124</c:v>
                </c:pt>
                <c:pt idx="38">
                  <c:v>136</c:v>
                </c:pt>
                <c:pt idx="39">
                  <c:v>152</c:v>
                </c:pt>
                <c:pt idx="40">
                  <c:v>188</c:v>
                </c:pt>
                <c:pt idx="41">
                  <c:v>221</c:v>
                </c:pt>
                <c:pt idx="42">
                  <c:v>199</c:v>
                </c:pt>
                <c:pt idx="43">
                  <c:v>191</c:v>
                </c:pt>
                <c:pt idx="44">
                  <c:v>197</c:v>
                </c:pt>
                <c:pt idx="45">
                  <c:v>189</c:v>
                </c:pt>
                <c:pt idx="46">
                  <c:v>172</c:v>
                </c:pt>
                <c:pt idx="47">
                  <c:v>168</c:v>
                </c:pt>
                <c:pt idx="48">
                  <c:v>175</c:v>
                </c:pt>
                <c:pt idx="49">
                  <c:v>181</c:v>
                </c:pt>
                <c:pt idx="50">
                  <c:v>187</c:v>
                </c:pt>
                <c:pt idx="51">
                  <c:v>200</c:v>
                </c:pt>
                <c:pt idx="52">
                  <c:v>224</c:v>
                </c:pt>
                <c:pt idx="53">
                  <c:v>259</c:v>
                </c:pt>
                <c:pt idx="54">
                  <c:v>264</c:v>
                </c:pt>
                <c:pt idx="55">
                  <c:v>299</c:v>
                </c:pt>
                <c:pt idx="56">
                  <c:v>327</c:v>
                </c:pt>
                <c:pt idx="57">
                  <c:v>342</c:v>
                </c:pt>
                <c:pt idx="58">
                  <c:v>379</c:v>
                </c:pt>
                <c:pt idx="59">
                  <c:v>428</c:v>
                </c:pt>
                <c:pt idx="60">
                  <c:v>425</c:v>
                </c:pt>
                <c:pt idx="61">
                  <c:v>412</c:v>
                </c:pt>
                <c:pt idx="62">
                  <c:v>410</c:v>
                </c:pt>
                <c:pt idx="63">
                  <c:v>403</c:v>
                </c:pt>
                <c:pt idx="64">
                  <c:v>420</c:v>
                </c:pt>
                <c:pt idx="65">
                  <c:v>451</c:v>
                </c:pt>
                <c:pt idx="66">
                  <c:v>497</c:v>
                </c:pt>
                <c:pt idx="67">
                  <c:v>507</c:v>
                </c:pt>
                <c:pt idx="68">
                  <c:v>530</c:v>
                </c:pt>
                <c:pt idx="69">
                  <c:v>571</c:v>
                </c:pt>
                <c:pt idx="70">
                  <c:v>615</c:v>
                </c:pt>
                <c:pt idx="71">
                  <c:v>652</c:v>
                </c:pt>
                <c:pt idx="72">
                  <c:v>712</c:v>
                </c:pt>
                <c:pt idx="73">
                  <c:v>842</c:v>
                </c:pt>
                <c:pt idx="74">
                  <c:v>793</c:v>
                </c:pt>
                <c:pt idx="75">
                  <c:v>763</c:v>
                </c:pt>
                <c:pt idx="76">
                  <c:v>774</c:v>
                </c:pt>
                <c:pt idx="77">
                  <c:v>803</c:v>
                </c:pt>
                <c:pt idx="78">
                  <c:v>831</c:v>
                </c:pt>
                <c:pt idx="79">
                  <c:v>868</c:v>
                </c:pt>
                <c:pt idx="80">
                  <c:v>886</c:v>
                </c:pt>
                <c:pt idx="81">
                  <c:v>828</c:v>
                </c:pt>
                <c:pt idx="82">
                  <c:v>816</c:v>
                </c:pt>
                <c:pt idx="83">
                  <c:v>830</c:v>
                </c:pt>
                <c:pt idx="84">
                  <c:v>830</c:v>
                </c:pt>
                <c:pt idx="85">
                  <c:v>841</c:v>
                </c:pt>
                <c:pt idx="86">
                  <c:v>859</c:v>
                </c:pt>
                <c:pt idx="87">
                  <c:v>883</c:v>
                </c:pt>
                <c:pt idx="88">
                  <c:v>893</c:v>
                </c:pt>
                <c:pt idx="89">
                  <c:v>901</c:v>
                </c:pt>
                <c:pt idx="90">
                  <c:v>922</c:v>
                </c:pt>
                <c:pt idx="91">
                  <c:v>929</c:v>
                </c:pt>
                <c:pt idx="92">
                  <c:v>928</c:v>
                </c:pt>
                <c:pt idx="93">
                  <c:v>950</c:v>
                </c:pt>
                <c:pt idx="94">
                  <c:v>1014</c:v>
                </c:pt>
              </c:numCache>
            </c:numRef>
          </c:val>
          <c:smooth val="0"/>
          <c:extLst>
            <c:ext xmlns:c16="http://schemas.microsoft.com/office/drawing/2014/chart" uri="{C3380CC4-5D6E-409C-BE32-E72D297353CC}">
              <c16:uniqueId val="{00000002-D2C1-6342-8CD2-F05FF6FE9F6B}"/>
            </c:ext>
          </c:extLst>
        </c:ser>
        <c:dLbls>
          <c:showLegendKey val="0"/>
          <c:showVal val="0"/>
          <c:showCatName val="0"/>
          <c:showSerName val="0"/>
          <c:showPercent val="0"/>
          <c:showBubbleSize val="0"/>
        </c:dLbls>
        <c:marker val="1"/>
        <c:smooth val="0"/>
        <c:axId val="658026399"/>
        <c:axId val="630598271"/>
      </c:lineChart>
      <c:lineChart>
        <c:grouping val="standard"/>
        <c:varyColors val="0"/>
        <c:ser>
          <c:idx val="5"/>
          <c:order val="3"/>
          <c:tx>
            <c:strRef>
              <c:f>就业与工资对比!$A$7</c:f>
              <c:strCache>
                <c:ptCount val="1"/>
                <c:pt idx="0">
                  <c:v>制造业平均工资-副轴</c:v>
                </c:pt>
              </c:strCache>
            </c:strRef>
          </c:tx>
          <c:spPr>
            <a:ln w="19050" cap="sq" cmpd="dbl">
              <a:solidFill>
                <a:schemeClr val="tx1"/>
              </a:solidFill>
              <a:prstDash val="sysDot"/>
              <a:round/>
            </a:ln>
            <a:effectLst/>
          </c:spPr>
          <c:marker>
            <c:symbol val="none"/>
          </c:marker>
          <c:cat>
            <c:strRef>
              <c:f>就业与工资对比!$B$1:$CR$1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pt idx="75">
                  <c:v>2003</c:v>
                </c:pt>
                <c:pt idx="76">
                  <c:v>2004</c:v>
                </c:pt>
                <c:pt idx="77">
                  <c:v>2005</c:v>
                </c:pt>
                <c:pt idx="78">
                  <c:v>2006</c:v>
                </c:pt>
                <c:pt idx="79">
                  <c:v>2007</c:v>
                </c:pt>
                <c:pt idx="80">
                  <c:v>2008</c:v>
                </c:pt>
                <c:pt idx="81">
                  <c:v>2009</c:v>
                </c:pt>
                <c:pt idx="82">
                  <c:v>2010</c:v>
                </c:pt>
                <c:pt idx="83">
                  <c:v>2011</c:v>
                </c:pt>
                <c:pt idx="84">
                  <c:v>2012</c:v>
                </c:pt>
                <c:pt idx="85">
                  <c:v>2013</c:v>
                </c:pt>
                <c:pt idx="86">
                  <c:v>2014</c:v>
                </c:pt>
                <c:pt idx="87">
                  <c:v>2015</c:v>
                </c:pt>
                <c:pt idx="88">
                  <c:v>2016</c:v>
                </c:pt>
                <c:pt idx="89">
                  <c:v>2017</c:v>
                </c:pt>
                <c:pt idx="90">
                  <c:v>2018</c:v>
                </c:pt>
                <c:pt idx="91">
                  <c:v>2019</c:v>
                </c:pt>
                <c:pt idx="92">
                  <c:v>2020</c:v>
                </c:pt>
                <c:pt idx="93">
                  <c:v>2021</c:v>
                </c:pt>
                <c:pt idx="94">
                  <c:v>2022</c:v>
                </c:pt>
              </c:strCache>
            </c:strRef>
          </c:cat>
          <c:val>
            <c:numRef>
              <c:f>就业与工资对比!$B$7:$CR$7</c:f>
              <c:numCache>
                <c:formatCode>General</c:formatCode>
                <c:ptCount val="95"/>
                <c:pt idx="0">
                  <c:v>1543</c:v>
                </c:pt>
                <c:pt idx="1">
                  <c:v>1488</c:v>
                </c:pt>
                <c:pt idx="2">
                  <c:v>1369</c:v>
                </c:pt>
                <c:pt idx="3">
                  <c:v>1150</c:v>
                </c:pt>
                <c:pt idx="4">
                  <c:v>1086</c:v>
                </c:pt>
                <c:pt idx="5">
                  <c:v>1153</c:v>
                </c:pt>
                <c:pt idx="6">
                  <c:v>1216</c:v>
                </c:pt>
                <c:pt idx="7">
                  <c:v>1287</c:v>
                </c:pt>
                <c:pt idx="8">
                  <c:v>1376</c:v>
                </c:pt>
                <c:pt idx="9">
                  <c:v>1296</c:v>
                </c:pt>
                <c:pt idx="10">
                  <c:v>1363</c:v>
                </c:pt>
                <c:pt idx="11">
                  <c:v>1432</c:v>
                </c:pt>
                <c:pt idx="12">
                  <c:v>1653</c:v>
                </c:pt>
                <c:pt idx="13">
                  <c:v>2023</c:v>
                </c:pt>
                <c:pt idx="14">
                  <c:v>2349</c:v>
                </c:pt>
                <c:pt idx="15">
                  <c:v>2517</c:v>
                </c:pt>
                <c:pt idx="16">
                  <c:v>2517</c:v>
                </c:pt>
                <c:pt idx="17">
                  <c:v>2517</c:v>
                </c:pt>
                <c:pt idx="18">
                  <c:v>2793</c:v>
                </c:pt>
                <c:pt idx="19">
                  <c:v>3038</c:v>
                </c:pt>
                <c:pt idx="20">
                  <c:v>3037</c:v>
                </c:pt>
                <c:pt idx="21">
                  <c:v>3107</c:v>
                </c:pt>
                <c:pt idx="22">
                  <c:v>3330</c:v>
                </c:pt>
                <c:pt idx="23">
                  <c:v>3652</c:v>
                </c:pt>
                <c:pt idx="24">
                  <c:v>3894</c:v>
                </c:pt>
                <c:pt idx="25">
                  <c:v>4133</c:v>
                </c:pt>
                <c:pt idx="26">
                  <c:v>4224</c:v>
                </c:pt>
                <c:pt idx="27">
                  <c:v>4481</c:v>
                </c:pt>
                <c:pt idx="28">
                  <c:v>4739</c:v>
                </c:pt>
                <c:pt idx="29">
                  <c:v>4928</c:v>
                </c:pt>
                <c:pt idx="30">
                  <c:v>5148</c:v>
                </c:pt>
                <c:pt idx="31">
                  <c:v>5413</c:v>
                </c:pt>
                <c:pt idx="32">
                  <c:v>5545</c:v>
                </c:pt>
                <c:pt idx="33">
                  <c:v>5701</c:v>
                </c:pt>
                <c:pt idx="34">
                  <c:v>5916</c:v>
                </c:pt>
                <c:pt idx="35">
                  <c:v>6111</c:v>
                </c:pt>
                <c:pt idx="36">
                  <c:v>6417</c:v>
                </c:pt>
                <c:pt idx="37">
                  <c:v>6564</c:v>
                </c:pt>
                <c:pt idx="38">
                  <c:v>6801</c:v>
                </c:pt>
                <c:pt idx="39">
                  <c:v>7044</c:v>
                </c:pt>
                <c:pt idx="40">
                  <c:v>7534</c:v>
                </c:pt>
                <c:pt idx="41">
                  <c:v>7970</c:v>
                </c:pt>
                <c:pt idx="42">
                  <c:v>8378</c:v>
                </c:pt>
                <c:pt idx="43">
                  <c:v>8883</c:v>
                </c:pt>
                <c:pt idx="44">
                  <c:v>9450</c:v>
                </c:pt>
                <c:pt idx="45">
                  <c:v>10027</c:v>
                </c:pt>
                <c:pt idx="46">
                  <c:v>10843</c:v>
                </c:pt>
                <c:pt idx="47">
                  <c:v>11899</c:v>
                </c:pt>
                <c:pt idx="48">
                  <c:v>12835</c:v>
                </c:pt>
                <c:pt idx="49">
                  <c:v>13859</c:v>
                </c:pt>
                <c:pt idx="50">
                  <c:v>14931</c:v>
                </c:pt>
                <c:pt idx="51">
                  <c:v>16254</c:v>
                </c:pt>
                <c:pt idx="52">
                  <c:v>17967</c:v>
                </c:pt>
                <c:pt idx="53">
                  <c:v>19615</c:v>
                </c:pt>
                <c:pt idx="54">
                  <c:v>21125</c:v>
                </c:pt>
                <c:pt idx="55">
                  <c:v>22321</c:v>
                </c:pt>
                <c:pt idx="56">
                  <c:v>23555</c:v>
                </c:pt>
                <c:pt idx="57">
                  <c:v>24957</c:v>
                </c:pt>
                <c:pt idx="58">
                  <c:v>26028</c:v>
                </c:pt>
                <c:pt idx="59">
                  <c:v>26772</c:v>
                </c:pt>
                <c:pt idx="60">
                  <c:v>28037</c:v>
                </c:pt>
                <c:pt idx="61">
                  <c:v>28924</c:v>
                </c:pt>
                <c:pt idx="62">
                  <c:v>30136</c:v>
                </c:pt>
                <c:pt idx="63">
                  <c:v>31338</c:v>
                </c:pt>
                <c:pt idx="64">
                  <c:v>33145</c:v>
                </c:pt>
                <c:pt idx="65">
                  <c:v>33685</c:v>
                </c:pt>
                <c:pt idx="66">
                  <c:v>34626</c:v>
                </c:pt>
                <c:pt idx="67">
                  <c:v>35805</c:v>
                </c:pt>
                <c:pt idx="68">
                  <c:v>37301</c:v>
                </c:pt>
                <c:pt idx="69">
                  <c:v>39370</c:v>
                </c:pt>
                <c:pt idx="70">
                  <c:v>41143</c:v>
                </c:pt>
                <c:pt idx="71">
                  <c:v>43087</c:v>
                </c:pt>
                <c:pt idx="72">
                  <c:v>46015</c:v>
                </c:pt>
                <c:pt idx="73">
                  <c:v>44236</c:v>
                </c:pt>
                <c:pt idx="74">
                  <c:v>45380</c:v>
                </c:pt>
                <c:pt idx="75">
                  <c:v>47388</c:v>
                </c:pt>
                <c:pt idx="76">
                  <c:v>49418</c:v>
                </c:pt>
                <c:pt idx="77">
                  <c:v>50885</c:v>
                </c:pt>
                <c:pt idx="78">
                  <c:v>53088</c:v>
                </c:pt>
                <c:pt idx="79">
                  <c:v>55239</c:v>
                </c:pt>
                <c:pt idx="80">
                  <c:v>56358</c:v>
                </c:pt>
                <c:pt idx="81">
                  <c:v>57367</c:v>
                </c:pt>
                <c:pt idx="82">
                  <c:v>59997</c:v>
                </c:pt>
                <c:pt idx="83">
                  <c:v>61687</c:v>
                </c:pt>
                <c:pt idx="84">
                  <c:v>62946</c:v>
                </c:pt>
                <c:pt idx="85">
                  <c:v>63544</c:v>
                </c:pt>
                <c:pt idx="86">
                  <c:v>65495</c:v>
                </c:pt>
                <c:pt idx="87">
                  <c:v>66839</c:v>
                </c:pt>
                <c:pt idx="88">
                  <c:v>67608</c:v>
                </c:pt>
                <c:pt idx="89">
                  <c:v>69449</c:v>
                </c:pt>
                <c:pt idx="90">
                  <c:v>71333</c:v>
                </c:pt>
                <c:pt idx="91">
                  <c:v>72809</c:v>
                </c:pt>
                <c:pt idx="92">
                  <c:v>76457</c:v>
                </c:pt>
                <c:pt idx="93">
                  <c:v>79555</c:v>
                </c:pt>
                <c:pt idx="94">
                  <c:v>82629</c:v>
                </c:pt>
              </c:numCache>
            </c:numRef>
          </c:val>
          <c:smooth val="0"/>
          <c:extLst>
            <c:ext xmlns:c16="http://schemas.microsoft.com/office/drawing/2014/chart" uri="{C3380CC4-5D6E-409C-BE32-E72D297353CC}">
              <c16:uniqueId val="{00000003-D2C1-6342-8CD2-F05FF6FE9F6B}"/>
            </c:ext>
          </c:extLst>
        </c:ser>
        <c:ser>
          <c:idx val="6"/>
          <c:order val="4"/>
          <c:tx>
            <c:strRef>
              <c:f>就业与工资对比!$A$8</c:f>
              <c:strCache>
                <c:ptCount val="1"/>
                <c:pt idx="0">
                  <c:v>医疗平均工资-副轴</c:v>
                </c:pt>
              </c:strCache>
            </c:strRef>
          </c:tx>
          <c:spPr>
            <a:ln w="19050" cap="sq" cmpd="dbl">
              <a:solidFill>
                <a:schemeClr val="tx1"/>
              </a:solidFill>
              <a:prstDash val="sysDash"/>
              <a:round/>
            </a:ln>
            <a:effectLst/>
          </c:spPr>
          <c:marker>
            <c:symbol val="none"/>
          </c:marker>
          <c:cat>
            <c:strRef>
              <c:f>就业与工资对比!$B$1:$CR$1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pt idx="75">
                  <c:v>2003</c:v>
                </c:pt>
                <c:pt idx="76">
                  <c:v>2004</c:v>
                </c:pt>
                <c:pt idx="77">
                  <c:v>2005</c:v>
                </c:pt>
                <c:pt idx="78">
                  <c:v>2006</c:v>
                </c:pt>
                <c:pt idx="79">
                  <c:v>2007</c:v>
                </c:pt>
                <c:pt idx="80">
                  <c:v>2008</c:v>
                </c:pt>
                <c:pt idx="81">
                  <c:v>2009</c:v>
                </c:pt>
                <c:pt idx="82">
                  <c:v>2010</c:v>
                </c:pt>
                <c:pt idx="83">
                  <c:v>2011</c:v>
                </c:pt>
                <c:pt idx="84">
                  <c:v>2012</c:v>
                </c:pt>
                <c:pt idx="85">
                  <c:v>2013</c:v>
                </c:pt>
                <c:pt idx="86">
                  <c:v>2014</c:v>
                </c:pt>
                <c:pt idx="87">
                  <c:v>2015</c:v>
                </c:pt>
                <c:pt idx="88">
                  <c:v>2016</c:v>
                </c:pt>
                <c:pt idx="89">
                  <c:v>2017</c:v>
                </c:pt>
                <c:pt idx="90">
                  <c:v>2018</c:v>
                </c:pt>
                <c:pt idx="91">
                  <c:v>2019</c:v>
                </c:pt>
                <c:pt idx="92">
                  <c:v>2020</c:v>
                </c:pt>
                <c:pt idx="93">
                  <c:v>2021</c:v>
                </c:pt>
                <c:pt idx="94">
                  <c:v>2022</c:v>
                </c:pt>
              </c:strCache>
            </c:strRef>
          </c:cat>
          <c:val>
            <c:numRef>
              <c:f>就业与工资对比!$B$8:$CR$8</c:f>
              <c:numCache>
                <c:formatCode>General</c:formatCode>
                <c:ptCount val="95"/>
                <c:pt idx="0">
                  <c:v>925</c:v>
                </c:pt>
                <c:pt idx="1">
                  <c:v>933</c:v>
                </c:pt>
                <c:pt idx="2">
                  <c:v>919</c:v>
                </c:pt>
                <c:pt idx="3">
                  <c:v>865</c:v>
                </c:pt>
                <c:pt idx="4">
                  <c:v>810</c:v>
                </c:pt>
                <c:pt idx="5">
                  <c:v>801</c:v>
                </c:pt>
                <c:pt idx="6">
                  <c:v>829</c:v>
                </c:pt>
                <c:pt idx="7">
                  <c:v>851</c:v>
                </c:pt>
                <c:pt idx="8">
                  <c:v>876</c:v>
                </c:pt>
                <c:pt idx="9">
                  <c:v>899</c:v>
                </c:pt>
                <c:pt idx="10">
                  <c:v>908</c:v>
                </c:pt>
                <c:pt idx="11">
                  <c:v>927</c:v>
                </c:pt>
                <c:pt idx="12">
                  <c:v>955</c:v>
                </c:pt>
                <c:pt idx="13">
                  <c:v>1036</c:v>
                </c:pt>
                <c:pt idx="14">
                  <c:v>1127</c:v>
                </c:pt>
                <c:pt idx="15">
                  <c:v>1262</c:v>
                </c:pt>
                <c:pt idx="16">
                  <c:v>1401</c:v>
                </c:pt>
                <c:pt idx="17">
                  <c:v>1605</c:v>
                </c:pt>
                <c:pt idx="18">
                  <c:v>1821</c:v>
                </c:pt>
                <c:pt idx="19">
                  <c:v>1825</c:v>
                </c:pt>
                <c:pt idx="20">
                  <c:v>1824</c:v>
                </c:pt>
                <c:pt idx="21">
                  <c:v>1935</c:v>
                </c:pt>
                <c:pt idx="22">
                  <c:v>2045</c:v>
                </c:pt>
                <c:pt idx="23">
                  <c:v>2177</c:v>
                </c:pt>
                <c:pt idx="24">
                  <c:v>2344</c:v>
                </c:pt>
                <c:pt idx="25">
                  <c:v>2486</c:v>
                </c:pt>
                <c:pt idx="26">
                  <c:v>2592</c:v>
                </c:pt>
                <c:pt idx="27">
                  <c:v>2727</c:v>
                </c:pt>
                <c:pt idx="28">
                  <c:v>2789</c:v>
                </c:pt>
                <c:pt idx="29">
                  <c:v>2919</c:v>
                </c:pt>
                <c:pt idx="30">
                  <c:v>3077</c:v>
                </c:pt>
                <c:pt idx="31">
                  <c:v>3210</c:v>
                </c:pt>
                <c:pt idx="32">
                  <c:v>3414</c:v>
                </c:pt>
                <c:pt idx="33">
                  <c:v>3636</c:v>
                </c:pt>
                <c:pt idx="34">
                  <c:v>3831</c:v>
                </c:pt>
                <c:pt idx="35">
                  <c:v>4051</c:v>
                </c:pt>
                <c:pt idx="36">
                  <c:v>4277</c:v>
                </c:pt>
                <c:pt idx="37">
                  <c:v>4410</c:v>
                </c:pt>
                <c:pt idx="38">
                  <c:v>4565</c:v>
                </c:pt>
                <c:pt idx="39">
                  <c:v>4861</c:v>
                </c:pt>
                <c:pt idx="40">
                  <c:v>5292</c:v>
                </c:pt>
                <c:pt idx="41">
                  <c:v>5845</c:v>
                </c:pt>
                <c:pt idx="42">
                  <c:v>6593</c:v>
                </c:pt>
                <c:pt idx="43">
                  <c:v>7043</c:v>
                </c:pt>
                <c:pt idx="44">
                  <c:v>7499</c:v>
                </c:pt>
                <c:pt idx="45">
                  <c:v>7980</c:v>
                </c:pt>
                <c:pt idx="46">
                  <c:v>8727</c:v>
                </c:pt>
                <c:pt idx="47">
                  <c:v>9624</c:v>
                </c:pt>
                <c:pt idx="48">
                  <c:v>10465</c:v>
                </c:pt>
                <c:pt idx="49">
                  <c:v>11248</c:v>
                </c:pt>
                <c:pt idx="50">
                  <c:v>12129</c:v>
                </c:pt>
                <c:pt idx="51">
                  <c:v>13193</c:v>
                </c:pt>
                <c:pt idx="52">
                  <c:v>14637</c:v>
                </c:pt>
                <c:pt idx="53">
                  <c:v>16123</c:v>
                </c:pt>
                <c:pt idx="54">
                  <c:v>17890</c:v>
                </c:pt>
                <c:pt idx="55">
                  <c:v>19053</c:v>
                </c:pt>
                <c:pt idx="56">
                  <c:v>19977</c:v>
                </c:pt>
                <c:pt idx="57">
                  <c:v>20829</c:v>
                </c:pt>
                <c:pt idx="58">
                  <c:v>21805</c:v>
                </c:pt>
                <c:pt idx="59">
                  <c:v>23959</c:v>
                </c:pt>
                <c:pt idx="60">
                  <c:v>25964</c:v>
                </c:pt>
                <c:pt idx="61">
                  <c:v>27166</c:v>
                </c:pt>
                <c:pt idx="62">
                  <c:v>29089</c:v>
                </c:pt>
                <c:pt idx="63">
                  <c:v>30490</c:v>
                </c:pt>
                <c:pt idx="64">
                  <c:v>31450</c:v>
                </c:pt>
                <c:pt idx="65">
                  <c:v>32575</c:v>
                </c:pt>
                <c:pt idx="66">
                  <c:v>33578</c:v>
                </c:pt>
                <c:pt idx="67">
                  <c:v>34197</c:v>
                </c:pt>
                <c:pt idx="68">
                  <c:v>34706</c:v>
                </c:pt>
                <c:pt idx="69">
                  <c:v>35639</c:v>
                </c:pt>
                <c:pt idx="70">
                  <c:v>36900</c:v>
                </c:pt>
                <c:pt idx="71">
                  <c:v>37916</c:v>
                </c:pt>
                <c:pt idx="72">
                  <c:v>39455</c:v>
                </c:pt>
                <c:pt idx="73">
                  <c:v>36683</c:v>
                </c:pt>
                <c:pt idx="74">
                  <c:v>38096</c:v>
                </c:pt>
                <c:pt idx="75">
                  <c:v>39468</c:v>
                </c:pt>
                <c:pt idx="76">
                  <c:v>41200</c:v>
                </c:pt>
                <c:pt idx="77">
                  <c:v>42294</c:v>
                </c:pt>
                <c:pt idx="78">
                  <c:v>43754</c:v>
                </c:pt>
                <c:pt idx="79">
                  <c:v>45530</c:v>
                </c:pt>
                <c:pt idx="80">
                  <c:v>47060</c:v>
                </c:pt>
                <c:pt idx="81">
                  <c:v>48332</c:v>
                </c:pt>
                <c:pt idx="82">
                  <c:v>48977</c:v>
                </c:pt>
                <c:pt idx="83">
                  <c:v>50023</c:v>
                </c:pt>
                <c:pt idx="84">
                  <c:v>50257</c:v>
                </c:pt>
                <c:pt idx="85">
                  <c:v>50455</c:v>
                </c:pt>
                <c:pt idx="86">
                  <c:v>51381</c:v>
                </c:pt>
                <c:pt idx="87">
                  <c:v>52997</c:v>
                </c:pt>
                <c:pt idx="88">
                  <c:v>53814</c:v>
                </c:pt>
                <c:pt idx="89">
                  <c:v>54776</c:v>
                </c:pt>
                <c:pt idx="90">
                  <c:v>56058</c:v>
                </c:pt>
                <c:pt idx="91">
                  <c:v>57769</c:v>
                </c:pt>
                <c:pt idx="92">
                  <c:v>61038</c:v>
                </c:pt>
                <c:pt idx="93">
                  <c:v>64229</c:v>
                </c:pt>
                <c:pt idx="94">
                  <c:v>67741</c:v>
                </c:pt>
              </c:numCache>
            </c:numRef>
          </c:val>
          <c:smooth val="0"/>
          <c:extLst>
            <c:ext xmlns:c16="http://schemas.microsoft.com/office/drawing/2014/chart" uri="{C3380CC4-5D6E-409C-BE32-E72D297353CC}">
              <c16:uniqueId val="{00000004-D2C1-6342-8CD2-F05FF6FE9F6B}"/>
            </c:ext>
          </c:extLst>
        </c:ser>
        <c:ser>
          <c:idx val="7"/>
          <c:order val="5"/>
          <c:tx>
            <c:strRef>
              <c:f>就业与工资对比!$A$9</c:f>
              <c:strCache>
                <c:ptCount val="1"/>
                <c:pt idx="0">
                  <c:v>私营部门平均工资-副轴</c:v>
                </c:pt>
              </c:strCache>
            </c:strRef>
          </c:tx>
          <c:spPr>
            <a:ln w="12700" cap="sq">
              <a:solidFill>
                <a:schemeClr val="tx1"/>
              </a:solidFill>
              <a:miter lim="800000"/>
            </a:ln>
            <a:effectLst/>
          </c:spPr>
          <c:marker>
            <c:symbol val="none"/>
          </c:marker>
          <c:cat>
            <c:strRef>
              <c:f>就业与工资对比!$B$1:$CR$1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pt idx="75">
                  <c:v>2003</c:v>
                </c:pt>
                <c:pt idx="76">
                  <c:v>2004</c:v>
                </c:pt>
                <c:pt idx="77">
                  <c:v>2005</c:v>
                </c:pt>
                <c:pt idx="78">
                  <c:v>2006</c:v>
                </c:pt>
                <c:pt idx="79">
                  <c:v>2007</c:v>
                </c:pt>
                <c:pt idx="80">
                  <c:v>2008</c:v>
                </c:pt>
                <c:pt idx="81">
                  <c:v>2009</c:v>
                </c:pt>
                <c:pt idx="82">
                  <c:v>2010</c:v>
                </c:pt>
                <c:pt idx="83">
                  <c:v>2011</c:v>
                </c:pt>
                <c:pt idx="84">
                  <c:v>2012</c:v>
                </c:pt>
                <c:pt idx="85">
                  <c:v>2013</c:v>
                </c:pt>
                <c:pt idx="86">
                  <c:v>2014</c:v>
                </c:pt>
                <c:pt idx="87">
                  <c:v>2015</c:v>
                </c:pt>
                <c:pt idx="88">
                  <c:v>2016</c:v>
                </c:pt>
                <c:pt idx="89">
                  <c:v>2017</c:v>
                </c:pt>
                <c:pt idx="90">
                  <c:v>2018</c:v>
                </c:pt>
                <c:pt idx="91">
                  <c:v>2019</c:v>
                </c:pt>
                <c:pt idx="92">
                  <c:v>2020</c:v>
                </c:pt>
                <c:pt idx="93">
                  <c:v>2021</c:v>
                </c:pt>
                <c:pt idx="94">
                  <c:v>2022</c:v>
                </c:pt>
              </c:strCache>
            </c:strRef>
          </c:cat>
          <c:val>
            <c:numRef>
              <c:f>就业与工资对比!$B$9:$CR$9</c:f>
              <c:numCache>
                <c:formatCode>General</c:formatCode>
                <c:ptCount val="95"/>
                <c:pt idx="0">
                  <c:v>1416</c:v>
                </c:pt>
                <c:pt idx="1">
                  <c:v>1372</c:v>
                </c:pt>
                <c:pt idx="2">
                  <c:v>1266</c:v>
                </c:pt>
                <c:pt idx="3">
                  <c:v>1092</c:v>
                </c:pt>
                <c:pt idx="4">
                  <c:v>1023</c:v>
                </c:pt>
                <c:pt idx="5">
                  <c:v>1076</c:v>
                </c:pt>
                <c:pt idx="6">
                  <c:v>1129</c:v>
                </c:pt>
                <c:pt idx="7">
                  <c:v>1184</c:v>
                </c:pt>
                <c:pt idx="8">
                  <c:v>1260</c:v>
                </c:pt>
                <c:pt idx="9">
                  <c:v>1227</c:v>
                </c:pt>
                <c:pt idx="10">
                  <c:v>1269</c:v>
                </c:pt>
                <c:pt idx="11">
                  <c:v>1309</c:v>
                </c:pt>
                <c:pt idx="12">
                  <c:v>1473</c:v>
                </c:pt>
                <c:pt idx="13">
                  <c:v>1751</c:v>
                </c:pt>
                <c:pt idx="14">
                  <c:v>2039</c:v>
                </c:pt>
                <c:pt idx="15">
                  <c:v>2212</c:v>
                </c:pt>
                <c:pt idx="16">
                  <c:v>2275</c:v>
                </c:pt>
                <c:pt idx="17">
                  <c:v>2382</c:v>
                </c:pt>
                <c:pt idx="18">
                  <c:v>2614</c:v>
                </c:pt>
                <c:pt idx="19">
                  <c:v>2821</c:v>
                </c:pt>
                <c:pt idx="20">
                  <c:v>2821</c:v>
                </c:pt>
                <c:pt idx="21">
                  <c:v>2877</c:v>
                </c:pt>
                <c:pt idx="22">
                  <c:v>3030</c:v>
                </c:pt>
                <c:pt idx="23">
                  <c:v>3286</c:v>
                </c:pt>
                <c:pt idx="24">
                  <c:v>3484</c:v>
                </c:pt>
                <c:pt idx="25">
                  <c:v>3686</c:v>
                </c:pt>
                <c:pt idx="26">
                  <c:v>3772</c:v>
                </c:pt>
                <c:pt idx="27">
                  <c:v>3957</c:v>
                </c:pt>
                <c:pt idx="28">
                  <c:v>4173</c:v>
                </c:pt>
                <c:pt idx="29">
                  <c:v>4343</c:v>
                </c:pt>
                <c:pt idx="30">
                  <c:v>4486</c:v>
                </c:pt>
                <c:pt idx="31">
                  <c:v>4714</c:v>
                </c:pt>
                <c:pt idx="32">
                  <c:v>4855</c:v>
                </c:pt>
                <c:pt idx="33">
                  <c:v>5002</c:v>
                </c:pt>
                <c:pt idx="34">
                  <c:v>5202</c:v>
                </c:pt>
                <c:pt idx="35">
                  <c:v>5380</c:v>
                </c:pt>
                <c:pt idx="36">
                  <c:v>5647</c:v>
                </c:pt>
                <c:pt idx="37">
                  <c:v>5837</c:v>
                </c:pt>
                <c:pt idx="38">
                  <c:v>6098</c:v>
                </c:pt>
                <c:pt idx="39">
                  <c:v>6342</c:v>
                </c:pt>
                <c:pt idx="40">
                  <c:v>6772</c:v>
                </c:pt>
                <c:pt idx="41">
                  <c:v>7237</c:v>
                </c:pt>
                <c:pt idx="42">
                  <c:v>7679</c:v>
                </c:pt>
                <c:pt idx="43">
                  <c:v>8144</c:v>
                </c:pt>
                <c:pt idx="44">
                  <c:v>8634</c:v>
                </c:pt>
                <c:pt idx="45">
                  <c:v>9154</c:v>
                </c:pt>
                <c:pt idx="46">
                  <c:v>9867</c:v>
                </c:pt>
                <c:pt idx="47">
                  <c:v>10655</c:v>
                </c:pt>
                <c:pt idx="48">
                  <c:v>11430</c:v>
                </c:pt>
                <c:pt idx="49">
                  <c:v>12222</c:v>
                </c:pt>
                <c:pt idx="50">
                  <c:v>13142</c:v>
                </c:pt>
                <c:pt idx="51">
                  <c:v>14277</c:v>
                </c:pt>
                <c:pt idx="52">
                  <c:v>15672</c:v>
                </c:pt>
                <c:pt idx="53">
                  <c:v>17052</c:v>
                </c:pt>
                <c:pt idx="54">
                  <c:v>18363</c:v>
                </c:pt>
                <c:pt idx="55">
                  <c:v>19226</c:v>
                </c:pt>
                <c:pt idx="56">
                  <c:v>20111</c:v>
                </c:pt>
                <c:pt idx="57">
                  <c:v>21050</c:v>
                </c:pt>
                <c:pt idx="58">
                  <c:v>21949</c:v>
                </c:pt>
                <c:pt idx="59">
                  <c:v>22894</c:v>
                </c:pt>
                <c:pt idx="60">
                  <c:v>24085</c:v>
                </c:pt>
                <c:pt idx="61">
                  <c:v>24805</c:v>
                </c:pt>
                <c:pt idx="62">
                  <c:v>25985</c:v>
                </c:pt>
                <c:pt idx="63">
                  <c:v>26986</c:v>
                </c:pt>
                <c:pt idx="64">
                  <c:v>28444</c:v>
                </c:pt>
                <c:pt idx="65">
                  <c:v>28960</c:v>
                </c:pt>
                <c:pt idx="66">
                  <c:v>29594</c:v>
                </c:pt>
                <c:pt idx="67">
                  <c:v>30437</c:v>
                </c:pt>
                <c:pt idx="68">
                  <c:v>31669</c:v>
                </c:pt>
                <c:pt idx="69">
                  <c:v>33224</c:v>
                </c:pt>
                <c:pt idx="70">
                  <c:v>35038</c:v>
                </c:pt>
                <c:pt idx="71">
                  <c:v>36611</c:v>
                </c:pt>
                <c:pt idx="72">
                  <c:v>38862</c:v>
                </c:pt>
                <c:pt idx="73">
                  <c:v>39692</c:v>
                </c:pt>
                <c:pt idx="74">
                  <c:v>40243</c:v>
                </c:pt>
                <c:pt idx="75">
                  <c:v>41482</c:v>
                </c:pt>
                <c:pt idx="76">
                  <c:v>43420</c:v>
                </c:pt>
                <c:pt idx="77">
                  <c:v>44719</c:v>
                </c:pt>
                <c:pt idx="78">
                  <c:v>46805</c:v>
                </c:pt>
                <c:pt idx="79">
                  <c:v>48947</c:v>
                </c:pt>
                <c:pt idx="80">
                  <c:v>50179</c:v>
                </c:pt>
                <c:pt idx="81">
                  <c:v>50393</c:v>
                </c:pt>
                <c:pt idx="82">
                  <c:v>51913</c:v>
                </c:pt>
                <c:pt idx="83">
                  <c:v>53488</c:v>
                </c:pt>
                <c:pt idx="84">
                  <c:v>54926</c:v>
                </c:pt>
                <c:pt idx="85">
                  <c:v>55439</c:v>
                </c:pt>
                <c:pt idx="86">
                  <c:v>57174</c:v>
                </c:pt>
                <c:pt idx="87">
                  <c:v>58733</c:v>
                </c:pt>
                <c:pt idx="88">
                  <c:v>59520</c:v>
                </c:pt>
                <c:pt idx="89">
                  <c:v>61424</c:v>
                </c:pt>
                <c:pt idx="90">
                  <c:v>63386</c:v>
                </c:pt>
                <c:pt idx="91">
                  <c:v>65468</c:v>
                </c:pt>
                <c:pt idx="92">
                  <c:v>70550</c:v>
                </c:pt>
                <c:pt idx="93">
                  <c:v>74846</c:v>
                </c:pt>
                <c:pt idx="94">
                  <c:v>77383</c:v>
                </c:pt>
              </c:numCache>
            </c:numRef>
          </c:val>
          <c:smooth val="0"/>
          <c:extLst>
            <c:ext xmlns:c16="http://schemas.microsoft.com/office/drawing/2014/chart" uri="{C3380CC4-5D6E-409C-BE32-E72D297353CC}">
              <c16:uniqueId val="{00000005-D2C1-6342-8CD2-F05FF6FE9F6B}"/>
            </c:ext>
          </c:extLst>
        </c:ser>
        <c:ser>
          <c:idx val="8"/>
          <c:order val="6"/>
          <c:tx>
            <c:strRef>
              <c:f>就业与工资对比!$A$10</c:f>
              <c:strCache>
                <c:ptCount val="1"/>
                <c:pt idx="0">
                  <c:v>证券经销平均工资-副轴</c:v>
                </c:pt>
              </c:strCache>
            </c:strRef>
          </c:tx>
          <c:spPr>
            <a:ln w="19050" cap="sq" cmpd="dbl">
              <a:solidFill>
                <a:schemeClr val="tx1"/>
              </a:solidFill>
              <a:prstDash val="dash"/>
              <a:bevel/>
            </a:ln>
            <a:effectLst/>
          </c:spPr>
          <c:marker>
            <c:symbol val="none"/>
          </c:marker>
          <c:cat>
            <c:strRef>
              <c:f>就业与工资对比!$B$1:$CR$1</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pt idx="75">
                  <c:v>2003</c:v>
                </c:pt>
                <c:pt idx="76">
                  <c:v>2004</c:v>
                </c:pt>
                <c:pt idx="77">
                  <c:v>2005</c:v>
                </c:pt>
                <c:pt idx="78">
                  <c:v>2006</c:v>
                </c:pt>
                <c:pt idx="79">
                  <c:v>2007</c:v>
                </c:pt>
                <c:pt idx="80">
                  <c:v>2008</c:v>
                </c:pt>
                <c:pt idx="81">
                  <c:v>2009</c:v>
                </c:pt>
                <c:pt idx="82">
                  <c:v>2010</c:v>
                </c:pt>
                <c:pt idx="83">
                  <c:v>2011</c:v>
                </c:pt>
                <c:pt idx="84">
                  <c:v>2012</c:v>
                </c:pt>
                <c:pt idx="85">
                  <c:v>2013</c:v>
                </c:pt>
                <c:pt idx="86">
                  <c:v>2014</c:v>
                </c:pt>
                <c:pt idx="87">
                  <c:v>2015</c:v>
                </c:pt>
                <c:pt idx="88">
                  <c:v>2016</c:v>
                </c:pt>
                <c:pt idx="89">
                  <c:v>2017</c:v>
                </c:pt>
                <c:pt idx="90">
                  <c:v>2018</c:v>
                </c:pt>
                <c:pt idx="91">
                  <c:v>2019</c:v>
                </c:pt>
                <c:pt idx="92">
                  <c:v>2020</c:v>
                </c:pt>
                <c:pt idx="93">
                  <c:v>2021</c:v>
                </c:pt>
                <c:pt idx="94">
                  <c:v>2022</c:v>
                </c:pt>
              </c:strCache>
            </c:strRef>
          </c:cat>
          <c:val>
            <c:numRef>
              <c:f>就业与工资对比!$B$10:$CR$10</c:f>
              <c:numCache>
                <c:formatCode>General</c:formatCode>
                <c:ptCount val="95"/>
                <c:pt idx="0">
                  <c:v>3172</c:v>
                </c:pt>
                <c:pt idx="1">
                  <c:v>3097</c:v>
                </c:pt>
                <c:pt idx="2">
                  <c:v>3011</c:v>
                </c:pt>
                <c:pt idx="3">
                  <c:v>2925</c:v>
                </c:pt>
                <c:pt idx="4">
                  <c:v>2742</c:v>
                </c:pt>
                <c:pt idx="5">
                  <c:v>2807</c:v>
                </c:pt>
                <c:pt idx="6">
                  <c:v>2770</c:v>
                </c:pt>
                <c:pt idx="7">
                  <c:v>2941</c:v>
                </c:pt>
                <c:pt idx="8">
                  <c:v>3048</c:v>
                </c:pt>
                <c:pt idx="9">
                  <c:v>2809</c:v>
                </c:pt>
                <c:pt idx="10">
                  <c:v>2806</c:v>
                </c:pt>
                <c:pt idx="11">
                  <c:v>2845</c:v>
                </c:pt>
                <c:pt idx="12">
                  <c:v>3040</c:v>
                </c:pt>
                <c:pt idx="13">
                  <c:v>3073</c:v>
                </c:pt>
                <c:pt idx="14">
                  <c:v>3947</c:v>
                </c:pt>
                <c:pt idx="15">
                  <c:v>4179</c:v>
                </c:pt>
                <c:pt idx="16">
                  <c:v>5286</c:v>
                </c:pt>
                <c:pt idx="17">
                  <c:v>5226</c:v>
                </c:pt>
                <c:pt idx="18">
                  <c:v>4714</c:v>
                </c:pt>
                <c:pt idx="19">
                  <c:v>4760</c:v>
                </c:pt>
                <c:pt idx="20">
                  <c:v>4679</c:v>
                </c:pt>
                <c:pt idx="21">
                  <c:v>4784</c:v>
                </c:pt>
                <c:pt idx="22">
                  <c:v>5607</c:v>
                </c:pt>
                <c:pt idx="23">
                  <c:v>5700</c:v>
                </c:pt>
                <c:pt idx="24">
                  <c:v>5429</c:v>
                </c:pt>
                <c:pt idx="25">
                  <c:v>5516</c:v>
                </c:pt>
                <c:pt idx="26">
                  <c:v>6672</c:v>
                </c:pt>
                <c:pt idx="27">
                  <c:v>7013</c:v>
                </c:pt>
                <c:pt idx="28">
                  <c:v>6612</c:v>
                </c:pt>
                <c:pt idx="29">
                  <c:v>6718</c:v>
                </c:pt>
                <c:pt idx="30">
                  <c:v>7253</c:v>
                </c:pt>
                <c:pt idx="31">
                  <c:v>8176</c:v>
                </c:pt>
                <c:pt idx="32">
                  <c:v>7640</c:v>
                </c:pt>
                <c:pt idx="33">
                  <c:v>8951</c:v>
                </c:pt>
                <c:pt idx="34">
                  <c:v>8039</c:v>
                </c:pt>
                <c:pt idx="35">
                  <c:v>8311</c:v>
                </c:pt>
                <c:pt idx="36">
                  <c:v>9025</c:v>
                </c:pt>
                <c:pt idx="37">
                  <c:v>9903</c:v>
                </c:pt>
                <c:pt idx="38">
                  <c:v>10963</c:v>
                </c:pt>
                <c:pt idx="39">
                  <c:v>12414</c:v>
                </c:pt>
                <c:pt idx="40">
                  <c:v>13606</c:v>
                </c:pt>
                <c:pt idx="41">
                  <c:v>12706</c:v>
                </c:pt>
                <c:pt idx="42">
                  <c:v>12221</c:v>
                </c:pt>
                <c:pt idx="43">
                  <c:v>14874</c:v>
                </c:pt>
                <c:pt idx="44">
                  <c:v>16431</c:v>
                </c:pt>
                <c:pt idx="45">
                  <c:v>16063</c:v>
                </c:pt>
                <c:pt idx="46">
                  <c:v>16570</c:v>
                </c:pt>
                <c:pt idx="47">
                  <c:v>19399</c:v>
                </c:pt>
                <c:pt idx="48">
                  <c:v>21823</c:v>
                </c:pt>
                <c:pt idx="49">
                  <c:v>23232</c:v>
                </c:pt>
                <c:pt idx="50">
                  <c:v>25219</c:v>
                </c:pt>
                <c:pt idx="51">
                  <c:v>27400</c:v>
                </c:pt>
                <c:pt idx="52">
                  <c:v>33027</c:v>
                </c:pt>
                <c:pt idx="53">
                  <c:v>34819</c:v>
                </c:pt>
                <c:pt idx="54">
                  <c:v>39777</c:v>
                </c:pt>
                <c:pt idx="55">
                  <c:v>48070</c:v>
                </c:pt>
                <c:pt idx="56">
                  <c:v>47459</c:v>
                </c:pt>
                <c:pt idx="57">
                  <c:v>52646</c:v>
                </c:pt>
                <c:pt idx="58">
                  <c:v>61241</c:v>
                </c:pt>
                <c:pt idx="59">
                  <c:v>65232</c:v>
                </c:pt>
                <c:pt idx="60">
                  <c:v>68180</c:v>
                </c:pt>
                <c:pt idx="61">
                  <c:v>65120</c:v>
                </c:pt>
                <c:pt idx="62">
                  <c:v>67736</c:v>
                </c:pt>
                <c:pt idx="63">
                  <c:v>74241</c:v>
                </c:pt>
                <c:pt idx="64">
                  <c:v>96182</c:v>
                </c:pt>
                <c:pt idx="65">
                  <c:v>97800</c:v>
                </c:pt>
                <c:pt idx="66">
                  <c:v>85861</c:v>
                </c:pt>
                <c:pt idx="67">
                  <c:v>95039</c:v>
                </c:pt>
                <c:pt idx="68">
                  <c:v>108952</c:v>
                </c:pt>
                <c:pt idx="69">
                  <c:v>119577</c:v>
                </c:pt>
                <c:pt idx="70">
                  <c:v>129776</c:v>
                </c:pt>
                <c:pt idx="71">
                  <c:v>136688</c:v>
                </c:pt>
                <c:pt idx="72">
                  <c:v>162052</c:v>
                </c:pt>
                <c:pt idx="73">
                  <c:v>151561</c:v>
                </c:pt>
                <c:pt idx="74">
                  <c:v>141878</c:v>
                </c:pt>
                <c:pt idx="75">
                  <c:v>142495</c:v>
                </c:pt>
                <c:pt idx="76">
                  <c:v>162972</c:v>
                </c:pt>
                <c:pt idx="77">
                  <c:v>171759</c:v>
                </c:pt>
                <c:pt idx="78">
                  <c:v>191402</c:v>
                </c:pt>
                <c:pt idx="79">
                  <c:v>216264</c:v>
                </c:pt>
                <c:pt idx="80">
                  <c:v>210888</c:v>
                </c:pt>
                <c:pt idx="81">
                  <c:v>180709</c:v>
                </c:pt>
                <c:pt idx="82">
                  <c:v>200341</c:v>
                </c:pt>
                <c:pt idx="83">
                  <c:v>207798</c:v>
                </c:pt>
                <c:pt idx="84">
                  <c:v>209090</c:v>
                </c:pt>
                <c:pt idx="85">
                  <c:v>205093</c:v>
                </c:pt>
                <c:pt idx="86">
                  <c:v>224651</c:v>
                </c:pt>
                <c:pt idx="87">
                  <c:v>221977</c:v>
                </c:pt>
                <c:pt idx="88">
                  <c:v>219620</c:v>
                </c:pt>
                <c:pt idx="89">
                  <c:v>236526</c:v>
                </c:pt>
                <c:pt idx="90">
                  <c:v>235408</c:v>
                </c:pt>
                <c:pt idx="91">
                  <c:v>238837</c:v>
                </c:pt>
                <c:pt idx="92">
                  <c:v>254202</c:v>
                </c:pt>
                <c:pt idx="93">
                  <c:v>289186</c:v>
                </c:pt>
                <c:pt idx="94">
                  <c:v>281549</c:v>
                </c:pt>
              </c:numCache>
            </c:numRef>
          </c:val>
          <c:smooth val="0"/>
          <c:extLst>
            <c:ext xmlns:c16="http://schemas.microsoft.com/office/drawing/2014/chart" uri="{C3380CC4-5D6E-409C-BE32-E72D297353CC}">
              <c16:uniqueId val="{00000006-D2C1-6342-8CD2-F05FF6FE9F6B}"/>
            </c:ext>
          </c:extLst>
        </c:ser>
        <c:dLbls>
          <c:showLegendKey val="0"/>
          <c:showVal val="0"/>
          <c:showCatName val="0"/>
          <c:showSerName val="0"/>
          <c:showPercent val="0"/>
          <c:showBubbleSize val="0"/>
        </c:dLbls>
        <c:marker val="1"/>
        <c:smooth val="0"/>
        <c:axId val="1753633055"/>
        <c:axId val="1796369407"/>
      </c:lineChart>
      <c:catAx>
        <c:axId val="658026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30598271"/>
        <c:crosses val="autoZero"/>
        <c:auto val="1"/>
        <c:lblAlgn val="ctr"/>
        <c:lblOffset val="100"/>
        <c:noMultiLvlLbl val="0"/>
      </c:catAx>
      <c:valAx>
        <c:axId val="6305982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r>
                  <a:rPr lang="zh-CN" altLang="en-US" sz="900">
                    <a:latin typeface="SimSun" panose="02010600030101010101" pitchFamily="2" charset="-122"/>
                    <a:ea typeface="SimSun" panose="02010600030101010101" pitchFamily="2" charset="-122"/>
                  </a:rPr>
                  <a:t>单位：千人</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58026399"/>
        <c:crosses val="autoZero"/>
        <c:crossBetween val="between"/>
      </c:valAx>
      <c:valAx>
        <c:axId val="1796369407"/>
        <c:scaling>
          <c:orientation val="minMax"/>
        </c:scaling>
        <c:delete val="0"/>
        <c:axPos val="r"/>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r>
                  <a:rPr lang="zh-CN" altLang="en-US" sz="900">
                    <a:latin typeface="SimSun" panose="02010600030101010101" pitchFamily="2" charset="-122"/>
                    <a:ea typeface="SimSun" panose="02010600030101010101" pitchFamily="2" charset="-122"/>
                  </a:rPr>
                  <a:t>单位：美元</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753633055"/>
        <c:crosses val="max"/>
        <c:crossBetween val="between"/>
      </c:valAx>
      <c:catAx>
        <c:axId val="1753633055"/>
        <c:scaling>
          <c:orientation val="minMax"/>
        </c:scaling>
        <c:delete val="1"/>
        <c:axPos val="b"/>
        <c:numFmt formatCode="General" sourceLinked="1"/>
        <c:majorTickMark val="out"/>
        <c:minorTickMark val="none"/>
        <c:tickLblPos val="nextTo"/>
        <c:crossAx val="179636940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'1.家庭与非营利组织'!$A$172</c:f>
              <c:strCache>
                <c:ptCount val="1"/>
                <c:pt idx="0">
                  <c:v>   利息收入</c:v>
                </c:pt>
              </c:strCache>
            </c:strRef>
          </c:tx>
          <c:spPr>
            <a:ln w="19050" cap="rnd" cmpd="dbl">
              <a:solidFill>
                <a:schemeClr val="tx1"/>
              </a:solidFill>
              <a:round/>
            </a:ln>
            <a:effectLst/>
          </c:spPr>
          <c:marker>
            <c:symbol val="none"/>
          </c:marker>
          <c:cat>
            <c:numRef>
              <c:f>'1.家庭与非营利组织'!$B$171:$CB$171</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'1.家庭与非营利组织'!$B$172:$CB$172</c:f>
              <c:numCache>
                <c:formatCode>General</c:formatCode>
                <c:ptCount val="79"/>
                <c:pt idx="0">
                  <c:v>7.2</c:v>
                </c:pt>
                <c:pt idx="1">
                  <c:v>8</c:v>
                </c:pt>
                <c:pt idx="2">
                  <c:v>9.1</c:v>
                </c:pt>
                <c:pt idx="3">
                  <c:v>9.6999999999999993</c:v>
                </c:pt>
                <c:pt idx="4">
                  <c:v>10.7</c:v>
                </c:pt>
                <c:pt idx="5">
                  <c:v>11.8</c:v>
                </c:pt>
                <c:pt idx="6">
                  <c:v>12.9</c:v>
                </c:pt>
                <c:pt idx="7">
                  <c:v>14</c:v>
                </c:pt>
                <c:pt idx="8">
                  <c:v>15.6</c:v>
                </c:pt>
                <c:pt idx="9">
                  <c:v>17.2</c:v>
                </c:pt>
                <c:pt idx="10">
                  <c:v>18.8</c:v>
                </c:pt>
                <c:pt idx="11">
                  <c:v>21</c:v>
                </c:pt>
                <c:pt idx="12">
                  <c:v>23.7</c:v>
                </c:pt>
                <c:pt idx="13">
                  <c:v>25.7</c:v>
                </c:pt>
                <c:pt idx="14">
                  <c:v>28.2</c:v>
                </c:pt>
                <c:pt idx="15">
                  <c:v>31.1</c:v>
                </c:pt>
                <c:pt idx="16">
                  <c:v>33.4</c:v>
                </c:pt>
                <c:pt idx="17">
                  <c:v>37.1</c:v>
                </c:pt>
                <c:pt idx="18">
                  <c:v>40.5</c:v>
                </c:pt>
                <c:pt idx="19">
                  <c:v>44.9</c:v>
                </c:pt>
                <c:pt idx="20">
                  <c:v>49.3</c:v>
                </c:pt>
                <c:pt idx="21">
                  <c:v>54.3</c:v>
                </c:pt>
                <c:pt idx="22">
                  <c:v>59.5</c:v>
                </c:pt>
                <c:pt idx="23">
                  <c:v>65.3</c:v>
                </c:pt>
                <c:pt idx="24">
                  <c:v>76.099999999999994</c:v>
                </c:pt>
                <c:pt idx="25">
                  <c:v>90.6</c:v>
                </c:pt>
                <c:pt idx="26">
                  <c:v>100.1</c:v>
                </c:pt>
                <c:pt idx="27">
                  <c:v>109.8</c:v>
                </c:pt>
                <c:pt idx="28">
                  <c:v>125.5</c:v>
                </c:pt>
                <c:pt idx="29">
                  <c:v>147.4</c:v>
                </c:pt>
                <c:pt idx="30">
                  <c:v>168</c:v>
                </c:pt>
                <c:pt idx="31">
                  <c:v>181</c:v>
                </c:pt>
                <c:pt idx="32">
                  <c:v>206.9</c:v>
                </c:pt>
                <c:pt idx="33">
                  <c:v>235.1</c:v>
                </c:pt>
                <c:pt idx="34">
                  <c:v>269.5</c:v>
                </c:pt>
                <c:pt idx="35">
                  <c:v>333.5</c:v>
                </c:pt>
                <c:pt idx="36">
                  <c:v>414.2</c:v>
                </c:pt>
                <c:pt idx="37">
                  <c:v>481.8</c:v>
                </c:pt>
                <c:pt idx="38">
                  <c:v>518.20000000000005</c:v>
                </c:pt>
                <c:pt idx="39">
                  <c:v>590.9</c:v>
                </c:pt>
                <c:pt idx="40">
                  <c:v>630.5</c:v>
                </c:pt>
                <c:pt idx="41">
                  <c:v>663.1</c:v>
                </c:pt>
                <c:pt idx="42">
                  <c:v>674.3</c:v>
                </c:pt>
                <c:pt idx="43">
                  <c:v>720.1</c:v>
                </c:pt>
                <c:pt idx="44">
                  <c:v>802.3</c:v>
                </c:pt>
                <c:pt idx="45">
                  <c:v>835.1</c:v>
                </c:pt>
                <c:pt idx="46">
                  <c:v>827.7</c:v>
                </c:pt>
                <c:pt idx="47">
                  <c:v>806.2</c:v>
                </c:pt>
                <c:pt idx="48">
                  <c:v>796.8</c:v>
                </c:pt>
                <c:pt idx="49">
                  <c:v>806.3</c:v>
                </c:pt>
                <c:pt idx="50">
                  <c:v>869.4</c:v>
                </c:pt>
                <c:pt idx="51">
                  <c:v>886.4</c:v>
                </c:pt>
                <c:pt idx="52">
                  <c:v>928.8</c:v>
                </c:pt>
                <c:pt idx="53">
                  <c:v>994</c:v>
                </c:pt>
                <c:pt idx="54">
                  <c:v>987.7</c:v>
                </c:pt>
                <c:pt idx="55">
                  <c:v>1069.3</c:v>
                </c:pt>
                <c:pt idx="56">
                  <c:v>1087.5</c:v>
                </c:pt>
                <c:pt idx="57">
                  <c:v>1001.2</c:v>
                </c:pt>
                <c:pt idx="58">
                  <c:v>1004.4</c:v>
                </c:pt>
                <c:pt idx="59">
                  <c:v>939.3</c:v>
                </c:pt>
                <c:pt idx="60">
                  <c:v>1081.3</c:v>
                </c:pt>
                <c:pt idx="61">
                  <c:v>1215.4000000000001</c:v>
                </c:pt>
                <c:pt idx="62">
                  <c:v>1325.2</c:v>
                </c:pt>
                <c:pt idx="63">
                  <c:v>1345.8</c:v>
                </c:pt>
                <c:pt idx="64">
                  <c:v>1272.8</c:v>
                </c:pt>
                <c:pt idx="65">
                  <c:v>1211.0999999999999</c:v>
                </c:pt>
                <c:pt idx="66">
                  <c:v>1216.0999999999999</c:v>
                </c:pt>
                <c:pt idx="67">
                  <c:v>1271.8</c:v>
                </c:pt>
                <c:pt idx="68">
                  <c:v>1201.5999999999999</c:v>
                </c:pt>
                <c:pt idx="69">
                  <c:v>1260.4000000000001</c:v>
                </c:pt>
                <c:pt idx="70">
                  <c:v>1347.7</c:v>
                </c:pt>
                <c:pt idx="71">
                  <c:v>1388</c:v>
                </c:pt>
                <c:pt idx="72">
                  <c:v>1466.7</c:v>
                </c:pt>
                <c:pt idx="73">
                  <c:v>1554.5</c:v>
                </c:pt>
                <c:pt idx="74">
                  <c:v>1603.4</c:v>
                </c:pt>
                <c:pt idx="75">
                  <c:v>1510.3</c:v>
                </c:pt>
                <c:pt idx="76">
                  <c:v>1515.5</c:v>
                </c:pt>
                <c:pt idx="77">
                  <c:v>1627.5</c:v>
                </c:pt>
                <c:pt idx="78">
                  <c:v>1772.8</c:v>
                </c:pt>
              </c:numCache>
            </c:numRef>
          </c:val>
          <c:smooth val="0"/>
          <c:extLst>
            <c:ext xmlns:c16="http://schemas.microsoft.com/office/drawing/2014/chart" uri="{C3380CC4-5D6E-409C-BE32-E72D297353CC}">
              <c16:uniqueId val="{00000000-A45E-2D41-9C6E-DC08E45F56C2}"/>
            </c:ext>
          </c:extLst>
        </c:ser>
        <c:ser>
          <c:idx val="1"/>
          <c:order val="1"/>
          <c:tx>
            <c:strRef>
              <c:f>'1.家庭与非营利组织'!$A$173</c:f>
              <c:strCache>
                <c:ptCount val="1"/>
                <c:pt idx="0">
                  <c:v>   分红收入</c:v>
                </c:pt>
              </c:strCache>
            </c:strRef>
          </c:tx>
          <c:spPr>
            <a:ln w="28575" cap="rnd" cmpd="dbl">
              <a:solidFill>
                <a:schemeClr val="tx1"/>
              </a:solidFill>
              <a:prstDash val="sysDot"/>
              <a:round/>
            </a:ln>
            <a:effectLst/>
          </c:spPr>
          <c:marker>
            <c:symbol val="none"/>
          </c:marker>
          <c:cat>
            <c:numRef>
              <c:f>'1.家庭与非营利组织'!$B$171:$CB$171</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'1.家庭与非营利组织'!$B$173:$CB$173</c:f>
              <c:numCache>
                <c:formatCode>General</c:formatCode>
                <c:ptCount val="79"/>
                <c:pt idx="0">
                  <c:v>4.5999999999999996</c:v>
                </c:pt>
                <c:pt idx="1">
                  <c:v>5.6</c:v>
                </c:pt>
                <c:pt idx="2">
                  <c:v>6.3</c:v>
                </c:pt>
                <c:pt idx="3">
                  <c:v>7</c:v>
                </c:pt>
                <c:pt idx="4">
                  <c:v>7.2</c:v>
                </c:pt>
                <c:pt idx="5">
                  <c:v>8.8000000000000007</c:v>
                </c:pt>
                <c:pt idx="6">
                  <c:v>8.6</c:v>
                </c:pt>
                <c:pt idx="7">
                  <c:v>8.6</c:v>
                </c:pt>
                <c:pt idx="8">
                  <c:v>8.9</c:v>
                </c:pt>
                <c:pt idx="9">
                  <c:v>9.3000000000000007</c:v>
                </c:pt>
                <c:pt idx="10">
                  <c:v>10.5</c:v>
                </c:pt>
                <c:pt idx="11">
                  <c:v>11.3</c:v>
                </c:pt>
                <c:pt idx="12">
                  <c:v>11.7</c:v>
                </c:pt>
                <c:pt idx="13">
                  <c:v>11.6</c:v>
                </c:pt>
                <c:pt idx="14">
                  <c:v>12.6</c:v>
                </c:pt>
                <c:pt idx="15">
                  <c:v>13.4</c:v>
                </c:pt>
                <c:pt idx="16">
                  <c:v>13.9</c:v>
                </c:pt>
                <c:pt idx="17">
                  <c:v>15</c:v>
                </c:pt>
                <c:pt idx="18">
                  <c:v>16.2</c:v>
                </c:pt>
                <c:pt idx="19">
                  <c:v>18.2</c:v>
                </c:pt>
                <c:pt idx="20">
                  <c:v>20.2</c:v>
                </c:pt>
                <c:pt idx="21">
                  <c:v>20.7</c:v>
                </c:pt>
                <c:pt idx="22">
                  <c:v>21.5</c:v>
                </c:pt>
                <c:pt idx="23">
                  <c:v>23.5</c:v>
                </c:pt>
                <c:pt idx="24">
                  <c:v>24.2</c:v>
                </c:pt>
                <c:pt idx="25">
                  <c:v>24.3</c:v>
                </c:pt>
                <c:pt idx="26">
                  <c:v>25</c:v>
                </c:pt>
                <c:pt idx="27">
                  <c:v>26.8</c:v>
                </c:pt>
                <c:pt idx="28">
                  <c:v>29.9</c:v>
                </c:pt>
                <c:pt idx="29">
                  <c:v>33.200000000000003</c:v>
                </c:pt>
                <c:pt idx="30">
                  <c:v>32.9</c:v>
                </c:pt>
                <c:pt idx="31">
                  <c:v>39</c:v>
                </c:pt>
                <c:pt idx="32">
                  <c:v>44.7</c:v>
                </c:pt>
                <c:pt idx="33">
                  <c:v>50.7</c:v>
                </c:pt>
                <c:pt idx="34">
                  <c:v>57.7</c:v>
                </c:pt>
                <c:pt idx="35">
                  <c:v>64.2</c:v>
                </c:pt>
                <c:pt idx="36">
                  <c:v>69.7</c:v>
                </c:pt>
                <c:pt idx="37">
                  <c:v>73.099999999999994</c:v>
                </c:pt>
                <c:pt idx="38">
                  <c:v>82</c:v>
                </c:pt>
                <c:pt idx="39">
                  <c:v>85.8</c:v>
                </c:pt>
                <c:pt idx="40">
                  <c:v>93.8</c:v>
                </c:pt>
                <c:pt idx="41">
                  <c:v>103.1</c:v>
                </c:pt>
                <c:pt idx="42">
                  <c:v>102</c:v>
                </c:pt>
                <c:pt idx="43">
                  <c:v>128</c:v>
                </c:pt>
                <c:pt idx="44">
                  <c:v>157.5</c:v>
                </c:pt>
                <c:pt idx="45">
                  <c:v>169.7</c:v>
                </c:pt>
                <c:pt idx="46">
                  <c:v>181</c:v>
                </c:pt>
                <c:pt idx="47">
                  <c:v>189.3</c:v>
                </c:pt>
                <c:pt idx="48">
                  <c:v>205.1</c:v>
                </c:pt>
                <c:pt idx="49">
                  <c:v>237.3</c:v>
                </c:pt>
                <c:pt idx="50">
                  <c:v>259.2</c:v>
                </c:pt>
                <c:pt idx="51">
                  <c:v>302.39999999999998</c:v>
                </c:pt>
                <c:pt idx="52">
                  <c:v>337.8</c:v>
                </c:pt>
                <c:pt idx="53">
                  <c:v>358.4</c:v>
                </c:pt>
                <c:pt idx="54">
                  <c:v>348.5</c:v>
                </c:pt>
                <c:pt idx="55">
                  <c:v>386.4</c:v>
                </c:pt>
                <c:pt idx="56">
                  <c:v>374.4</c:v>
                </c:pt>
                <c:pt idx="57">
                  <c:v>401.5</c:v>
                </c:pt>
                <c:pt idx="58">
                  <c:v>431.2</c:v>
                </c:pt>
                <c:pt idx="59">
                  <c:v>559.4</c:v>
                </c:pt>
                <c:pt idx="60">
                  <c:v>555</c:v>
                </c:pt>
                <c:pt idx="61">
                  <c:v>683.6</c:v>
                </c:pt>
                <c:pt idx="62">
                  <c:v>780.1</c:v>
                </c:pt>
                <c:pt idx="63">
                  <c:v>805.7</c:v>
                </c:pt>
                <c:pt idx="64">
                  <c:v>565.6</c:v>
                </c:pt>
                <c:pt idx="65">
                  <c:v>536.6</c:v>
                </c:pt>
                <c:pt idx="66">
                  <c:v>690.4</c:v>
                </c:pt>
                <c:pt idx="67">
                  <c:v>831.7</c:v>
                </c:pt>
                <c:pt idx="68">
                  <c:v>781.6</c:v>
                </c:pt>
                <c:pt idx="69">
                  <c:v>917</c:v>
                </c:pt>
                <c:pt idx="70">
                  <c:v>996.9</c:v>
                </c:pt>
                <c:pt idx="71">
                  <c:v>1027.4000000000001</c:v>
                </c:pt>
                <c:pt idx="72">
                  <c:v>1144.3</c:v>
                </c:pt>
                <c:pt idx="73">
                  <c:v>1234.9000000000001</c:v>
                </c:pt>
                <c:pt idx="74">
                  <c:v>1346.5</c:v>
                </c:pt>
                <c:pt idx="75">
                  <c:v>1403.5</c:v>
                </c:pt>
                <c:pt idx="76">
                  <c:v>1699.2</c:v>
                </c:pt>
                <c:pt idx="77">
                  <c:v>1804.5</c:v>
                </c:pt>
                <c:pt idx="78">
                  <c:v>1840.6</c:v>
                </c:pt>
              </c:numCache>
            </c:numRef>
          </c:val>
          <c:smooth val="0"/>
          <c:extLst>
            <c:ext xmlns:c16="http://schemas.microsoft.com/office/drawing/2014/chart" uri="{C3380CC4-5D6E-409C-BE32-E72D297353CC}">
              <c16:uniqueId val="{00000001-A45E-2D41-9C6E-DC08E45F56C2}"/>
            </c:ext>
          </c:extLst>
        </c:ser>
        <c:dLbls>
          <c:showLegendKey val="0"/>
          <c:showVal val="0"/>
          <c:showCatName val="0"/>
          <c:showSerName val="0"/>
          <c:showPercent val="0"/>
          <c:showBubbleSize val="0"/>
        </c:dLbls>
        <c:marker val="1"/>
        <c:smooth val="0"/>
        <c:axId val="1338956847"/>
        <c:axId val="1338901119"/>
      </c:lineChart>
      <c:lineChart>
        <c:grouping val="standard"/>
        <c:varyColors val="0"/>
        <c:ser>
          <c:idx val="2"/>
          <c:order val="2"/>
          <c:tx>
            <c:strRef>
              <c:f>'1.家庭与非营利组织'!$A$174</c:f>
              <c:strCache>
                <c:ptCount val="1"/>
                <c:pt idx="0">
                  <c:v>债务工具占比-副轴</c:v>
                </c:pt>
              </c:strCache>
            </c:strRef>
          </c:tx>
          <c:spPr>
            <a:ln w="19050" cap="rnd">
              <a:solidFill>
                <a:schemeClr val="tx1"/>
              </a:solidFill>
              <a:round/>
            </a:ln>
            <a:effectLst/>
          </c:spPr>
          <c:marker>
            <c:symbol val="none"/>
          </c:marker>
          <c:cat>
            <c:numRef>
              <c:f>'1.家庭与非营利组织'!$B$171:$CB$171</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'1.家庭与非营利组织'!$B$174:$CB$174</c:f>
              <c:numCache>
                <c:formatCode>#,##0.00</c:formatCode>
                <c:ptCount val="79"/>
                <c:pt idx="0">
                  <c:v>12.259524707657489</c:v>
                </c:pt>
                <c:pt idx="1">
                  <c:v>11.104777106373277</c:v>
                </c:pt>
                <c:pt idx="2">
                  <c:v>10.077282896074841</c:v>
                </c:pt>
                <c:pt idx="3">
                  <c:v>9.7930241471828303</c:v>
                </c:pt>
                <c:pt idx="4">
                  <c:v>9.4972577696526503</c:v>
                </c:pt>
                <c:pt idx="5">
                  <c:v>8.8735210798200299</c:v>
                </c:pt>
                <c:pt idx="6">
                  <c:v>8.2461725026527208</c:v>
                </c:pt>
                <c:pt idx="7">
                  <c:v>8.5286926506543939</c:v>
                </c:pt>
                <c:pt idx="8">
                  <c:v>8.7070511935973496</c:v>
                </c:pt>
                <c:pt idx="9">
                  <c:v>8.2413022661985309</c:v>
                </c:pt>
                <c:pt idx="10">
                  <c:v>8.1695725698291444</c:v>
                </c:pt>
                <c:pt idx="11">
                  <c:v>8.1724756674460348</c:v>
                </c:pt>
                <c:pt idx="12">
                  <c:v>8.4196755625327047</c:v>
                </c:pt>
                <c:pt idx="13">
                  <c:v>7.9485821578161868</c:v>
                </c:pt>
                <c:pt idx="14">
                  <c:v>8.1591767973409812</c:v>
                </c:pt>
                <c:pt idx="15">
                  <c:v>8.3580786026200879</c:v>
                </c:pt>
                <c:pt idx="16">
                  <c:v>8.0539623556022306</c:v>
                </c:pt>
                <c:pt idx="17">
                  <c:v>8.0818990245911131</c:v>
                </c:pt>
                <c:pt idx="18">
                  <c:v>7.87753725260667</c:v>
                </c:pt>
                <c:pt idx="19">
                  <c:v>7.7131324262225966</c:v>
                </c:pt>
                <c:pt idx="20">
                  <c:v>7.4479501572791564</c:v>
                </c:pt>
                <c:pt idx="21">
                  <c:v>8.0071817493270956</c:v>
                </c:pt>
                <c:pt idx="22">
                  <c:v>7.5024836476063967</c:v>
                </c:pt>
                <c:pt idx="23">
                  <c:v>7.0327641258693312</c:v>
                </c:pt>
                <c:pt idx="24">
                  <c:v>7.9181080586552905</c:v>
                </c:pt>
                <c:pt idx="25">
                  <c:v>7.6950928923472786</c:v>
                </c:pt>
                <c:pt idx="26">
                  <c:v>6.8102394040805372</c:v>
                </c:pt>
                <c:pt idx="27">
                  <c:v>6.1433651711934623</c:v>
                </c:pt>
                <c:pt idx="28">
                  <c:v>6.4889427368612056</c:v>
                </c:pt>
                <c:pt idx="29">
                  <c:v>7.3378743700755065</c:v>
                </c:pt>
                <c:pt idx="30">
                  <c:v>7.2663650218717883</c:v>
                </c:pt>
                <c:pt idx="31">
                  <c:v>6.8962764130563166</c:v>
                </c:pt>
                <c:pt idx="32">
                  <c:v>6.9224549164836526</c:v>
                </c:pt>
                <c:pt idx="33">
                  <c:v>6.9801936146419008</c:v>
                </c:pt>
                <c:pt idx="34">
                  <c:v>7.1957129748911424</c:v>
                </c:pt>
                <c:pt idx="35">
                  <c:v>7.086508633386174</c:v>
                </c:pt>
                <c:pt idx="36">
                  <c:v>7.1743694909508733</c:v>
                </c:pt>
                <c:pt idx="37">
                  <c:v>7.7552529078365362</c:v>
                </c:pt>
                <c:pt idx="38">
                  <c:v>8.2373411668781813</c:v>
                </c:pt>
                <c:pt idx="39">
                  <c:v>8.7885134505148184</c:v>
                </c:pt>
                <c:pt idx="40">
                  <c:v>9.3529555769185659</c:v>
                </c:pt>
                <c:pt idx="41">
                  <c:v>9.4804349051289645</c:v>
                </c:pt>
                <c:pt idx="42">
                  <c:v>10.048822617194125</c:v>
                </c:pt>
                <c:pt idx="43">
                  <c:v>10.453648192545502</c:v>
                </c:pt>
                <c:pt idx="44">
                  <c:v>10.400487779094215</c:v>
                </c:pt>
                <c:pt idx="45">
                  <c:v>11.399782138087703</c:v>
                </c:pt>
                <c:pt idx="46">
                  <c:v>11.417829652282775</c:v>
                </c:pt>
                <c:pt idx="47">
                  <c:v>11.730751133684672</c:v>
                </c:pt>
                <c:pt idx="48">
                  <c:v>12.088996777013183</c:v>
                </c:pt>
                <c:pt idx="49">
                  <c:v>12.99880487611528</c:v>
                </c:pt>
                <c:pt idx="50">
                  <c:v>12.159552652923836</c:v>
                </c:pt>
                <c:pt idx="51">
                  <c:v>12.099929908364393</c:v>
                </c:pt>
                <c:pt idx="52">
                  <c:v>11.251426259137858</c:v>
                </c:pt>
                <c:pt idx="53">
                  <c:v>10.6481444941445</c:v>
                </c:pt>
                <c:pt idx="54">
                  <c:v>10.098349207422302</c:v>
                </c:pt>
                <c:pt idx="55">
                  <c:v>9.4918295185262487</c:v>
                </c:pt>
                <c:pt idx="56">
                  <c:v>9.2511704871195803</c:v>
                </c:pt>
                <c:pt idx="57">
                  <c:v>9.6428494051670803</c:v>
                </c:pt>
                <c:pt idx="58">
                  <c:v>9.3270493320510681</c:v>
                </c:pt>
                <c:pt idx="59">
                  <c:v>9.915079945108312</c:v>
                </c:pt>
                <c:pt idx="60">
                  <c:v>9.5934596279338162</c:v>
                </c:pt>
                <c:pt idx="61">
                  <c:v>9.5046844864891131</c:v>
                </c:pt>
                <c:pt idx="62">
                  <c:v>10.478385347157168</c:v>
                </c:pt>
                <c:pt idx="63">
                  <c:v>12.349598399541005</c:v>
                </c:pt>
                <c:pt idx="64">
                  <c:v>13.024692986074465</c:v>
                </c:pt>
                <c:pt idx="65">
                  <c:v>13.249633616151463</c:v>
                </c:pt>
                <c:pt idx="66">
                  <c:v>13.009514941975025</c:v>
                </c:pt>
                <c:pt idx="67">
                  <c:v>12.868089355908326</c:v>
                </c:pt>
                <c:pt idx="68">
                  <c:v>12.595461620491308</c:v>
                </c:pt>
                <c:pt idx="69">
                  <c:v>12.01058652025093</c:v>
                </c:pt>
                <c:pt idx="70">
                  <c:v>12.103487788894185</c:v>
                </c:pt>
                <c:pt idx="71">
                  <c:v>10.72884820290369</c:v>
                </c:pt>
                <c:pt idx="72">
                  <c:v>10.307261969800885</c:v>
                </c:pt>
                <c:pt idx="73">
                  <c:v>11.313218636311886</c:v>
                </c:pt>
                <c:pt idx="74">
                  <c:v>10.271534215365728</c:v>
                </c:pt>
                <c:pt idx="75">
                  <c:v>9.5276499856525874</c:v>
                </c:pt>
                <c:pt idx="76">
                  <c:v>7.9889264246691516</c:v>
                </c:pt>
                <c:pt idx="77">
                  <c:v>7.2005487464661035</c:v>
                </c:pt>
                <c:pt idx="78">
                  <c:v>7.0033717651287866</c:v>
                </c:pt>
              </c:numCache>
            </c:numRef>
          </c:val>
          <c:smooth val="0"/>
          <c:extLst>
            <c:ext xmlns:c16="http://schemas.microsoft.com/office/drawing/2014/chart" uri="{C3380CC4-5D6E-409C-BE32-E72D297353CC}">
              <c16:uniqueId val="{00000002-A45E-2D41-9C6E-DC08E45F56C2}"/>
            </c:ext>
          </c:extLst>
        </c:ser>
        <c:ser>
          <c:idx val="3"/>
          <c:order val="3"/>
          <c:tx>
            <c:strRef>
              <c:f>'1.家庭与非营利组织'!$A$175</c:f>
              <c:strCache>
                <c:ptCount val="1"/>
                <c:pt idx="0">
                  <c:v>  股票占比-副轴</c:v>
                </c:pt>
              </c:strCache>
            </c:strRef>
          </c:tx>
          <c:spPr>
            <a:ln w="19050" cap="rnd">
              <a:solidFill>
                <a:schemeClr val="tx1"/>
              </a:solidFill>
              <a:prstDash val="sysDot"/>
              <a:round/>
            </a:ln>
            <a:effectLst/>
          </c:spPr>
          <c:marker>
            <c:symbol val="none"/>
          </c:marker>
          <c:cat>
            <c:numRef>
              <c:f>'1.家庭与非营利组织'!$B$171:$CB$171</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'1.家庭与非营利组织'!$B$175:$CB$175</c:f>
              <c:numCache>
                <c:formatCode>#,##0.00</c:formatCode>
                <c:ptCount val="79"/>
                <c:pt idx="0">
                  <c:v>13.919275745001888</c:v>
                </c:pt>
                <c:pt idx="1">
                  <c:v>11.697639949834681</c:v>
                </c:pt>
                <c:pt idx="2">
                  <c:v>10.209477323571283</c:v>
                </c:pt>
                <c:pt idx="3">
                  <c:v>9.5055576849367576</c:v>
                </c:pt>
                <c:pt idx="4">
                  <c:v>9.8994515539305308</c:v>
                </c:pt>
                <c:pt idx="5">
                  <c:v>11.056490584902518</c:v>
                </c:pt>
                <c:pt idx="6">
                  <c:v>11.770501743216611</c:v>
                </c:pt>
                <c:pt idx="7">
                  <c:v>11.232561484251402</c:v>
                </c:pt>
                <c:pt idx="8">
                  <c:v>10.473299296260521</c:v>
                </c:pt>
                <c:pt idx="9">
                  <c:v>13.246090009575488</c:v>
                </c:pt>
                <c:pt idx="10">
                  <c:v>15.242871304449238</c:v>
                </c:pt>
                <c:pt idx="11">
                  <c:v>15.561959654178676</c:v>
                </c:pt>
                <c:pt idx="12">
                  <c:v>13.589743589743589</c:v>
                </c:pt>
                <c:pt idx="13">
                  <c:v>16.657840258052094</c:v>
                </c:pt>
                <c:pt idx="14">
                  <c:v>17.584118745162318</c:v>
                </c:pt>
                <c:pt idx="15">
                  <c:v>17.104803493449779</c:v>
                </c:pt>
                <c:pt idx="16">
                  <c:v>19.682526860004845</c:v>
                </c:pt>
                <c:pt idx="17">
                  <c:v>18.465888593989146</c:v>
                </c:pt>
                <c:pt idx="18">
                  <c:v>19.289348901358824</c:v>
                </c:pt>
                <c:pt idx="19">
                  <c:v>20.782033041342164</c:v>
                </c:pt>
                <c:pt idx="20">
                  <c:v>21.982694947950158</c:v>
                </c:pt>
                <c:pt idx="21">
                  <c:v>18.982760559131094</c:v>
                </c:pt>
                <c:pt idx="22">
                  <c:v>21.572388933407481</c:v>
                </c:pt>
                <c:pt idx="23">
                  <c:v>23.125098345152928</c:v>
                </c:pt>
                <c:pt idx="24">
                  <c:v>18.897242515302189</c:v>
                </c:pt>
                <c:pt idx="25">
                  <c:v>17.699220321767644</c:v>
                </c:pt>
                <c:pt idx="26">
                  <c:v>18.738171119224241</c:v>
                </c:pt>
                <c:pt idx="27">
                  <c:v>20.345588206489847</c:v>
                </c:pt>
                <c:pt idx="28">
                  <c:v>14.836775887656342</c:v>
                </c:pt>
                <c:pt idx="29">
                  <c:v>9.5721735359632429</c:v>
                </c:pt>
                <c:pt idx="30">
                  <c:v>11.424326873956177</c:v>
                </c:pt>
                <c:pt idx="31">
                  <c:v>12.628983203695949</c:v>
                </c:pt>
                <c:pt idx="32">
                  <c:v>10.148889239764403</c:v>
                </c:pt>
                <c:pt idx="33">
                  <c:v>9.4395951272492535</c:v>
                </c:pt>
                <c:pt idx="34">
                  <c:v>9.7923369979497057</c:v>
                </c:pt>
                <c:pt idx="35">
                  <c:v>11.28123427615674</c:v>
                </c:pt>
                <c:pt idx="36">
                  <c:v>9.5732162152576254</c:v>
                </c:pt>
                <c:pt idx="37">
                  <c:v>10.094601546150439</c:v>
                </c:pt>
                <c:pt idx="38">
                  <c:v>11.068249359713967</c:v>
                </c:pt>
                <c:pt idx="39">
                  <c:v>9.8297381084805338</c:v>
                </c:pt>
                <c:pt idx="40">
                  <c:v>11.181717756383321</c:v>
                </c:pt>
                <c:pt idx="41">
                  <c:v>11.904259895886343</c:v>
                </c:pt>
                <c:pt idx="42">
                  <c:v>11.204324412416272</c:v>
                </c:pt>
                <c:pt idx="43">
                  <c:v>11.655658230974293</c:v>
                </c:pt>
                <c:pt idx="44">
                  <c:v>13.253998317331858</c:v>
                </c:pt>
                <c:pt idx="45">
                  <c:v>11.940025219714133</c:v>
                </c:pt>
                <c:pt idx="46">
                  <c:v>15.562957209783113</c:v>
                </c:pt>
                <c:pt idx="47">
                  <c:v>16.703159510031231</c:v>
                </c:pt>
                <c:pt idx="48">
                  <c:v>18.2430591671752</c:v>
                </c:pt>
                <c:pt idx="49">
                  <c:v>17.40412514540045</c:v>
                </c:pt>
                <c:pt idx="50">
                  <c:v>21.393451327456152</c:v>
                </c:pt>
                <c:pt idx="51">
                  <c:v>22.822588971870847</c:v>
                </c:pt>
                <c:pt idx="52">
                  <c:v>26.435226818344194</c:v>
                </c:pt>
                <c:pt idx="53">
                  <c:v>28.859164878876204</c:v>
                </c:pt>
                <c:pt idx="54">
                  <c:v>32.452698087724997</c:v>
                </c:pt>
                <c:pt idx="55">
                  <c:v>28.03355350248578</c:v>
                </c:pt>
                <c:pt idx="56">
                  <c:v>24.094392875178208</c:v>
                </c:pt>
                <c:pt idx="57">
                  <c:v>18.633327884665661</c:v>
                </c:pt>
                <c:pt idx="58">
                  <c:v>22.159377405573679</c:v>
                </c:pt>
                <c:pt idx="59">
                  <c:v>21.965467224248986</c:v>
                </c:pt>
                <c:pt idx="60">
                  <c:v>21.506959447437843</c:v>
                </c:pt>
                <c:pt idx="61">
                  <c:v>23.313015732271907</c:v>
                </c:pt>
                <c:pt idx="62">
                  <c:v>23.44176141560045</c:v>
                </c:pt>
                <c:pt idx="63">
                  <c:v>15.875035931101976</c:v>
                </c:pt>
                <c:pt idx="64">
                  <c:v>19.904460765357957</c:v>
                </c:pt>
                <c:pt idx="65">
                  <c:v>22.039300925459891</c:v>
                </c:pt>
                <c:pt idx="66">
                  <c:v>21.003411788665712</c:v>
                </c:pt>
                <c:pt idx="67">
                  <c:v>22.233757063780686</c:v>
                </c:pt>
                <c:pt idx="68">
                  <c:v>21.133869568978614</c:v>
                </c:pt>
                <c:pt idx="69">
                  <c:v>21.863189718374741</c:v>
                </c:pt>
                <c:pt idx="70">
                  <c:v>20.508164873297353</c:v>
                </c:pt>
                <c:pt idx="71">
                  <c:v>24.552134411092723</c:v>
                </c:pt>
                <c:pt idx="72">
                  <c:v>27.010627470806721</c:v>
                </c:pt>
                <c:pt idx="73">
                  <c:v>23.983630803189481</c:v>
                </c:pt>
                <c:pt idx="74">
                  <c:v>27.616601426236343</c:v>
                </c:pt>
                <c:pt idx="75">
                  <c:v>29.549204843277359</c:v>
                </c:pt>
                <c:pt idx="76">
                  <c:v>31.470227561936515</c:v>
                </c:pt>
                <c:pt idx="77">
                  <c:v>27.229001818376076</c:v>
                </c:pt>
                <c:pt idx="78">
                  <c:v>27.865857101680852</c:v>
                </c:pt>
              </c:numCache>
            </c:numRef>
          </c:val>
          <c:smooth val="0"/>
          <c:extLst>
            <c:ext xmlns:c16="http://schemas.microsoft.com/office/drawing/2014/chart" uri="{C3380CC4-5D6E-409C-BE32-E72D297353CC}">
              <c16:uniqueId val="{00000003-A45E-2D41-9C6E-DC08E45F56C2}"/>
            </c:ext>
          </c:extLst>
        </c:ser>
        <c:ser>
          <c:idx val="4"/>
          <c:order val="4"/>
          <c:tx>
            <c:strRef>
              <c:f>'1.家庭与非营利组织'!$A$176</c:f>
              <c:strCache>
                <c:ptCount val="1"/>
                <c:pt idx="0">
                  <c:v>1年期国债市场利率-副轴</c:v>
                </c:pt>
              </c:strCache>
            </c:strRef>
          </c:tx>
          <c:spPr>
            <a:ln w="12700" cap="rnd">
              <a:solidFill>
                <a:schemeClr val="tx1"/>
              </a:solidFill>
              <a:round/>
            </a:ln>
            <a:effectLst/>
          </c:spPr>
          <c:marker>
            <c:symbol val="none"/>
          </c:marker>
          <c:cat>
            <c:numRef>
              <c:f>'1.家庭与非营利组织'!$B$171:$CB$171</c:f>
              <c:numCache>
                <c:formatCode>General</c:formatCod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numCache>
            </c:numRef>
          </c:cat>
          <c:val>
            <c:numRef>
              <c:f>'1.家庭与非营利组织'!$B$176:$CB$176</c:f>
              <c:numCache>
                <c:formatCode>General</c:formatCode>
                <c:ptCount val="79"/>
                <c:pt idx="15">
                  <c:v>4.95</c:v>
                </c:pt>
                <c:pt idx="16">
                  <c:v>2.63</c:v>
                </c:pt>
                <c:pt idx="17">
                  <c:v>3.19</c:v>
                </c:pt>
                <c:pt idx="18">
                  <c:v>3</c:v>
                </c:pt>
                <c:pt idx="19">
                  <c:v>3.68</c:v>
                </c:pt>
                <c:pt idx="20">
                  <c:v>3.91</c:v>
                </c:pt>
                <c:pt idx="21">
                  <c:v>4.6900000000000004</c:v>
                </c:pt>
                <c:pt idx="22">
                  <c:v>4.6100000000000003</c:v>
                </c:pt>
                <c:pt idx="23">
                  <c:v>5.3</c:v>
                </c:pt>
                <c:pt idx="24">
                  <c:v>6.07</c:v>
                </c:pt>
                <c:pt idx="25">
                  <c:v>7.51</c:v>
                </c:pt>
                <c:pt idx="26">
                  <c:v>4.4000000000000004</c:v>
                </c:pt>
                <c:pt idx="27">
                  <c:v>3.82</c:v>
                </c:pt>
                <c:pt idx="28">
                  <c:v>5.58</c:v>
                </c:pt>
                <c:pt idx="29">
                  <c:v>7.01</c:v>
                </c:pt>
                <c:pt idx="30">
                  <c:v>6.27</c:v>
                </c:pt>
                <c:pt idx="31">
                  <c:v>5.44</c:v>
                </c:pt>
                <c:pt idx="32">
                  <c:v>5</c:v>
                </c:pt>
                <c:pt idx="33">
                  <c:v>6.8</c:v>
                </c:pt>
                <c:pt idx="34">
                  <c:v>9.5399999999999991</c:v>
                </c:pt>
                <c:pt idx="35">
                  <c:v>10.96</c:v>
                </c:pt>
                <c:pt idx="36">
                  <c:v>12.62</c:v>
                </c:pt>
                <c:pt idx="37">
                  <c:v>12.77</c:v>
                </c:pt>
                <c:pt idx="38">
                  <c:v>8.01</c:v>
                </c:pt>
                <c:pt idx="39">
                  <c:v>9.07</c:v>
                </c:pt>
                <c:pt idx="40">
                  <c:v>8.33</c:v>
                </c:pt>
                <c:pt idx="41">
                  <c:v>7.21</c:v>
                </c:pt>
                <c:pt idx="42">
                  <c:v>5.46</c:v>
                </c:pt>
                <c:pt idx="43">
                  <c:v>6.52</c:v>
                </c:pt>
                <c:pt idx="44">
                  <c:v>8.3699999999999992</c:v>
                </c:pt>
                <c:pt idx="45">
                  <c:v>7.38</c:v>
                </c:pt>
                <c:pt idx="46">
                  <c:v>6.25</c:v>
                </c:pt>
                <c:pt idx="47">
                  <c:v>3.95</c:v>
                </c:pt>
                <c:pt idx="48">
                  <c:v>3.35</c:v>
                </c:pt>
                <c:pt idx="49">
                  <c:v>3.39</c:v>
                </c:pt>
                <c:pt idx="50">
                  <c:v>6.59</c:v>
                </c:pt>
                <c:pt idx="51">
                  <c:v>4.82</c:v>
                </c:pt>
                <c:pt idx="52">
                  <c:v>5.3</c:v>
                </c:pt>
                <c:pt idx="53">
                  <c:v>4.9800000000000004</c:v>
                </c:pt>
                <c:pt idx="54">
                  <c:v>4.3099999999999996</c:v>
                </c:pt>
                <c:pt idx="55">
                  <c:v>5.75</c:v>
                </c:pt>
                <c:pt idx="56">
                  <c:v>4.63</c:v>
                </c:pt>
                <c:pt idx="57">
                  <c:v>1.67</c:v>
                </c:pt>
                <c:pt idx="58">
                  <c:v>1.2</c:v>
                </c:pt>
                <c:pt idx="59">
                  <c:v>0.97</c:v>
                </c:pt>
                <c:pt idx="60">
                  <c:v>2.61</c:v>
                </c:pt>
                <c:pt idx="61">
                  <c:v>4.3099999999999996</c:v>
                </c:pt>
                <c:pt idx="62">
                  <c:v>4.95</c:v>
                </c:pt>
                <c:pt idx="63">
                  <c:v>2.75</c:v>
                </c:pt>
                <c:pt idx="64">
                  <c:v>0.42</c:v>
                </c:pt>
                <c:pt idx="65">
                  <c:v>0.32</c:v>
                </c:pt>
                <c:pt idx="66">
                  <c:v>0.26</c:v>
                </c:pt>
                <c:pt idx="67">
                  <c:v>0.11</c:v>
                </c:pt>
                <c:pt idx="68">
                  <c:v>0.14000000000000001</c:v>
                </c:pt>
                <c:pt idx="69">
                  <c:v>0.11</c:v>
                </c:pt>
                <c:pt idx="70">
                  <c:v>0.18</c:v>
                </c:pt>
                <c:pt idx="71">
                  <c:v>0.52</c:v>
                </c:pt>
                <c:pt idx="72">
                  <c:v>0.8</c:v>
                </c:pt>
                <c:pt idx="73">
                  <c:v>1.75</c:v>
                </c:pt>
                <c:pt idx="74">
                  <c:v>2.5</c:v>
                </c:pt>
                <c:pt idx="75">
                  <c:v>1.49</c:v>
                </c:pt>
                <c:pt idx="76">
                  <c:v>0.1</c:v>
                </c:pt>
                <c:pt idx="77">
                  <c:v>0.53</c:v>
                </c:pt>
                <c:pt idx="78">
                  <c:v>4.49</c:v>
                </c:pt>
              </c:numCache>
            </c:numRef>
          </c:val>
          <c:smooth val="0"/>
          <c:extLst>
            <c:ext xmlns:c16="http://schemas.microsoft.com/office/drawing/2014/chart" uri="{C3380CC4-5D6E-409C-BE32-E72D297353CC}">
              <c16:uniqueId val="{00000004-A45E-2D41-9C6E-DC08E45F56C2}"/>
            </c:ext>
          </c:extLst>
        </c:ser>
        <c:dLbls>
          <c:showLegendKey val="0"/>
          <c:showVal val="0"/>
          <c:showCatName val="0"/>
          <c:showSerName val="0"/>
          <c:showPercent val="0"/>
          <c:showBubbleSize val="0"/>
        </c:dLbls>
        <c:marker val="1"/>
        <c:smooth val="0"/>
        <c:axId val="893719823"/>
        <c:axId val="879070048"/>
      </c:lineChart>
      <c:catAx>
        <c:axId val="13389568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338901119"/>
        <c:crosses val="autoZero"/>
        <c:auto val="1"/>
        <c:lblAlgn val="ctr"/>
        <c:lblOffset val="100"/>
        <c:noMultiLvlLbl val="0"/>
      </c:catAx>
      <c:valAx>
        <c:axId val="13389011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10</a:t>
                </a:r>
                <a:r>
                  <a:rPr lang="zh-CN" altLang="en-US" sz="900">
                    <a:latin typeface="Times New Roman" panose="02020603050405020304" pitchFamily="18" charset="0"/>
                    <a:ea typeface="SimSun" panose="02010600030101010101" pitchFamily="2" charset="-122"/>
                    <a:cs typeface="Times New Roman" panose="02020603050405020304" pitchFamily="18" charset="0"/>
                  </a:rPr>
                  <a:t>亿美元</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338956847"/>
        <c:crosses val="autoZero"/>
        <c:crossBetween val="between"/>
      </c:valAx>
      <c:valAx>
        <c:axId val="879070048"/>
        <c:scaling>
          <c:orientation val="minMax"/>
        </c:scaling>
        <c:delete val="0"/>
        <c:axPos val="r"/>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a:t>
                </a:r>
                <a:endParaRPr lang="zh-CN" altLang="en-US" sz="900">
                  <a:latin typeface="Times New Roman" panose="02020603050405020304" pitchFamily="18" charset="0"/>
                  <a:ea typeface="SimSun" panose="02010600030101010101" pitchFamily="2" charset="-122"/>
                  <a:cs typeface="Times New Roman" panose="02020603050405020304" pitchFamily="18" charset="0"/>
                </a:endParaRP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lt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893719823"/>
        <c:crosses val="max"/>
        <c:crossBetween val="between"/>
      </c:valAx>
      <c:catAx>
        <c:axId val="893719823"/>
        <c:scaling>
          <c:orientation val="minMax"/>
        </c:scaling>
        <c:delete val="1"/>
        <c:axPos val="b"/>
        <c:numFmt formatCode="General" sourceLinked="1"/>
        <c:majorTickMark val="out"/>
        <c:minorTickMark val="none"/>
        <c:tickLblPos val="nextTo"/>
        <c:crossAx val="87907004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收入法!$A$169</c:f>
              <c:strCache>
                <c:ptCount val="1"/>
                <c:pt idx="0">
                  <c:v>表内收入比例</c:v>
                </c:pt>
              </c:strCache>
            </c:strRef>
          </c:tx>
          <c:spPr>
            <a:ln w="19050" cap="rnd">
              <a:solidFill>
                <a:schemeClr val="tx1"/>
              </a:solidFill>
              <a:round/>
            </a:ln>
            <a:effectLst/>
          </c:spPr>
          <c:marker>
            <c:symbol val="none"/>
          </c:marker>
          <c:cat>
            <c:strRef>
              <c:f>收入法!$B$168:$CB$168</c:f>
              <c:strCach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strCache>
            </c:strRef>
          </c:cat>
          <c:val>
            <c:numRef>
              <c:f>收入法!$B$169:$CB$169</c:f>
              <c:numCache>
                <c:formatCode>General</c:formatCode>
                <c:ptCount val="79"/>
                <c:pt idx="0">
                  <c:v>54.562014889909705</c:v>
                </c:pt>
                <c:pt idx="1">
                  <c:v>48.666058948647823</c:v>
                </c:pt>
                <c:pt idx="2">
                  <c:v>49.471346497368806</c:v>
                </c:pt>
                <c:pt idx="3">
                  <c:v>49.769729488039353</c:v>
                </c:pt>
                <c:pt idx="4">
                  <c:v>49.242775422817573</c:v>
                </c:pt>
                <c:pt idx="5">
                  <c:v>50.881041609538613</c:v>
                </c:pt>
                <c:pt idx="6">
                  <c:v>49.448794588981499</c:v>
                </c:pt>
                <c:pt idx="7">
                  <c:v>49.231568670676786</c:v>
                </c:pt>
                <c:pt idx="8">
                  <c:v>48.449425942916655</c:v>
                </c:pt>
                <c:pt idx="9">
                  <c:v>47.899292557979123</c:v>
                </c:pt>
                <c:pt idx="10">
                  <c:v>48.580190244575945</c:v>
                </c:pt>
                <c:pt idx="11">
                  <c:v>48.38777341898529</c:v>
                </c:pt>
                <c:pt idx="12">
                  <c:v>48.619154123597085</c:v>
                </c:pt>
                <c:pt idx="13">
                  <c:v>50.273673163505215</c:v>
                </c:pt>
                <c:pt idx="14">
                  <c:v>49.211080683161896</c:v>
                </c:pt>
                <c:pt idx="15">
                  <c:v>48.456239122937866</c:v>
                </c:pt>
                <c:pt idx="16">
                  <c:v>48.85554748188801</c:v>
                </c:pt>
                <c:pt idx="17">
                  <c:v>49.46792793573416</c:v>
                </c:pt>
                <c:pt idx="18">
                  <c:v>49.089521680219548</c:v>
                </c:pt>
                <c:pt idx="19">
                  <c:v>50.743024261109547</c:v>
                </c:pt>
                <c:pt idx="20">
                  <c:v>51.3478745078258</c:v>
                </c:pt>
                <c:pt idx="21">
                  <c:v>52.773416146257581</c:v>
                </c:pt>
                <c:pt idx="22">
                  <c:v>53.16120994797776</c:v>
                </c:pt>
                <c:pt idx="23">
                  <c:v>53.545410760821376</c:v>
                </c:pt>
                <c:pt idx="24">
                  <c:v>54.634551978993649</c:v>
                </c:pt>
                <c:pt idx="25">
                  <c:v>54.151702805187838</c:v>
                </c:pt>
                <c:pt idx="26">
                  <c:v>52.890534699391921</c:v>
                </c:pt>
                <c:pt idx="27">
                  <c:v>52.769537551249677</c:v>
                </c:pt>
                <c:pt idx="28">
                  <c:v>53.201980682370518</c:v>
                </c:pt>
                <c:pt idx="29">
                  <c:v>55.005054368219639</c:v>
                </c:pt>
                <c:pt idx="30">
                  <c:v>56.562859109046094</c:v>
                </c:pt>
                <c:pt idx="31">
                  <c:v>54.157932557935986</c:v>
                </c:pt>
                <c:pt idx="32">
                  <c:v>54.418403801158433</c:v>
                </c:pt>
                <c:pt idx="33">
                  <c:v>54.955793648566654</c:v>
                </c:pt>
                <c:pt idx="34">
                  <c:v>56.406514209461925</c:v>
                </c:pt>
                <c:pt idx="35">
                  <c:v>59.505217672518981</c:v>
                </c:pt>
                <c:pt idx="36">
                  <c:v>60.670006384228472</c:v>
                </c:pt>
                <c:pt idx="37">
                  <c:v>60.561050240146841</c:v>
                </c:pt>
                <c:pt idx="38">
                  <c:v>59.940575005546101</c:v>
                </c:pt>
                <c:pt idx="39">
                  <c:v>60.444119157443453</c:v>
                </c:pt>
                <c:pt idx="40">
                  <c:v>60.622277169835534</c:v>
                </c:pt>
                <c:pt idx="41">
                  <c:v>60.546430038005482</c:v>
                </c:pt>
                <c:pt idx="42">
                  <c:v>60.193475768866698</c:v>
                </c:pt>
                <c:pt idx="43">
                  <c:v>59.902880114521281</c:v>
                </c:pt>
                <c:pt idx="44">
                  <c:v>61.590173199921672</c:v>
                </c:pt>
                <c:pt idx="45">
                  <c:v>61.457140107484264</c:v>
                </c:pt>
                <c:pt idx="46">
                  <c:v>58.883397076179008</c:v>
                </c:pt>
                <c:pt idx="47">
                  <c:v>56.065895656724187</c:v>
                </c:pt>
                <c:pt idx="48">
                  <c:v>56.514817613996328</c:v>
                </c:pt>
                <c:pt idx="49">
                  <c:v>55.661326666382493</c:v>
                </c:pt>
                <c:pt idx="50">
                  <c:v>55.427201097621747</c:v>
                </c:pt>
                <c:pt idx="51">
                  <c:v>55.298329066967952</c:v>
                </c:pt>
                <c:pt idx="52">
                  <c:v>56.806363073203329</c:v>
                </c:pt>
                <c:pt idx="53">
                  <c:v>59.180220545128016</c:v>
                </c:pt>
                <c:pt idx="54">
                  <c:v>59.729196070460866</c:v>
                </c:pt>
                <c:pt idx="55">
                  <c:v>63.058591624559114</c:v>
                </c:pt>
                <c:pt idx="56">
                  <c:v>62.904172811818796</c:v>
                </c:pt>
                <c:pt idx="57">
                  <c:v>60.659535316763865</c:v>
                </c:pt>
                <c:pt idx="58">
                  <c:v>59.437700468956322</c:v>
                </c:pt>
                <c:pt idx="59">
                  <c:v>57.70271363818388</c:v>
                </c:pt>
                <c:pt idx="60">
                  <c:v>50.289277867316741</c:v>
                </c:pt>
                <c:pt idx="61">
                  <c:v>63.013473285859142</c:v>
                </c:pt>
                <c:pt idx="62">
                  <c:v>62.949706614160007</c:v>
                </c:pt>
                <c:pt idx="63">
                  <c:v>61.913460458993441</c:v>
                </c:pt>
                <c:pt idx="64">
                  <c:v>58.7643565145056</c:v>
                </c:pt>
                <c:pt idx="65">
                  <c:v>56.487167894727449</c:v>
                </c:pt>
                <c:pt idx="66">
                  <c:v>54.531123332270639</c:v>
                </c:pt>
                <c:pt idx="67">
                  <c:v>55.44659335619717</c:v>
                </c:pt>
                <c:pt idx="68">
                  <c:v>53.291156025381547</c:v>
                </c:pt>
                <c:pt idx="69">
                  <c:v>51.070671094384601</c:v>
                </c:pt>
                <c:pt idx="70">
                  <c:v>52.184443719987463</c:v>
                </c:pt>
                <c:pt idx="71">
                  <c:v>54.441535649660253</c:v>
                </c:pt>
                <c:pt idx="72">
                  <c:v>54.617892129005263</c:v>
                </c:pt>
                <c:pt idx="73">
                  <c:v>37.234178866023107</c:v>
                </c:pt>
                <c:pt idx="74">
                  <c:v>46.987932424143622</c:v>
                </c:pt>
                <c:pt idx="75">
                  <c:v>52.899828757820579</c:v>
                </c:pt>
                <c:pt idx="76">
                  <c:v>53.661183276938452</c:v>
                </c:pt>
                <c:pt idx="77">
                  <c:v>52.669486572959023</c:v>
                </c:pt>
                <c:pt idx="78">
                  <c:v>39.404529157579823</c:v>
                </c:pt>
              </c:numCache>
            </c:numRef>
          </c:val>
          <c:smooth val="0"/>
          <c:extLst>
            <c:ext xmlns:c16="http://schemas.microsoft.com/office/drawing/2014/chart" uri="{C3380CC4-5D6E-409C-BE32-E72D297353CC}">
              <c16:uniqueId val="{00000000-8C81-254E-A461-A9ED377576F1}"/>
            </c:ext>
          </c:extLst>
        </c:ser>
        <c:ser>
          <c:idx val="1"/>
          <c:order val="1"/>
          <c:tx>
            <c:strRef>
              <c:f>收入法!$A$170</c:f>
              <c:strCache>
                <c:ptCount val="1"/>
                <c:pt idx="0">
                  <c:v>利息表内收入</c:v>
                </c:pt>
              </c:strCache>
            </c:strRef>
          </c:tx>
          <c:spPr>
            <a:ln w="19050" cap="rnd">
              <a:solidFill>
                <a:schemeClr val="tx1"/>
              </a:solidFill>
              <a:prstDash val="sysDot"/>
              <a:round/>
            </a:ln>
            <a:effectLst/>
          </c:spPr>
          <c:marker>
            <c:symbol val="none"/>
          </c:marker>
          <c:cat>
            <c:strRef>
              <c:f>收入法!$B$168:$CB$168</c:f>
              <c:strCach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strCache>
            </c:strRef>
          </c:cat>
          <c:val>
            <c:numRef>
              <c:f>收入法!$B$170:$CB$170</c:f>
              <c:numCache>
                <c:formatCode>General</c:formatCode>
                <c:ptCount val="79"/>
                <c:pt idx="0">
                  <c:v>31.944444444444443</c:v>
                </c:pt>
                <c:pt idx="1">
                  <c:v>22.5</c:v>
                </c:pt>
                <c:pt idx="2">
                  <c:v>25.274725274725274</c:v>
                </c:pt>
                <c:pt idx="3">
                  <c:v>24.742268041237114</c:v>
                </c:pt>
                <c:pt idx="4">
                  <c:v>25.233644859813086</c:v>
                </c:pt>
                <c:pt idx="5">
                  <c:v>25.423728813559322</c:v>
                </c:pt>
                <c:pt idx="6">
                  <c:v>26.356589147286819</c:v>
                </c:pt>
                <c:pt idx="7">
                  <c:v>27.857142857142858</c:v>
                </c:pt>
                <c:pt idx="8">
                  <c:v>28.205128205128212</c:v>
                </c:pt>
                <c:pt idx="9">
                  <c:v>30.232558139534888</c:v>
                </c:pt>
                <c:pt idx="10">
                  <c:v>30.319148936170215</c:v>
                </c:pt>
                <c:pt idx="11">
                  <c:v>30.476190476190478</c:v>
                </c:pt>
                <c:pt idx="12">
                  <c:v>32.067510548523202</c:v>
                </c:pt>
                <c:pt idx="13">
                  <c:v>35.019455252918291</c:v>
                </c:pt>
                <c:pt idx="14">
                  <c:v>32.624113475177303</c:v>
                </c:pt>
                <c:pt idx="15">
                  <c:v>32.475884244372985</c:v>
                </c:pt>
                <c:pt idx="16">
                  <c:v>35.029940119760475</c:v>
                </c:pt>
                <c:pt idx="17">
                  <c:v>36.118598382749326</c:v>
                </c:pt>
                <c:pt idx="18">
                  <c:v>35.555555555555557</c:v>
                </c:pt>
                <c:pt idx="19">
                  <c:v>36.748329621380847</c:v>
                </c:pt>
                <c:pt idx="20">
                  <c:v>37.728194726166336</c:v>
                </c:pt>
                <c:pt idx="21">
                  <c:v>39.226519337016583</c:v>
                </c:pt>
                <c:pt idx="22">
                  <c:v>40.840336134453779</c:v>
                </c:pt>
                <c:pt idx="23">
                  <c:v>40.581929555895869</c:v>
                </c:pt>
                <c:pt idx="24">
                  <c:v>43.62680683311433</c:v>
                </c:pt>
                <c:pt idx="25">
                  <c:v>44.370860927152322</c:v>
                </c:pt>
                <c:pt idx="26">
                  <c:v>44.355644355644358</c:v>
                </c:pt>
                <c:pt idx="27">
                  <c:v>44.626593806921676</c:v>
                </c:pt>
                <c:pt idx="28">
                  <c:v>46.21513944223107</c:v>
                </c:pt>
                <c:pt idx="29">
                  <c:v>49.932157394843955</c:v>
                </c:pt>
                <c:pt idx="30">
                  <c:v>50.773809523809518</c:v>
                </c:pt>
                <c:pt idx="31">
                  <c:v>48.121546961325961</c:v>
                </c:pt>
                <c:pt idx="32">
                  <c:v>49.250845819236346</c:v>
                </c:pt>
                <c:pt idx="33">
                  <c:v>49.340706082518075</c:v>
                </c:pt>
                <c:pt idx="34">
                  <c:v>51.725417439703158</c:v>
                </c:pt>
                <c:pt idx="35">
                  <c:v>55.172413793103445</c:v>
                </c:pt>
                <c:pt idx="36">
                  <c:v>56.349589570255922</c:v>
                </c:pt>
                <c:pt idx="37">
                  <c:v>56.662515566625146</c:v>
                </c:pt>
                <c:pt idx="38">
                  <c:v>55.306831339251247</c:v>
                </c:pt>
                <c:pt idx="39">
                  <c:v>56.033169741072939</c:v>
                </c:pt>
                <c:pt idx="40">
                  <c:v>55.876288659793815</c:v>
                </c:pt>
                <c:pt idx="41">
                  <c:v>56.522394812245516</c:v>
                </c:pt>
                <c:pt idx="42">
                  <c:v>56.102624944386783</c:v>
                </c:pt>
                <c:pt idx="43">
                  <c:v>56.894875711706703</c:v>
                </c:pt>
                <c:pt idx="44">
                  <c:v>57.758943038763555</c:v>
                </c:pt>
                <c:pt idx="45">
                  <c:v>56.412405699916178</c:v>
                </c:pt>
                <c:pt idx="46">
                  <c:v>52.917723812975716</c:v>
                </c:pt>
                <c:pt idx="47">
                  <c:v>49.739518729843709</c:v>
                </c:pt>
                <c:pt idx="48">
                  <c:v>48.933232931726906</c:v>
                </c:pt>
                <c:pt idx="49">
                  <c:v>48.319484063003848</c:v>
                </c:pt>
                <c:pt idx="50">
                  <c:v>47.009431792040488</c:v>
                </c:pt>
                <c:pt idx="51">
                  <c:v>46.920126353790614</c:v>
                </c:pt>
                <c:pt idx="52">
                  <c:v>49.041774332472009</c:v>
                </c:pt>
                <c:pt idx="53">
                  <c:v>51.488933601609652</c:v>
                </c:pt>
                <c:pt idx="54">
                  <c:v>52.526070669231537</c:v>
                </c:pt>
                <c:pt idx="55">
                  <c:v>56.457495557841582</c:v>
                </c:pt>
                <c:pt idx="56">
                  <c:v>57.664367816091954</c:v>
                </c:pt>
                <c:pt idx="57">
                  <c:v>54.964043148222132</c:v>
                </c:pt>
                <c:pt idx="58">
                  <c:v>51.652727996814022</c:v>
                </c:pt>
                <c:pt idx="59">
                  <c:v>48.866176940274677</c:v>
                </c:pt>
                <c:pt idx="60">
                  <c:v>53.093498566540276</c:v>
                </c:pt>
                <c:pt idx="61">
                  <c:v>57.766990291262132</c:v>
                </c:pt>
                <c:pt idx="62">
                  <c:v>61.386960458798669</c:v>
                </c:pt>
                <c:pt idx="63">
                  <c:v>63.293208500520137</c:v>
                </c:pt>
                <c:pt idx="64">
                  <c:v>55.483972344437468</c:v>
                </c:pt>
                <c:pt idx="65">
                  <c:v>50.392205433077365</c:v>
                </c:pt>
                <c:pt idx="66">
                  <c:v>47.274072855850676</c:v>
                </c:pt>
                <c:pt idx="67">
                  <c:v>47.963516276144048</c:v>
                </c:pt>
                <c:pt idx="68">
                  <c:v>45.997003994673776</c:v>
                </c:pt>
                <c:pt idx="69">
                  <c:v>46.548714693748018</c:v>
                </c:pt>
                <c:pt idx="70">
                  <c:v>49.061363805001115</c:v>
                </c:pt>
                <c:pt idx="71">
                  <c:v>48.033141210374644</c:v>
                </c:pt>
                <c:pt idx="72">
                  <c:v>49.123883548101176</c:v>
                </c:pt>
                <c:pt idx="73">
                  <c:v>48.658732711482791</c:v>
                </c:pt>
                <c:pt idx="74">
                  <c:v>47.050018710240735</c:v>
                </c:pt>
                <c:pt idx="75">
                  <c:v>49.996689399457068</c:v>
                </c:pt>
                <c:pt idx="76">
                  <c:v>49.086110194655234</c:v>
                </c:pt>
                <c:pt idx="77">
                  <c:v>44.995391705069125</c:v>
                </c:pt>
                <c:pt idx="78">
                  <c:v>29.021886281588451</c:v>
                </c:pt>
              </c:numCache>
            </c:numRef>
          </c:val>
          <c:smooth val="0"/>
          <c:extLst>
            <c:ext xmlns:c16="http://schemas.microsoft.com/office/drawing/2014/chart" uri="{C3380CC4-5D6E-409C-BE32-E72D297353CC}">
              <c16:uniqueId val="{00000001-8C81-254E-A461-A9ED377576F1}"/>
            </c:ext>
          </c:extLst>
        </c:ser>
        <c:ser>
          <c:idx val="2"/>
          <c:order val="2"/>
          <c:tx>
            <c:strRef>
              <c:f>收入法!$A$171</c:f>
              <c:strCache>
                <c:ptCount val="1"/>
                <c:pt idx="0">
                  <c:v>分红表内收入</c:v>
                </c:pt>
              </c:strCache>
            </c:strRef>
          </c:tx>
          <c:spPr>
            <a:ln w="19050" cap="rnd">
              <a:solidFill>
                <a:schemeClr val="tx1"/>
              </a:solidFill>
              <a:prstDash val="dash"/>
              <a:round/>
            </a:ln>
            <a:effectLst/>
          </c:spPr>
          <c:marker>
            <c:symbol val="none"/>
          </c:marker>
          <c:cat>
            <c:strRef>
              <c:f>收入法!$B$168:$CB$168</c:f>
              <c:strCache>
                <c:ptCount val="79"/>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strCache>
            </c:strRef>
          </c:cat>
          <c:val>
            <c:numRef>
              <c:f>收入法!$B$171:$CB$171</c:f>
              <c:numCache>
                <c:formatCode>General</c:formatCode>
                <c:ptCount val="79"/>
                <c:pt idx="0">
                  <c:v>94.052676295666942</c:v>
                </c:pt>
                <c:pt idx="1">
                  <c:v>93.52780309936189</c:v>
                </c:pt>
                <c:pt idx="2">
                  <c:v>93.308550185873614</c:v>
                </c:pt>
                <c:pt idx="3">
                  <c:v>93.145539906103309</c:v>
                </c:pt>
                <c:pt idx="4">
                  <c:v>92.643284858853718</c:v>
                </c:pt>
                <c:pt idx="5">
                  <c:v>92.992291520672751</c:v>
                </c:pt>
                <c:pt idx="6">
                  <c:v>93.273273273273261</c:v>
                </c:pt>
                <c:pt idx="7">
                  <c:v>92.645314353499401</c:v>
                </c:pt>
                <c:pt idx="8">
                  <c:v>92.22357229647632</c:v>
                </c:pt>
                <c:pt idx="9">
                  <c:v>92.510031208203287</c:v>
                </c:pt>
                <c:pt idx="10">
                  <c:v>92.760823278921222</c:v>
                </c:pt>
                <c:pt idx="11">
                  <c:v>93.22475570032573</c:v>
                </c:pt>
                <c:pt idx="12">
                  <c:v>92.882689556509291</c:v>
                </c:pt>
                <c:pt idx="13">
                  <c:v>93.286600161768675</c:v>
                </c:pt>
                <c:pt idx="14">
                  <c:v>93.352671017645633</c:v>
                </c:pt>
                <c:pt idx="15">
                  <c:v>93.19533666428741</c:v>
                </c:pt>
                <c:pt idx="16">
                  <c:v>93.513720974860874</c:v>
                </c:pt>
                <c:pt idx="17">
                  <c:v>93.733261019071946</c:v>
                </c:pt>
                <c:pt idx="18">
                  <c:v>93.289991615864494</c:v>
                </c:pt>
                <c:pt idx="19">
                  <c:v>93.487038004579063</c:v>
                </c:pt>
                <c:pt idx="20">
                  <c:v>93.883366939224871</c:v>
                </c:pt>
                <c:pt idx="21">
                  <c:v>93.743908254836839</c:v>
                </c:pt>
                <c:pt idx="22">
                  <c:v>92.874158702287048</c:v>
                </c:pt>
                <c:pt idx="23">
                  <c:v>93.134180334554756</c:v>
                </c:pt>
                <c:pt idx="24">
                  <c:v>92.30109245696849</c:v>
                </c:pt>
                <c:pt idx="25">
                  <c:v>92.135173737074595</c:v>
                </c:pt>
                <c:pt idx="26">
                  <c:v>91.839911008182668</c:v>
                </c:pt>
                <c:pt idx="27">
                  <c:v>91.599953551615357</c:v>
                </c:pt>
                <c:pt idx="28">
                  <c:v>90.057948833590487</c:v>
                </c:pt>
                <c:pt idx="29">
                  <c:v>88.755614444843701</c:v>
                </c:pt>
                <c:pt idx="30">
                  <c:v>89.280964808750454</c:v>
                </c:pt>
                <c:pt idx="31">
                  <c:v>89.268667485958701</c:v>
                </c:pt>
                <c:pt idx="32">
                  <c:v>88.426020110390382</c:v>
                </c:pt>
                <c:pt idx="33">
                  <c:v>88.119438299578334</c:v>
                </c:pt>
                <c:pt idx="34">
                  <c:v>88.442564664999963</c:v>
                </c:pt>
                <c:pt idx="35">
                  <c:v>88.789630157854944</c:v>
                </c:pt>
                <c:pt idx="36">
                  <c:v>87.985615341054853</c:v>
                </c:pt>
                <c:pt idx="37">
                  <c:v>87.452521196358916</c:v>
                </c:pt>
                <c:pt idx="38">
                  <c:v>86.892317319819128</c:v>
                </c:pt>
                <c:pt idx="39">
                  <c:v>86.873304725105783</c:v>
                </c:pt>
                <c:pt idx="40">
                  <c:v>86.874027568687438</c:v>
                </c:pt>
                <c:pt idx="41">
                  <c:v>86.402416067089163</c:v>
                </c:pt>
                <c:pt idx="42">
                  <c:v>86.222822086930378</c:v>
                </c:pt>
                <c:pt idx="43">
                  <c:v>86.510936066144808</c:v>
                </c:pt>
                <c:pt idx="44">
                  <c:v>86.446101692382086</c:v>
                </c:pt>
                <c:pt idx="45">
                  <c:v>86.845399644129245</c:v>
                </c:pt>
                <c:pt idx="46">
                  <c:v>87.714750454115674</c:v>
                </c:pt>
                <c:pt idx="47">
                  <c:v>87.99995818881375</c:v>
                </c:pt>
                <c:pt idx="48">
                  <c:v>87.678745735767876</c:v>
                </c:pt>
                <c:pt idx="49">
                  <c:v>86.788387064595085</c:v>
                </c:pt>
                <c:pt idx="50">
                  <c:v>86.441772083995744</c:v>
                </c:pt>
                <c:pt idx="51">
                  <c:v>85.180435960534396</c:v>
                </c:pt>
                <c:pt idx="52">
                  <c:v>84.410805347655966</c:v>
                </c:pt>
                <c:pt idx="53">
                  <c:v>83.801533935207985</c:v>
                </c:pt>
                <c:pt idx="54">
                  <c:v>83.698387142193042</c:v>
                </c:pt>
                <c:pt idx="55">
                  <c:v>81.881902446464011</c:v>
                </c:pt>
                <c:pt idx="56">
                  <c:v>80.777713983976497</c:v>
                </c:pt>
                <c:pt idx="57">
                  <c:v>79.206811373993162</c:v>
                </c:pt>
                <c:pt idx="58">
                  <c:v>79.075089345706147</c:v>
                </c:pt>
                <c:pt idx="59">
                  <c:v>78.413636578833206</c:v>
                </c:pt>
                <c:pt idx="60">
                  <c:v>78.151301199990911</c:v>
                </c:pt>
                <c:pt idx="61">
                  <c:v>77.524041024998454</c:v>
                </c:pt>
                <c:pt idx="62">
                  <c:v>75.49493632510854</c:v>
                </c:pt>
                <c:pt idx="63">
                  <c:v>72.668800389657122</c:v>
                </c:pt>
                <c:pt idx="64">
                  <c:v>72.431803042815574</c:v>
                </c:pt>
                <c:pt idx="65">
                  <c:v>73.26068674366411</c:v>
                </c:pt>
                <c:pt idx="66">
                  <c:v>73.406391775349832</c:v>
                </c:pt>
                <c:pt idx="67">
                  <c:v>72.690689553300729</c:v>
                </c:pt>
                <c:pt idx="68">
                  <c:v>58.699523378200816</c:v>
                </c:pt>
                <c:pt idx="69">
                  <c:v>58.478547524115584</c:v>
                </c:pt>
                <c:pt idx="70">
                  <c:v>58.216841024829272</c:v>
                </c:pt>
                <c:pt idx="71">
                  <c:v>67.975343617688338</c:v>
                </c:pt>
                <c:pt idx="72">
                  <c:v>67.616019500558437</c:v>
                </c:pt>
                <c:pt idx="73">
                  <c:v>67.353266178722876</c:v>
                </c:pt>
                <c:pt idx="74">
                  <c:v>67.359460287887913</c:v>
                </c:pt>
                <c:pt idx="75">
                  <c:v>67.096971370252447</c:v>
                </c:pt>
                <c:pt idx="76">
                  <c:v>66.298132225403094</c:v>
                </c:pt>
                <c:pt idx="77">
                  <c:v>69.259099522346631</c:v>
                </c:pt>
                <c:pt idx="78">
                  <c:v>63.360037387122993</c:v>
                </c:pt>
              </c:numCache>
            </c:numRef>
          </c:val>
          <c:smooth val="0"/>
          <c:extLst>
            <c:ext xmlns:c16="http://schemas.microsoft.com/office/drawing/2014/chart" uri="{C3380CC4-5D6E-409C-BE32-E72D297353CC}">
              <c16:uniqueId val="{00000002-8C81-254E-A461-A9ED377576F1}"/>
            </c:ext>
          </c:extLst>
        </c:ser>
        <c:dLbls>
          <c:showLegendKey val="0"/>
          <c:showVal val="0"/>
          <c:showCatName val="0"/>
          <c:showSerName val="0"/>
          <c:showPercent val="0"/>
          <c:showBubbleSize val="0"/>
        </c:dLbls>
        <c:smooth val="0"/>
        <c:axId val="2142659472"/>
        <c:axId val="2142661184"/>
      </c:lineChart>
      <c:catAx>
        <c:axId val="2142659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2142661184"/>
        <c:crosses val="autoZero"/>
        <c:auto val="1"/>
        <c:lblAlgn val="ctr"/>
        <c:lblOffset val="100"/>
        <c:noMultiLvlLbl val="0"/>
      </c:catAx>
      <c:valAx>
        <c:axId val="2142661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a:t>
                </a:r>
                <a:endParaRPr lang="zh-CN" altLang="en-US" sz="900">
                  <a:latin typeface="Times New Roman" panose="02020603050405020304" pitchFamily="18" charset="0"/>
                  <a:ea typeface="SimSun" panose="02010600030101010101" pitchFamily="2" charset="-122"/>
                  <a:cs typeface="Times New Roman" panose="02020603050405020304" pitchFamily="18" charset="0"/>
                </a:endParaRP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2142659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公司资产负债表!$A$89</c:f>
              <c:strCache>
                <c:ptCount val="1"/>
                <c:pt idx="0">
                  <c:v>实体资产占比</c:v>
                </c:pt>
              </c:strCache>
            </c:strRef>
          </c:tx>
          <c:spPr>
            <a:ln w="19050" cap="rnd">
              <a:solidFill>
                <a:schemeClr val="tx1"/>
              </a:solidFill>
              <a:round/>
            </a:ln>
            <a:effectLst/>
          </c:spPr>
          <c:marker>
            <c:symbol val="none"/>
          </c:marker>
          <c:cat>
            <c:strRef>
              <c:f>公司资产负债表!$B$88:$CC$88</c:f>
              <c:strCache>
                <c:ptCount val="80"/>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pt idx="79">
                  <c:v>2024 Q2</c:v>
                </c:pt>
              </c:strCache>
            </c:strRef>
          </c:cat>
          <c:val>
            <c:numRef>
              <c:f>公司资产负债表!$B$89:$CC$89</c:f>
              <c:numCache>
                <c:formatCode>0.0_ </c:formatCode>
                <c:ptCount val="80"/>
                <c:pt idx="0">
                  <c:v>56.015994183933117</c:v>
                </c:pt>
                <c:pt idx="1">
                  <c:v>53.922510406660265</c:v>
                </c:pt>
                <c:pt idx="2">
                  <c:v>51.901874310915098</c:v>
                </c:pt>
                <c:pt idx="3">
                  <c:v>52.360515021459229</c:v>
                </c:pt>
                <c:pt idx="4">
                  <c:v>52.725030826140575</c:v>
                </c:pt>
                <c:pt idx="5">
                  <c:v>52.33252266195003</c:v>
                </c:pt>
                <c:pt idx="6">
                  <c:v>53.125624126223293</c:v>
                </c:pt>
                <c:pt idx="7">
                  <c:v>54.347826086956516</c:v>
                </c:pt>
                <c:pt idx="8">
                  <c:v>55.186950146627566</c:v>
                </c:pt>
                <c:pt idx="9">
                  <c:v>56.418496697018369</c:v>
                </c:pt>
                <c:pt idx="10">
                  <c:v>56.432748538011687</c:v>
                </c:pt>
                <c:pt idx="11">
                  <c:v>56.586381207255428</c:v>
                </c:pt>
                <c:pt idx="12">
                  <c:v>57.177100958826841</c:v>
                </c:pt>
                <c:pt idx="13">
                  <c:v>58.177601964261349</c:v>
                </c:pt>
                <c:pt idx="14">
                  <c:v>58.88745148771023</c:v>
                </c:pt>
                <c:pt idx="15">
                  <c:v>61.057692307692299</c:v>
                </c:pt>
                <c:pt idx="16">
                  <c:v>62.117331381875843</c:v>
                </c:pt>
                <c:pt idx="17">
                  <c:v>63.079082826392153</c:v>
                </c:pt>
                <c:pt idx="18">
                  <c:v>63.954789615040283</c:v>
                </c:pt>
                <c:pt idx="19">
                  <c:v>64.62808168447782</c:v>
                </c:pt>
                <c:pt idx="20">
                  <c:v>65.078125</c:v>
                </c:pt>
                <c:pt idx="21">
                  <c:v>66.105054509415268</c:v>
                </c:pt>
                <c:pt idx="22">
                  <c:v>66.202966563311833</c:v>
                </c:pt>
                <c:pt idx="23">
                  <c:v>65.639810426540279</c:v>
                </c:pt>
                <c:pt idx="24">
                  <c:v>65.281139774534893</c:v>
                </c:pt>
                <c:pt idx="25">
                  <c:v>64.117459304181295</c:v>
                </c:pt>
                <c:pt idx="26">
                  <c:v>62.469366320457475</c:v>
                </c:pt>
                <c:pt idx="27">
                  <c:v>61.391671059567734</c:v>
                </c:pt>
                <c:pt idx="28">
                  <c:v>60.344986624850108</c:v>
                </c:pt>
                <c:pt idx="29">
                  <c:v>55.626758361988124</c:v>
                </c:pt>
                <c:pt idx="30">
                  <c:v>52.195911062160114</c:v>
                </c:pt>
                <c:pt idx="31">
                  <c:v>51.582022751289855</c:v>
                </c:pt>
                <c:pt idx="32">
                  <c:v>51.37066607112947</c:v>
                </c:pt>
                <c:pt idx="33">
                  <c:v>51.238595114294142</c:v>
                </c:pt>
                <c:pt idx="34">
                  <c:v>50.809871099050198</c:v>
                </c:pt>
                <c:pt idx="35">
                  <c:v>49.841695533951658</c:v>
                </c:pt>
                <c:pt idx="36">
                  <c:v>49.091240150963387</c:v>
                </c:pt>
                <c:pt idx="37">
                  <c:v>49.002599192058369</c:v>
                </c:pt>
                <c:pt idx="38">
                  <c:v>50.104934137084165</c:v>
                </c:pt>
                <c:pt idx="39">
                  <c:v>50.745675357074326</c:v>
                </c:pt>
                <c:pt idx="40">
                  <c:v>50.925285146738432</c:v>
                </c:pt>
                <c:pt idx="41">
                  <c:v>50.790458085484772</c:v>
                </c:pt>
                <c:pt idx="42">
                  <c:v>50.903663062772317</c:v>
                </c:pt>
                <c:pt idx="43">
                  <c:v>50.288888653301797</c:v>
                </c:pt>
                <c:pt idx="44">
                  <c:v>50.274160727352921</c:v>
                </c:pt>
                <c:pt idx="45">
                  <c:v>52.46383606333206</c:v>
                </c:pt>
                <c:pt idx="46">
                  <c:v>54.141974159801734</c:v>
                </c:pt>
                <c:pt idx="47">
                  <c:v>56.169825536453388</c:v>
                </c:pt>
                <c:pt idx="48">
                  <c:v>56.27932188183398</c:v>
                </c:pt>
                <c:pt idx="49">
                  <c:v>56.226916177143046</c:v>
                </c:pt>
                <c:pt idx="50">
                  <c:v>55.600294623127908</c:v>
                </c:pt>
                <c:pt idx="51">
                  <c:v>55.591729671347011</c:v>
                </c:pt>
                <c:pt idx="52">
                  <c:v>53.319936306175386</c:v>
                </c:pt>
                <c:pt idx="53">
                  <c:v>50.643239132873759</c:v>
                </c:pt>
                <c:pt idx="54">
                  <c:v>49.261451291688871</c:v>
                </c:pt>
                <c:pt idx="55">
                  <c:v>46.691661052693249</c:v>
                </c:pt>
                <c:pt idx="56">
                  <c:v>47.17798532290103</c:v>
                </c:pt>
                <c:pt idx="57">
                  <c:v>46.827162606727903</c:v>
                </c:pt>
                <c:pt idx="58">
                  <c:v>46.531579603886293</c:v>
                </c:pt>
                <c:pt idx="59">
                  <c:v>44.102506293916512</c:v>
                </c:pt>
                <c:pt idx="60">
                  <c:v>43.151831861613857</c:v>
                </c:pt>
                <c:pt idx="61">
                  <c:v>41.814106975841327</c:v>
                </c:pt>
                <c:pt idx="62">
                  <c:v>40.125590889898447</c:v>
                </c:pt>
                <c:pt idx="63">
                  <c:v>43.034318892960528</c:v>
                </c:pt>
                <c:pt idx="64">
                  <c:v>47.289433496544724</c:v>
                </c:pt>
                <c:pt idx="65">
                  <c:v>46.140705930778999</c:v>
                </c:pt>
                <c:pt idx="66">
                  <c:v>45.547312848653505</c:v>
                </c:pt>
                <c:pt idx="67">
                  <c:v>44.781279166871343</c:v>
                </c:pt>
                <c:pt idx="68">
                  <c:v>44.001402206176024</c:v>
                </c:pt>
                <c:pt idx="69">
                  <c:v>42.979995153603831</c:v>
                </c:pt>
                <c:pt idx="70">
                  <c:v>41.718774524447234</c:v>
                </c:pt>
                <c:pt idx="71">
                  <c:v>42.378108501946912</c:v>
                </c:pt>
                <c:pt idx="72">
                  <c:v>41.716303560171134</c:v>
                </c:pt>
                <c:pt idx="73">
                  <c:v>43.312438737827776</c:v>
                </c:pt>
                <c:pt idx="74">
                  <c:v>44.338342538161754</c:v>
                </c:pt>
                <c:pt idx="75">
                  <c:v>42.675832787335779</c:v>
                </c:pt>
                <c:pt idx="76">
                  <c:v>39.79064784734927</c:v>
                </c:pt>
                <c:pt idx="77">
                  <c:v>41.378801849566756</c:v>
                </c:pt>
                <c:pt idx="78">
                  <c:v>41.714954174370362</c:v>
                </c:pt>
                <c:pt idx="79">
                  <c:v>42.390748399811102</c:v>
                </c:pt>
              </c:numCache>
            </c:numRef>
          </c:val>
          <c:smooth val="0"/>
          <c:extLst>
            <c:ext xmlns:c16="http://schemas.microsoft.com/office/drawing/2014/chart" uri="{C3380CC4-5D6E-409C-BE32-E72D297353CC}">
              <c16:uniqueId val="{00000000-BFB4-C241-ADE1-C639A59E52F3}"/>
            </c:ext>
          </c:extLst>
        </c:ser>
        <c:dLbls>
          <c:showLegendKey val="0"/>
          <c:showVal val="0"/>
          <c:showCatName val="0"/>
          <c:showSerName val="0"/>
          <c:showPercent val="0"/>
          <c:showBubbleSize val="0"/>
        </c:dLbls>
        <c:marker val="1"/>
        <c:smooth val="0"/>
        <c:axId val="868731055"/>
        <c:axId val="869243807"/>
      </c:lineChart>
      <c:lineChart>
        <c:grouping val="standard"/>
        <c:varyColors val="0"/>
        <c:ser>
          <c:idx val="1"/>
          <c:order val="1"/>
          <c:tx>
            <c:strRef>
              <c:f>公司资产负债表!$A$90</c:f>
              <c:strCache>
                <c:ptCount val="1"/>
                <c:pt idx="0">
                  <c:v>现金类占比-副轴</c:v>
                </c:pt>
              </c:strCache>
            </c:strRef>
          </c:tx>
          <c:spPr>
            <a:ln w="19050" cap="rnd">
              <a:solidFill>
                <a:schemeClr val="tx1"/>
              </a:solidFill>
              <a:prstDash val="sysDot"/>
              <a:round/>
            </a:ln>
            <a:effectLst/>
          </c:spPr>
          <c:marker>
            <c:symbol val="none"/>
          </c:marker>
          <c:cat>
            <c:strRef>
              <c:f>公司资产负债表!$B$88:$CC$88</c:f>
              <c:strCache>
                <c:ptCount val="80"/>
                <c:pt idx="0">
                  <c:v>1945</c:v>
                </c:pt>
                <c:pt idx="1">
                  <c:v>1946</c:v>
                </c:pt>
                <c:pt idx="2">
                  <c:v>1947</c:v>
                </c:pt>
                <c:pt idx="3">
                  <c:v>1948</c:v>
                </c:pt>
                <c:pt idx="4">
                  <c:v>1949</c:v>
                </c:pt>
                <c:pt idx="5">
                  <c:v>1950</c:v>
                </c:pt>
                <c:pt idx="6">
                  <c:v>1951</c:v>
                </c:pt>
                <c:pt idx="7">
                  <c:v>1952</c:v>
                </c:pt>
                <c:pt idx="8">
                  <c:v>1953</c:v>
                </c:pt>
                <c:pt idx="9">
                  <c:v>1954</c:v>
                </c:pt>
                <c:pt idx="10">
                  <c:v>1955</c:v>
                </c:pt>
                <c:pt idx="11">
                  <c:v>1956</c:v>
                </c:pt>
                <c:pt idx="12">
                  <c:v>1957</c:v>
                </c:pt>
                <c:pt idx="13">
                  <c:v>1958</c:v>
                </c:pt>
                <c:pt idx="14">
                  <c:v>1959</c:v>
                </c:pt>
                <c:pt idx="15">
                  <c:v>1960</c:v>
                </c:pt>
                <c:pt idx="16">
                  <c:v>1961</c:v>
                </c:pt>
                <c:pt idx="17">
                  <c:v>1962</c:v>
                </c:pt>
                <c:pt idx="18">
                  <c:v>1963</c:v>
                </c:pt>
                <c:pt idx="19">
                  <c:v>1964</c:v>
                </c:pt>
                <c:pt idx="20">
                  <c:v>1965</c:v>
                </c:pt>
                <c:pt idx="21">
                  <c:v>1966</c:v>
                </c:pt>
                <c:pt idx="22">
                  <c:v>1967</c:v>
                </c:pt>
                <c:pt idx="23">
                  <c:v>1968</c:v>
                </c:pt>
                <c:pt idx="24">
                  <c:v>1969</c:v>
                </c:pt>
                <c:pt idx="25">
                  <c:v>1970</c:v>
                </c:pt>
                <c:pt idx="26">
                  <c:v>1971</c:v>
                </c:pt>
                <c:pt idx="27">
                  <c:v>1972</c:v>
                </c:pt>
                <c:pt idx="28">
                  <c:v>1973</c:v>
                </c:pt>
                <c:pt idx="29">
                  <c:v>1974</c:v>
                </c:pt>
                <c:pt idx="30">
                  <c:v>1975</c:v>
                </c:pt>
                <c:pt idx="31">
                  <c:v>1976</c:v>
                </c:pt>
                <c:pt idx="32">
                  <c:v>1977</c:v>
                </c:pt>
                <c:pt idx="33">
                  <c:v>1978</c:v>
                </c:pt>
                <c:pt idx="34">
                  <c:v>1979</c:v>
                </c:pt>
                <c:pt idx="35">
                  <c:v>1980</c:v>
                </c:pt>
                <c:pt idx="36">
                  <c:v>1981</c:v>
                </c:pt>
                <c:pt idx="37">
                  <c:v>1982</c:v>
                </c:pt>
                <c:pt idx="38">
                  <c:v>1983</c:v>
                </c:pt>
                <c:pt idx="39">
                  <c:v>1984</c:v>
                </c:pt>
                <c:pt idx="40">
                  <c:v>1985</c:v>
                </c:pt>
                <c:pt idx="41">
                  <c:v>1986</c:v>
                </c:pt>
                <c:pt idx="42">
                  <c:v>1987</c:v>
                </c:pt>
                <c:pt idx="43">
                  <c:v>1988</c:v>
                </c:pt>
                <c:pt idx="44">
                  <c:v>1989</c:v>
                </c:pt>
                <c:pt idx="45">
                  <c:v>1990</c:v>
                </c:pt>
                <c:pt idx="46">
                  <c:v>1991</c:v>
                </c:pt>
                <c:pt idx="47">
                  <c:v>1992</c:v>
                </c:pt>
                <c:pt idx="48">
                  <c:v>1993</c:v>
                </c:pt>
                <c:pt idx="49">
                  <c:v>1994</c:v>
                </c:pt>
                <c:pt idx="50">
                  <c:v>1995</c:v>
                </c:pt>
                <c:pt idx="51">
                  <c:v>1996</c:v>
                </c:pt>
                <c:pt idx="52">
                  <c:v>1997</c:v>
                </c:pt>
                <c:pt idx="53">
                  <c:v>1998</c:v>
                </c:pt>
                <c:pt idx="54">
                  <c:v>1999</c:v>
                </c:pt>
                <c:pt idx="55">
                  <c:v>2000</c:v>
                </c:pt>
                <c:pt idx="56">
                  <c:v>2001</c:v>
                </c:pt>
                <c:pt idx="57">
                  <c:v>2002</c:v>
                </c:pt>
                <c:pt idx="58">
                  <c:v>2003</c:v>
                </c:pt>
                <c:pt idx="59">
                  <c:v>2004</c:v>
                </c:pt>
                <c:pt idx="60">
                  <c:v>2005</c:v>
                </c:pt>
                <c:pt idx="61">
                  <c:v>2006</c:v>
                </c:pt>
                <c:pt idx="62">
                  <c:v>2007</c:v>
                </c:pt>
                <c:pt idx="63">
                  <c:v>2008</c:v>
                </c:pt>
                <c:pt idx="64">
                  <c:v>2009</c:v>
                </c:pt>
                <c:pt idx="65">
                  <c:v>2010</c:v>
                </c:pt>
                <c:pt idx="66">
                  <c:v>2011</c:v>
                </c:pt>
                <c:pt idx="67">
                  <c:v>2012</c:v>
                </c:pt>
                <c:pt idx="68">
                  <c:v>2013</c:v>
                </c:pt>
                <c:pt idx="69">
                  <c:v>2014</c:v>
                </c:pt>
                <c:pt idx="70">
                  <c:v>2015</c:v>
                </c:pt>
                <c:pt idx="71">
                  <c:v>2016</c:v>
                </c:pt>
                <c:pt idx="72">
                  <c:v>2017</c:v>
                </c:pt>
                <c:pt idx="73">
                  <c:v>2018</c:v>
                </c:pt>
                <c:pt idx="74">
                  <c:v>2019</c:v>
                </c:pt>
                <c:pt idx="75">
                  <c:v>2020</c:v>
                </c:pt>
                <c:pt idx="76">
                  <c:v>2021</c:v>
                </c:pt>
                <c:pt idx="77">
                  <c:v>2022</c:v>
                </c:pt>
                <c:pt idx="78">
                  <c:v>2023</c:v>
                </c:pt>
                <c:pt idx="79">
                  <c:v>2024 Q2</c:v>
                </c:pt>
              </c:strCache>
            </c:strRef>
          </c:cat>
          <c:val>
            <c:numRef>
              <c:f>公司资产负债表!$B$90:$CC$90</c:f>
              <c:numCache>
                <c:formatCode>0.0_ </c:formatCode>
                <c:ptCount val="80"/>
                <c:pt idx="0">
                  <c:v>7.2700836059614682</c:v>
                </c:pt>
                <c:pt idx="1">
                  <c:v>6.6282420749279538</c:v>
                </c:pt>
                <c:pt idx="2">
                  <c:v>6.2293274531422274</c:v>
                </c:pt>
                <c:pt idx="3">
                  <c:v>5.7813683413279469</c:v>
                </c:pt>
                <c:pt idx="4">
                  <c:v>5.8939580764488282</c:v>
                </c:pt>
                <c:pt idx="5">
                  <c:v>5.6157417643157199</c:v>
                </c:pt>
                <c:pt idx="6">
                  <c:v>5.3924505692031159</c:v>
                </c:pt>
                <c:pt idx="7">
                  <c:v>5.3012967200610221</c:v>
                </c:pt>
                <c:pt idx="8">
                  <c:v>5.0769794721407617</c:v>
                </c:pt>
                <c:pt idx="9">
                  <c:v>5.3204784859846459</c:v>
                </c:pt>
                <c:pt idx="10">
                  <c:v>4.9707602339181287</c:v>
                </c:pt>
                <c:pt idx="11">
                  <c:v>4.5049063336306876</c:v>
                </c:pt>
                <c:pt idx="12">
                  <c:v>4.272419627749577</c:v>
                </c:pt>
                <c:pt idx="13">
                  <c:v>4.4059473468830994</c:v>
                </c:pt>
                <c:pt idx="14">
                  <c:v>4.0103492884864167</c:v>
                </c:pt>
                <c:pt idx="15">
                  <c:v>3.9853238866396761</c:v>
                </c:pt>
                <c:pt idx="16">
                  <c:v>4.4151725820221985</c:v>
                </c:pt>
                <c:pt idx="17">
                  <c:v>4.7496490407112768</c:v>
                </c:pt>
                <c:pt idx="18">
                  <c:v>4.4874664279319614</c:v>
                </c:pt>
                <c:pt idx="19">
                  <c:v>4.3487461644270446</c:v>
                </c:pt>
                <c:pt idx="20">
                  <c:v>4.267578125</c:v>
                </c:pt>
                <c:pt idx="21">
                  <c:v>3.8742229029642306</c:v>
                </c:pt>
                <c:pt idx="22">
                  <c:v>3.9051370150004199</c:v>
                </c:pt>
                <c:pt idx="23">
                  <c:v>3.7914691943127963</c:v>
                </c:pt>
                <c:pt idx="24">
                  <c:v>3.5687115291513938</c:v>
                </c:pt>
                <c:pt idx="25">
                  <c:v>3.2365145228215764</c:v>
                </c:pt>
                <c:pt idx="26">
                  <c:v>3.1917376590033846</c:v>
                </c:pt>
                <c:pt idx="27">
                  <c:v>3.2735898787559301</c:v>
                </c:pt>
                <c:pt idx="28">
                  <c:v>3.592841988746426</c:v>
                </c:pt>
                <c:pt idx="29">
                  <c:v>3.0908096280087527</c:v>
                </c:pt>
                <c:pt idx="30">
                  <c:v>2.9806567081985271</c:v>
                </c:pt>
                <c:pt idx="31">
                  <c:v>3.0179648163113071</c:v>
                </c:pt>
                <c:pt idx="32">
                  <c:v>3.0902797163754121</c:v>
                </c:pt>
                <c:pt idx="33">
                  <c:v>3.0192288825664675</c:v>
                </c:pt>
                <c:pt idx="34">
                  <c:v>2.8875508819538669</c:v>
                </c:pt>
                <c:pt idx="35">
                  <c:v>2.6967631392706823</c:v>
                </c:pt>
                <c:pt idx="36">
                  <c:v>2.4134277958021588</c:v>
                </c:pt>
                <c:pt idx="37">
                  <c:v>2.5631791563586255</c:v>
                </c:pt>
                <c:pt idx="38">
                  <c:v>2.8131279303415941</c:v>
                </c:pt>
                <c:pt idx="39">
                  <c:v>2.8195849439372758</c:v>
                </c:pt>
                <c:pt idx="40">
                  <c:v>2.9437395873382033</c:v>
                </c:pt>
                <c:pt idx="41">
                  <c:v>3.1005089838719564</c:v>
                </c:pt>
                <c:pt idx="42">
                  <c:v>2.9864681066875685</c:v>
                </c:pt>
                <c:pt idx="43">
                  <c:v>2.8708641216194724</c:v>
                </c:pt>
                <c:pt idx="44">
                  <c:v>2.6985033931775577</c:v>
                </c:pt>
                <c:pt idx="45">
                  <c:v>2.7153475742569424</c:v>
                </c:pt>
                <c:pt idx="46">
                  <c:v>2.8749424521740838</c:v>
                </c:pt>
                <c:pt idx="47">
                  <c:v>2.9755672756093507</c:v>
                </c:pt>
                <c:pt idx="48">
                  <c:v>3.1130259247490697</c:v>
                </c:pt>
                <c:pt idx="49">
                  <c:v>3.1086214780681698</c:v>
                </c:pt>
                <c:pt idx="50">
                  <c:v>3.1606514444717244</c:v>
                </c:pt>
                <c:pt idx="51">
                  <c:v>3.436198117574448</c:v>
                </c:pt>
                <c:pt idx="52">
                  <c:v>3.3974675446586886</c:v>
                </c:pt>
                <c:pt idx="53">
                  <c:v>3.4331018835936624</c:v>
                </c:pt>
                <c:pt idx="54">
                  <c:v>3.71546380185689</c:v>
                </c:pt>
                <c:pt idx="55">
                  <c:v>3.6163752282202246</c:v>
                </c:pt>
                <c:pt idx="56">
                  <c:v>3.8232337213876706</c:v>
                </c:pt>
                <c:pt idx="57">
                  <c:v>3.793713275144047</c:v>
                </c:pt>
                <c:pt idx="58">
                  <c:v>4.1597945050426661</c:v>
                </c:pt>
                <c:pt idx="59">
                  <c:v>4.0389617438428163</c:v>
                </c:pt>
                <c:pt idx="60">
                  <c:v>4.3819731848263492</c:v>
                </c:pt>
                <c:pt idx="61">
                  <c:v>4.001976458962007</c:v>
                </c:pt>
                <c:pt idx="62">
                  <c:v>3.7823302888019024</c:v>
                </c:pt>
                <c:pt idx="63">
                  <c:v>3.8652678078409721</c:v>
                </c:pt>
                <c:pt idx="64">
                  <c:v>4.9025675581646597</c:v>
                </c:pt>
                <c:pt idx="65">
                  <c:v>4.5751723664802935</c:v>
                </c:pt>
                <c:pt idx="66">
                  <c:v>4.343133557858601</c:v>
                </c:pt>
                <c:pt idx="67">
                  <c:v>4.3756447413666057</c:v>
                </c:pt>
                <c:pt idx="68">
                  <c:v>4.4816003539995917</c:v>
                </c:pt>
                <c:pt idx="69">
                  <c:v>4.3068307261516923</c:v>
                </c:pt>
                <c:pt idx="70">
                  <c:v>4.0482109494853349</c:v>
                </c:pt>
                <c:pt idx="71">
                  <c:v>4.3030505721315793</c:v>
                </c:pt>
                <c:pt idx="72">
                  <c:v>4.5369803269641062</c:v>
                </c:pt>
                <c:pt idx="73">
                  <c:v>4.106197353252897</c:v>
                </c:pt>
                <c:pt idx="74">
                  <c:v>4.7504535380199284</c:v>
                </c:pt>
                <c:pt idx="75">
                  <c:v>6.3213572337540009</c:v>
                </c:pt>
                <c:pt idx="76">
                  <c:v>5.8078787920947743</c:v>
                </c:pt>
                <c:pt idx="77">
                  <c:v>5.5373438919549276</c:v>
                </c:pt>
                <c:pt idx="78">
                  <c:v>5.9308129650099382</c:v>
                </c:pt>
                <c:pt idx="79">
                  <c:v>5.7128010209834317</c:v>
                </c:pt>
              </c:numCache>
            </c:numRef>
          </c:val>
          <c:smooth val="0"/>
          <c:extLst>
            <c:ext xmlns:c16="http://schemas.microsoft.com/office/drawing/2014/chart" uri="{C3380CC4-5D6E-409C-BE32-E72D297353CC}">
              <c16:uniqueId val="{00000001-BFB4-C241-ADE1-C639A59E52F3}"/>
            </c:ext>
          </c:extLst>
        </c:ser>
        <c:dLbls>
          <c:showLegendKey val="0"/>
          <c:showVal val="0"/>
          <c:showCatName val="0"/>
          <c:showSerName val="0"/>
          <c:showPercent val="0"/>
          <c:showBubbleSize val="0"/>
        </c:dLbls>
        <c:marker val="1"/>
        <c:smooth val="0"/>
        <c:axId val="2143098208"/>
        <c:axId val="898602640"/>
      </c:lineChart>
      <c:catAx>
        <c:axId val="868731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869243807"/>
        <c:crosses val="autoZero"/>
        <c:auto val="1"/>
        <c:lblAlgn val="ctr"/>
        <c:lblOffset val="100"/>
        <c:noMultiLvlLbl val="0"/>
      </c:catAx>
      <c:valAx>
        <c:axId val="869243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a:t>
                </a:r>
                <a:endParaRPr lang="zh-CN" altLang="en-US" sz="900">
                  <a:latin typeface="Times New Roman" panose="02020603050405020304" pitchFamily="18" charset="0"/>
                  <a:ea typeface="SimSun" panose="02010600030101010101" pitchFamily="2" charset="-122"/>
                  <a:cs typeface="Times New Roman" panose="02020603050405020304" pitchFamily="18" charset="0"/>
                </a:endParaRP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ltLang="en-US"/>
            </a:p>
          </c:txPr>
        </c:title>
        <c:numFmt formatCode="0.0_ "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868731055"/>
        <c:crosses val="autoZero"/>
        <c:crossBetween val="between"/>
      </c:valAx>
      <c:valAx>
        <c:axId val="898602640"/>
        <c:scaling>
          <c:orientation val="minMax"/>
        </c:scaling>
        <c:delete val="0"/>
        <c:axPos val="r"/>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a:t>
                </a:r>
                <a:endParaRPr lang="zh-CN" altLang="en-US" sz="900">
                  <a:latin typeface="Times New Roman" panose="02020603050405020304" pitchFamily="18" charset="0"/>
                  <a:ea typeface="SimSun" panose="02010600030101010101" pitchFamily="2" charset="-122"/>
                  <a:cs typeface="Times New Roman" panose="02020603050405020304" pitchFamily="18" charset="0"/>
                </a:endParaRP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ltLang="en-US"/>
            </a:p>
          </c:txPr>
        </c:title>
        <c:numFmt formatCode="0.0_ "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2143098208"/>
        <c:crosses val="max"/>
        <c:crossBetween val="between"/>
      </c:valAx>
      <c:catAx>
        <c:axId val="2143098208"/>
        <c:scaling>
          <c:orientation val="minMax"/>
        </c:scaling>
        <c:delete val="1"/>
        <c:axPos val="b"/>
        <c:numFmt formatCode="General" sourceLinked="1"/>
        <c:majorTickMark val="out"/>
        <c:minorTickMark val="none"/>
        <c:tickLblPos val="nextTo"/>
        <c:crossAx val="89860264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'Government Budget'!$A$711</c:f>
              <c:strCache>
                <c:ptCount val="1"/>
                <c:pt idx="0">
                  <c:v>非资本性赤字债务增量</c:v>
                </c:pt>
              </c:strCache>
            </c:strRef>
          </c:tx>
          <c:spPr>
            <a:ln w="19050" cap="rnd">
              <a:solidFill>
                <a:schemeClr val="tx1"/>
              </a:solidFill>
              <a:round/>
            </a:ln>
            <a:effectLst/>
          </c:spPr>
          <c:marker>
            <c:symbol val="none"/>
          </c:marker>
          <c:cat>
            <c:strRef>
              <c:f>'Government Budget'!$B$710:$CR$710</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'Government Budget'!$B$711:$CR$711</c:f>
              <c:numCache>
                <c:formatCode>General</c:formatCode>
                <c:ptCount val="95"/>
                <c:pt idx="0">
                  <c:v>0</c:v>
                </c:pt>
                <c:pt idx="1">
                  <c:v>0</c:v>
                </c:pt>
                <c:pt idx="2">
                  <c:v>0.5</c:v>
                </c:pt>
                <c:pt idx="3">
                  <c:v>0</c:v>
                </c:pt>
                <c:pt idx="4">
                  <c:v>0</c:v>
                </c:pt>
                <c:pt idx="5">
                  <c:v>0.10000000000000009</c:v>
                </c:pt>
                <c:pt idx="6">
                  <c:v>0</c:v>
                </c:pt>
                <c:pt idx="7">
                  <c:v>0.19999999999999996</c:v>
                </c:pt>
                <c:pt idx="8">
                  <c:v>0</c:v>
                </c:pt>
                <c:pt idx="9">
                  <c:v>0</c:v>
                </c:pt>
                <c:pt idx="10">
                  <c:v>0</c:v>
                </c:pt>
                <c:pt idx="11">
                  <c:v>0</c:v>
                </c:pt>
                <c:pt idx="12">
                  <c:v>0</c:v>
                </c:pt>
                <c:pt idx="13">
                  <c:v>8.2000000000000011</c:v>
                </c:pt>
                <c:pt idx="14">
                  <c:v>13.1</c:v>
                </c:pt>
                <c:pt idx="15">
                  <c:v>24.7</c:v>
                </c:pt>
                <c:pt idx="16">
                  <c:v>26.4</c:v>
                </c:pt>
                <c:pt idx="17">
                  <c:v>1.7000000000000002</c:v>
                </c:pt>
                <c:pt idx="18">
                  <c:v>0</c:v>
                </c:pt>
                <c:pt idx="19">
                  <c:v>0</c:v>
                </c:pt>
                <c:pt idx="20">
                  <c:v>1.4000000000000004</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3.6000000000000014</c:v>
                </c:pt>
                <c:pt idx="43">
                  <c:v>0</c:v>
                </c:pt>
                <c:pt idx="44">
                  <c:v>0</c:v>
                </c:pt>
                <c:pt idx="45">
                  <c:v>0</c:v>
                </c:pt>
                <c:pt idx="46">
                  <c:v>31.199999999999989</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103.79999999999995</c:v>
                </c:pt>
                <c:pt idx="75">
                  <c:v>62.599999999999966</c:v>
                </c:pt>
                <c:pt idx="76">
                  <c:v>0</c:v>
                </c:pt>
                <c:pt idx="77">
                  <c:v>0</c:v>
                </c:pt>
                <c:pt idx="78">
                  <c:v>0</c:v>
                </c:pt>
                <c:pt idx="79">
                  <c:v>254.70000000000005</c:v>
                </c:pt>
                <c:pt idx="80">
                  <c:v>963.9</c:v>
                </c:pt>
                <c:pt idx="81">
                  <c:v>978.8</c:v>
                </c:pt>
                <c:pt idx="82">
                  <c:v>820</c:v>
                </c:pt>
                <c:pt idx="83">
                  <c:v>653.79999999999995</c:v>
                </c:pt>
                <c:pt idx="84">
                  <c:v>213.39999999999998</c:v>
                </c:pt>
                <c:pt idx="85">
                  <c:v>130.20000000000005</c:v>
                </c:pt>
                <c:pt idx="86">
                  <c:v>76</c:v>
                </c:pt>
                <c:pt idx="87">
                  <c:v>172.39999999999998</c:v>
                </c:pt>
                <c:pt idx="88">
                  <c:v>194</c:v>
                </c:pt>
                <c:pt idx="89">
                  <c:v>279.60000000000002</c:v>
                </c:pt>
                <c:pt idx="90">
                  <c:v>366.79999999999995</c:v>
                </c:pt>
                <c:pt idx="91">
                  <c:v>2131</c:v>
                </c:pt>
                <c:pt idx="92">
                  <c:v>1641.1</c:v>
                </c:pt>
                <c:pt idx="93">
                  <c:v>28.199999999999932</c:v>
                </c:pt>
                <c:pt idx="94">
                  <c:v>575.09999999999991</c:v>
                </c:pt>
              </c:numCache>
            </c:numRef>
          </c:val>
          <c:smooth val="0"/>
          <c:extLst>
            <c:ext xmlns:c16="http://schemas.microsoft.com/office/drawing/2014/chart" uri="{C3380CC4-5D6E-409C-BE32-E72D297353CC}">
              <c16:uniqueId val="{00000000-56BC-8645-8879-18ADB8A207D5}"/>
            </c:ext>
          </c:extLst>
        </c:ser>
        <c:ser>
          <c:idx val="1"/>
          <c:order val="1"/>
          <c:tx>
            <c:strRef>
              <c:f>'Government Budget'!$A$712</c:f>
              <c:strCache>
                <c:ptCount val="1"/>
                <c:pt idx="0">
                  <c:v>利息资本化债务增量</c:v>
                </c:pt>
              </c:strCache>
            </c:strRef>
          </c:tx>
          <c:spPr>
            <a:ln w="19050" cap="rnd">
              <a:solidFill>
                <a:schemeClr val="tx1"/>
              </a:solidFill>
              <a:prstDash val="sysDot"/>
              <a:round/>
            </a:ln>
            <a:effectLst/>
          </c:spPr>
          <c:marker>
            <c:symbol val="none"/>
          </c:marker>
          <c:cat>
            <c:strRef>
              <c:f>'Government Budget'!$B$710:$CR$710</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'Government Budget'!$B$712:$CR$712</c:f>
              <c:numCache>
                <c:formatCode>General</c:formatCode>
                <c:ptCount val="95"/>
                <c:pt idx="0">
                  <c:v>0</c:v>
                </c:pt>
                <c:pt idx="1">
                  <c:v>0</c:v>
                </c:pt>
                <c:pt idx="2">
                  <c:v>1.1000000000000001</c:v>
                </c:pt>
                <c:pt idx="3">
                  <c:v>1.2</c:v>
                </c:pt>
                <c:pt idx="4">
                  <c:v>1</c:v>
                </c:pt>
                <c:pt idx="5">
                  <c:v>1.4</c:v>
                </c:pt>
                <c:pt idx="6">
                  <c:v>1.3</c:v>
                </c:pt>
                <c:pt idx="7">
                  <c:v>1.3</c:v>
                </c:pt>
                <c:pt idx="8">
                  <c:v>0</c:v>
                </c:pt>
                <c:pt idx="9">
                  <c:v>0.10000000000000009</c:v>
                </c:pt>
                <c:pt idx="10">
                  <c:v>0.9</c:v>
                </c:pt>
                <c:pt idx="11">
                  <c:v>0</c:v>
                </c:pt>
                <c:pt idx="12">
                  <c:v>0</c:v>
                </c:pt>
                <c:pt idx="13">
                  <c:v>2.1</c:v>
                </c:pt>
                <c:pt idx="14">
                  <c:v>2.9</c:v>
                </c:pt>
                <c:pt idx="15">
                  <c:v>3.6</c:v>
                </c:pt>
                <c:pt idx="16">
                  <c:v>4.5</c:v>
                </c:pt>
                <c:pt idx="17">
                  <c:v>5.6</c:v>
                </c:pt>
                <c:pt idx="18">
                  <c:v>0</c:v>
                </c:pt>
                <c:pt idx="19">
                  <c:v>0</c:v>
                </c:pt>
                <c:pt idx="20">
                  <c:v>6.6</c:v>
                </c:pt>
                <c:pt idx="21">
                  <c:v>0</c:v>
                </c:pt>
                <c:pt idx="22">
                  <c:v>0</c:v>
                </c:pt>
                <c:pt idx="23">
                  <c:v>0.20000000000000018</c:v>
                </c:pt>
                <c:pt idx="24">
                  <c:v>1.7999999999999998</c:v>
                </c:pt>
                <c:pt idx="25">
                  <c:v>6</c:v>
                </c:pt>
                <c:pt idx="26">
                  <c:v>0</c:v>
                </c:pt>
                <c:pt idx="27">
                  <c:v>0</c:v>
                </c:pt>
                <c:pt idx="28">
                  <c:v>0</c:v>
                </c:pt>
                <c:pt idx="29">
                  <c:v>10.9</c:v>
                </c:pt>
                <c:pt idx="30">
                  <c:v>1.8000000000000007</c:v>
                </c:pt>
                <c:pt idx="31">
                  <c:v>0</c:v>
                </c:pt>
                <c:pt idx="32">
                  <c:v>2.5</c:v>
                </c:pt>
                <c:pt idx="33">
                  <c:v>2.3000000000000007</c:v>
                </c:pt>
                <c:pt idx="34">
                  <c:v>0</c:v>
                </c:pt>
                <c:pt idx="35">
                  <c:v>3</c:v>
                </c:pt>
                <c:pt idx="36">
                  <c:v>1.8999999999999986</c:v>
                </c:pt>
                <c:pt idx="37">
                  <c:v>2.3000000000000007</c:v>
                </c:pt>
                <c:pt idx="38">
                  <c:v>15.5</c:v>
                </c:pt>
                <c:pt idx="39">
                  <c:v>10.3</c:v>
                </c:pt>
                <c:pt idx="40">
                  <c:v>2</c:v>
                </c:pt>
                <c:pt idx="41">
                  <c:v>33.4</c:v>
                </c:pt>
                <c:pt idx="42">
                  <c:v>48.6</c:v>
                </c:pt>
                <c:pt idx="43">
                  <c:v>42.9</c:v>
                </c:pt>
                <c:pt idx="44">
                  <c:v>32.700000000000003</c:v>
                </c:pt>
                <c:pt idx="45">
                  <c:v>43.7</c:v>
                </c:pt>
                <c:pt idx="46">
                  <c:v>77.400000000000006</c:v>
                </c:pt>
                <c:pt idx="47">
                  <c:v>85.3</c:v>
                </c:pt>
                <c:pt idx="48">
                  <c:v>72.900000000000006</c:v>
                </c:pt>
                <c:pt idx="49">
                  <c:v>57.2</c:v>
                </c:pt>
                <c:pt idx="50">
                  <c:v>48.599999999999994</c:v>
                </c:pt>
                <c:pt idx="51">
                  <c:v>94.7</c:v>
                </c:pt>
                <c:pt idx="52">
                  <c:v>98.2</c:v>
                </c:pt>
                <c:pt idx="53">
                  <c:v>190.1</c:v>
                </c:pt>
                <c:pt idx="54">
                  <c:v>225.6</c:v>
                </c:pt>
                <c:pt idx="55">
                  <c:v>196.7</c:v>
                </c:pt>
                <c:pt idx="56">
                  <c:v>201.7</c:v>
                </c:pt>
                <c:pt idx="57">
                  <c:v>219.9</c:v>
                </c:pt>
                <c:pt idx="58">
                  <c:v>180.1</c:v>
                </c:pt>
                <c:pt idx="59">
                  <c:v>171.3</c:v>
                </c:pt>
                <c:pt idx="60">
                  <c:v>178.7</c:v>
                </c:pt>
                <c:pt idx="61">
                  <c:v>239.5</c:v>
                </c:pt>
                <c:pt idx="62">
                  <c:v>308.5</c:v>
                </c:pt>
                <c:pt idx="63">
                  <c:v>405.6</c:v>
                </c:pt>
                <c:pt idx="64">
                  <c:v>386.2</c:v>
                </c:pt>
                <c:pt idx="65">
                  <c:v>319.89999999999998</c:v>
                </c:pt>
                <c:pt idx="66">
                  <c:v>312.89999999999998</c:v>
                </c:pt>
                <c:pt idx="67">
                  <c:v>233.6</c:v>
                </c:pt>
                <c:pt idx="68">
                  <c:v>134.40000000000003</c:v>
                </c:pt>
                <c:pt idx="69">
                  <c:v>29.300000000000011</c:v>
                </c:pt>
                <c:pt idx="70">
                  <c:v>0</c:v>
                </c:pt>
                <c:pt idx="71">
                  <c:v>0</c:v>
                </c:pt>
                <c:pt idx="72">
                  <c:v>104.69999999999999</c:v>
                </c:pt>
                <c:pt idx="73">
                  <c:v>451.4</c:v>
                </c:pt>
                <c:pt idx="74">
                  <c:v>475.6</c:v>
                </c:pt>
                <c:pt idx="75">
                  <c:v>480.7</c:v>
                </c:pt>
                <c:pt idx="76">
                  <c:v>397.4</c:v>
                </c:pt>
                <c:pt idx="77">
                  <c:v>307.89999999999998</c:v>
                </c:pt>
                <c:pt idx="78">
                  <c:v>390</c:v>
                </c:pt>
                <c:pt idx="79">
                  <c:v>592.29999999999995</c:v>
                </c:pt>
                <c:pt idx="80">
                  <c:v>621.6</c:v>
                </c:pt>
                <c:pt idx="81">
                  <c:v>648.5</c:v>
                </c:pt>
                <c:pt idx="82">
                  <c:v>691.2</c:v>
                </c:pt>
                <c:pt idx="83">
                  <c:v>703.7</c:v>
                </c:pt>
                <c:pt idx="84">
                  <c:v>686.5</c:v>
                </c:pt>
                <c:pt idx="85">
                  <c:v>701.4</c:v>
                </c:pt>
                <c:pt idx="86">
                  <c:v>698</c:v>
                </c:pt>
                <c:pt idx="87">
                  <c:v>737.1</c:v>
                </c:pt>
                <c:pt idx="88">
                  <c:v>767.6</c:v>
                </c:pt>
                <c:pt idx="89">
                  <c:v>826.6</c:v>
                </c:pt>
                <c:pt idx="90">
                  <c:v>883.5</c:v>
                </c:pt>
                <c:pt idx="91">
                  <c:v>815.3</c:v>
                </c:pt>
                <c:pt idx="92">
                  <c:v>855.5</c:v>
                </c:pt>
                <c:pt idx="93">
                  <c:v>973.7</c:v>
                </c:pt>
                <c:pt idx="94">
                  <c:v>1239.2</c:v>
                </c:pt>
              </c:numCache>
            </c:numRef>
          </c:val>
          <c:smooth val="0"/>
          <c:extLst>
            <c:ext xmlns:c16="http://schemas.microsoft.com/office/drawing/2014/chart" uri="{C3380CC4-5D6E-409C-BE32-E72D297353CC}">
              <c16:uniqueId val="{00000001-56BC-8645-8879-18ADB8A207D5}"/>
            </c:ext>
          </c:extLst>
        </c:ser>
        <c:ser>
          <c:idx val="2"/>
          <c:order val="2"/>
          <c:tx>
            <c:strRef>
              <c:f>'Government Budget'!$A$713</c:f>
              <c:strCache>
                <c:ptCount val="1"/>
                <c:pt idx="0">
                  <c:v>非赤字债务</c:v>
                </c:pt>
              </c:strCache>
            </c:strRef>
          </c:tx>
          <c:spPr>
            <a:ln w="19050" cap="rnd">
              <a:solidFill>
                <a:schemeClr val="tx1"/>
              </a:solidFill>
              <a:prstDash val="sysDash"/>
              <a:round/>
            </a:ln>
            <a:effectLst/>
          </c:spPr>
          <c:marker>
            <c:symbol val="none"/>
          </c:marker>
          <c:cat>
            <c:strRef>
              <c:f>'Government Budget'!$B$710:$CR$710</c:f>
              <c:strCache>
                <c:ptCount val="95"/>
                <c:pt idx="0">
                  <c:v>1929</c:v>
                </c:pt>
                <c:pt idx="1">
                  <c:v>1930</c:v>
                </c:pt>
                <c:pt idx="2">
                  <c:v>1931</c:v>
                </c:pt>
                <c:pt idx="3">
                  <c:v>1932</c:v>
                </c:pt>
                <c:pt idx="4">
                  <c:v>1933</c:v>
                </c:pt>
                <c:pt idx="5">
                  <c:v>1934</c:v>
                </c:pt>
                <c:pt idx="6">
                  <c:v>1935</c:v>
                </c:pt>
                <c:pt idx="7">
                  <c:v>1936</c:v>
                </c:pt>
                <c:pt idx="8">
                  <c:v>1937</c:v>
                </c:pt>
                <c:pt idx="9">
                  <c:v>1938</c:v>
                </c:pt>
                <c:pt idx="10">
                  <c:v>1939</c:v>
                </c:pt>
                <c:pt idx="11">
                  <c:v>1940</c:v>
                </c:pt>
                <c:pt idx="12">
                  <c:v>1941</c:v>
                </c:pt>
                <c:pt idx="13">
                  <c:v>1942</c:v>
                </c:pt>
                <c:pt idx="14">
                  <c:v>1943</c:v>
                </c:pt>
                <c:pt idx="15">
                  <c:v>1944</c:v>
                </c:pt>
                <c:pt idx="16">
                  <c:v>1945</c:v>
                </c:pt>
                <c:pt idx="17">
                  <c:v>1946</c:v>
                </c:pt>
                <c:pt idx="18">
                  <c:v>1947</c:v>
                </c:pt>
                <c:pt idx="19">
                  <c:v>1948</c:v>
                </c:pt>
                <c:pt idx="20">
                  <c:v>1949</c:v>
                </c:pt>
                <c:pt idx="21">
                  <c:v>1950</c:v>
                </c:pt>
                <c:pt idx="22">
                  <c:v>1951</c:v>
                </c:pt>
                <c:pt idx="23">
                  <c:v>1952</c:v>
                </c:pt>
                <c:pt idx="24">
                  <c:v>1953</c:v>
                </c:pt>
                <c:pt idx="25">
                  <c:v>1954</c:v>
                </c:pt>
                <c:pt idx="26">
                  <c:v>1955</c:v>
                </c:pt>
                <c:pt idx="27">
                  <c:v>1956</c:v>
                </c:pt>
                <c:pt idx="28">
                  <c:v>1957</c:v>
                </c:pt>
                <c:pt idx="29">
                  <c:v>1958</c:v>
                </c:pt>
                <c:pt idx="30">
                  <c:v>1959</c:v>
                </c:pt>
                <c:pt idx="31">
                  <c:v>1960</c:v>
                </c:pt>
                <c:pt idx="32">
                  <c:v>1961</c:v>
                </c:pt>
                <c:pt idx="33">
                  <c:v>1962</c:v>
                </c:pt>
                <c:pt idx="34">
                  <c:v>1963</c:v>
                </c:pt>
                <c:pt idx="35">
                  <c:v>1964</c:v>
                </c:pt>
                <c:pt idx="36">
                  <c:v>1965</c:v>
                </c:pt>
                <c:pt idx="37">
                  <c:v>1966</c:v>
                </c:pt>
                <c:pt idx="38">
                  <c:v>1967</c:v>
                </c:pt>
                <c:pt idx="39">
                  <c:v>1968</c:v>
                </c:pt>
                <c:pt idx="40">
                  <c:v>1969</c:v>
                </c:pt>
                <c:pt idx="41">
                  <c:v>1970</c:v>
                </c:pt>
                <c:pt idx="42">
                  <c:v>1971</c:v>
                </c:pt>
                <c:pt idx="43">
                  <c:v>1972</c:v>
                </c:pt>
                <c:pt idx="44">
                  <c:v>1973</c:v>
                </c:pt>
                <c:pt idx="45">
                  <c:v>1974</c:v>
                </c:pt>
                <c:pt idx="46">
                  <c:v>1975</c:v>
                </c:pt>
                <c:pt idx="47">
                  <c:v>1976</c:v>
                </c:pt>
                <c:pt idx="48">
                  <c:v>1977</c:v>
                </c:pt>
                <c:pt idx="49">
                  <c:v>1978</c:v>
                </c:pt>
                <c:pt idx="50">
                  <c:v>1979</c:v>
                </c:pt>
                <c:pt idx="51">
                  <c:v>1980</c:v>
                </c:pt>
                <c:pt idx="52">
                  <c:v>1981</c:v>
                </c:pt>
                <c:pt idx="53">
                  <c:v>1982</c:v>
                </c:pt>
                <c:pt idx="54">
                  <c:v>1983</c:v>
                </c:pt>
                <c:pt idx="55">
                  <c:v>1984</c:v>
                </c:pt>
                <c:pt idx="56">
                  <c:v>1985</c:v>
                </c:pt>
                <c:pt idx="57">
                  <c:v>1986</c:v>
                </c:pt>
                <c:pt idx="58">
                  <c:v>1987</c:v>
                </c:pt>
                <c:pt idx="59">
                  <c:v>1988</c:v>
                </c:pt>
                <c:pt idx="60">
                  <c:v>1989</c:v>
                </c:pt>
                <c:pt idx="61">
                  <c:v>1990</c:v>
                </c:pt>
                <c:pt idx="62">
                  <c:v>1991</c:v>
                </c:pt>
                <c:pt idx="63">
                  <c:v>1992</c:v>
                </c:pt>
                <c:pt idx="64">
                  <c:v>1993</c:v>
                </c:pt>
                <c:pt idx="65">
                  <c:v>1994</c:v>
                </c:pt>
                <c:pt idx="66">
                  <c:v>1995</c:v>
                </c:pt>
                <c:pt idx="67">
                  <c:v>1996</c:v>
                </c:pt>
                <c:pt idx="68">
                  <c:v>1997</c:v>
                </c:pt>
                <c:pt idx="69">
                  <c:v>1998</c:v>
                </c:pt>
                <c:pt idx="70">
                  <c:v>1999</c:v>
                </c:pt>
                <c:pt idx="71">
                  <c:v>2000</c:v>
                </c:pt>
                <c:pt idx="72">
                  <c:v>2001</c:v>
                </c:pt>
                <c:pt idx="73">
                  <c:v>2002</c:v>
                </c:pt>
                <c:pt idx="74">
                  <c:v>2003</c:v>
                </c:pt>
                <c:pt idx="75">
                  <c:v>2004</c:v>
                </c:pt>
                <c:pt idx="76">
                  <c:v>2005</c:v>
                </c:pt>
                <c:pt idx="77">
                  <c:v>2006</c:v>
                </c:pt>
                <c:pt idx="78">
                  <c:v>2007</c:v>
                </c:pt>
                <c:pt idx="79">
                  <c:v>2008</c:v>
                </c:pt>
                <c:pt idx="80">
                  <c:v>2009</c:v>
                </c:pt>
                <c:pt idx="81">
                  <c:v>2010</c:v>
                </c:pt>
                <c:pt idx="82">
                  <c:v>2011</c:v>
                </c:pt>
                <c:pt idx="83">
                  <c:v>2012</c:v>
                </c:pt>
                <c:pt idx="84">
                  <c:v>2013</c:v>
                </c:pt>
                <c:pt idx="85">
                  <c:v>2014</c:v>
                </c:pt>
                <c:pt idx="86">
                  <c:v>2015</c:v>
                </c:pt>
                <c:pt idx="87">
                  <c:v>2016</c:v>
                </c:pt>
                <c:pt idx="88">
                  <c:v>2017</c:v>
                </c:pt>
                <c:pt idx="89">
                  <c:v>2018</c:v>
                </c:pt>
                <c:pt idx="90">
                  <c:v>2019</c:v>
                </c:pt>
                <c:pt idx="91">
                  <c:v>2020</c:v>
                </c:pt>
                <c:pt idx="92">
                  <c:v>2021</c:v>
                </c:pt>
                <c:pt idx="93">
                  <c:v>2022</c:v>
                </c:pt>
                <c:pt idx="94">
                  <c:v>2023</c:v>
                </c:pt>
              </c:strCache>
            </c:strRef>
          </c:cat>
          <c:val>
            <c:numRef>
              <c:f>'Government Budget'!$B$713:$CR$713</c:f>
              <c:numCache>
                <c:formatCode>General</c:formatCode>
                <c:ptCount val="95"/>
                <c:pt idx="0">
                  <c:v>-0.67320471732999798</c:v>
                </c:pt>
                <c:pt idx="1">
                  <c:v>-0.74577865267000121</c:v>
                </c:pt>
                <c:pt idx="2">
                  <c:v>-0.98402833972000048</c:v>
                </c:pt>
                <c:pt idx="3">
                  <c:v>1.4857209524200023</c:v>
                </c:pt>
                <c:pt idx="4">
                  <c:v>2.0516701160199986</c:v>
                </c:pt>
                <c:pt idx="5">
                  <c:v>3.0144688543299982</c:v>
                </c:pt>
                <c:pt idx="6">
                  <c:v>0.34775121004999998</c:v>
                </c:pt>
                <c:pt idx="7">
                  <c:v>3.5776508691999993</c:v>
                </c:pt>
                <c:pt idx="8">
                  <c:v>2.6460702385600001</c:v>
                </c:pt>
                <c:pt idx="9">
                  <c:v>0.64012658315999849</c:v>
                </c:pt>
                <c:pt idx="10">
                  <c:v>2.3747920956600042</c:v>
                </c:pt>
                <c:pt idx="11">
                  <c:v>2.5279986265699961</c:v>
                </c:pt>
                <c:pt idx="12">
                  <c:v>5.9939124980299994</c:v>
                </c:pt>
                <c:pt idx="13">
                  <c:v>13.161001580510007</c:v>
                </c:pt>
                <c:pt idx="14">
                  <c:v>48.273645213679984</c:v>
                </c:pt>
                <c:pt idx="15">
                  <c:v>36.007296891230006</c:v>
                </c:pt>
                <c:pt idx="16">
                  <c:v>26.778800188800012</c:v>
                </c:pt>
                <c:pt idx="17">
                  <c:v>3.4399117633299863</c:v>
                </c:pt>
                <c:pt idx="18">
                  <c:v>-11.135716064589985</c:v>
                </c:pt>
                <c:pt idx="19">
                  <c:v>-5.9941365956800325</c:v>
                </c:pt>
                <c:pt idx="20">
                  <c:v>-7.5218866526599868</c:v>
                </c:pt>
                <c:pt idx="21">
                  <c:v>4.5869924907100028</c:v>
                </c:pt>
                <c:pt idx="22">
                  <c:v>-2.13537553610999</c:v>
                </c:pt>
                <c:pt idx="23">
                  <c:v>3.6832019704999821</c:v>
                </c:pt>
                <c:pt idx="24">
                  <c:v>5.1658828531400447</c:v>
                </c:pt>
                <c:pt idx="25">
                  <c:v>-0.81146253011002045</c:v>
                </c:pt>
                <c:pt idx="26">
                  <c:v>3.1146236941600023</c:v>
                </c:pt>
                <c:pt idx="27">
                  <c:v>-1.623409153300031</c:v>
                </c:pt>
                <c:pt idx="28">
                  <c:v>-2.2236417528899892</c:v>
                </c:pt>
                <c:pt idx="29">
                  <c:v>-5.0839541506199684</c:v>
                </c:pt>
                <c:pt idx="30">
                  <c:v>6.5626893324099562</c:v>
                </c:pt>
                <c:pt idx="31">
                  <c:v>1.6248537701500254</c:v>
                </c:pt>
                <c:pt idx="32">
                  <c:v>0.14017776167997908</c:v>
                </c:pt>
                <c:pt idx="33">
                  <c:v>6.9298841108200229</c:v>
                </c:pt>
                <c:pt idx="34">
                  <c:v>7.6588102755399632</c:v>
                </c:pt>
                <c:pt idx="35">
                  <c:v>2.8532662608899955</c:v>
                </c:pt>
                <c:pt idx="36">
                  <c:v>3.6609997263400729</c:v>
                </c:pt>
                <c:pt idx="37">
                  <c:v>0.33318881183994264</c:v>
                </c:pt>
                <c:pt idx="38">
                  <c:v>-9.1861500009400174</c:v>
                </c:pt>
                <c:pt idx="39">
                  <c:v>11.057468631340054</c:v>
                </c:pt>
                <c:pt idx="40">
                  <c:v>4.1418474155299805</c:v>
                </c:pt>
                <c:pt idx="41">
                  <c:v>-16.201546891480028</c:v>
                </c:pt>
                <c:pt idx="42">
                  <c:v>-24.98896249438998</c:v>
                </c:pt>
                <c:pt idx="43">
                  <c:v>-13.769283515039966</c:v>
                </c:pt>
                <c:pt idx="44">
                  <c:v>-1.8188556284100201</c:v>
                </c:pt>
                <c:pt idx="45">
                  <c:v>-26.781789580540035</c:v>
                </c:pt>
                <c:pt idx="46">
                  <c:v>-50.470815731550005</c:v>
                </c:pt>
                <c:pt idx="47">
                  <c:v>1.944000000000031</c:v>
                </c:pt>
                <c:pt idx="48">
                  <c:v>5.5070000000000334</c:v>
                </c:pt>
                <c:pt idx="49">
                  <c:v>15.503999999999948</c:v>
                </c:pt>
                <c:pt idx="50">
                  <c:v>6.3750000000000284</c:v>
                </c:pt>
                <c:pt idx="51">
                  <c:v>-13.517999999999986</c:v>
                </c:pt>
                <c:pt idx="52">
                  <c:v>-8.0460000000000065</c:v>
                </c:pt>
                <c:pt idx="53">
                  <c:v>-45.920999999999907</c:v>
                </c:pt>
                <c:pt idx="54">
                  <c:v>9.5759999999999366</c:v>
                </c:pt>
                <c:pt idx="55">
                  <c:v>-1.6439999999999486</c:v>
                </c:pt>
                <c:pt idx="56">
                  <c:v>49.137</c:v>
                </c:pt>
                <c:pt idx="57">
                  <c:v>82.299616658419922</c:v>
                </c:pt>
                <c:pt idx="58">
                  <c:v>44.874274294580033</c:v>
                </c:pt>
                <c:pt idx="59">
                  <c:v>80.760821088160071</c:v>
                </c:pt>
                <c:pt idx="60">
                  <c:v>76.393248146159578</c:v>
                </c:pt>
                <c:pt idx="61">
                  <c:v>136.3824915899304</c:v>
                </c:pt>
                <c:pt idx="62">
                  <c:v>123.48989991977987</c:v>
                </c:pt>
                <c:pt idx="63">
                  <c:v>-6.2826961753700061</c:v>
                </c:pt>
                <c:pt idx="64">
                  <c:v>-39.331772382279894</c:v>
                </c:pt>
                <c:pt idx="65">
                  <c:v>-38.638973126060023</c:v>
                </c:pt>
                <c:pt idx="66">
                  <c:v>-31.667009303930513</c:v>
                </c:pt>
                <c:pt idx="67">
                  <c:v>17.22803842634076</c:v>
                </c:pt>
                <c:pt idx="68">
                  <c:v>53.935072261609605</c:v>
                </c:pt>
                <c:pt idx="69">
                  <c:v>83.746997500280656</c:v>
                </c:pt>
                <c:pt idx="70">
                  <c:v>130.07789271780894</c:v>
                </c:pt>
                <c:pt idx="71">
                  <c:v>17.907308271431248</c:v>
                </c:pt>
                <c:pt idx="72">
                  <c:v>28.58520231319909</c:v>
                </c:pt>
                <c:pt idx="73">
                  <c:v>-30.62744660289934</c:v>
                </c:pt>
                <c:pt idx="74">
                  <c:v>-24.40490285354042</c:v>
                </c:pt>
                <c:pt idx="75">
                  <c:v>52.521633586700148</c:v>
                </c:pt>
                <c:pt idx="76">
                  <c:v>156.25696539318017</c:v>
                </c:pt>
                <c:pt idx="77">
                  <c:v>266.36423749173048</c:v>
                </c:pt>
                <c:pt idx="78">
                  <c:v>110.67947304725021</c:v>
                </c:pt>
                <c:pt idx="79">
                  <c:v>170.07152465001855</c:v>
                </c:pt>
                <c:pt idx="80">
                  <c:v>299.6041065993013</c:v>
                </c:pt>
                <c:pt idx="81">
                  <c:v>24.494027379999579</c:v>
                </c:pt>
                <c:pt idx="82">
                  <c:v>-282.48270233460175</c:v>
                </c:pt>
                <c:pt idx="83">
                  <c:v>-81.598921171298571</c:v>
                </c:pt>
                <c:pt idx="84">
                  <c:v>-227.95788068860054</c:v>
                </c:pt>
                <c:pt idx="85">
                  <c:v>254.28785403650033</c:v>
                </c:pt>
                <c:pt idx="86">
                  <c:v>-447.45371424949917</c:v>
                </c:pt>
                <c:pt idx="87">
                  <c:v>513.32704745250146</c:v>
                </c:pt>
                <c:pt idx="88">
                  <c:v>-290.14469788330246</c:v>
                </c:pt>
                <c:pt idx="89">
                  <c:v>164.95816712670126</c:v>
                </c:pt>
                <c:pt idx="90">
                  <c:v>-46.956429746399181</c:v>
                </c:pt>
                <c:pt idx="91">
                  <c:v>1279.6894411813985</c:v>
                </c:pt>
                <c:pt idx="92">
                  <c:v>-1013.0726245665005</c:v>
                </c:pt>
                <c:pt idx="93">
                  <c:v>1498.0930432580005</c:v>
                </c:pt>
                <c:pt idx="94">
                  <c:v>424.12243141649674</c:v>
                </c:pt>
              </c:numCache>
            </c:numRef>
          </c:val>
          <c:smooth val="0"/>
          <c:extLst>
            <c:ext xmlns:c16="http://schemas.microsoft.com/office/drawing/2014/chart" uri="{C3380CC4-5D6E-409C-BE32-E72D297353CC}">
              <c16:uniqueId val="{00000002-56BC-8645-8879-18ADB8A207D5}"/>
            </c:ext>
          </c:extLst>
        </c:ser>
        <c:dLbls>
          <c:showLegendKey val="0"/>
          <c:showVal val="0"/>
          <c:showCatName val="0"/>
          <c:showSerName val="0"/>
          <c:showPercent val="0"/>
          <c:showBubbleSize val="0"/>
        </c:dLbls>
        <c:smooth val="0"/>
        <c:axId val="454021648"/>
        <c:axId val="453998640"/>
      </c:lineChart>
      <c:catAx>
        <c:axId val="45402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453998640"/>
        <c:crosses val="autoZero"/>
        <c:auto val="1"/>
        <c:lblAlgn val="ctr"/>
        <c:lblOffset val="100"/>
        <c:noMultiLvlLbl val="0"/>
      </c:catAx>
      <c:valAx>
        <c:axId val="4539986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900">
                    <a:latin typeface="Times New Roman" panose="02020603050405020304" pitchFamily="18" charset="0"/>
                    <a:ea typeface="SimSun" panose="02010600030101010101" pitchFamily="2" charset="-122"/>
                    <a:cs typeface="Times New Roman" panose="02020603050405020304" pitchFamily="18" charset="0"/>
                  </a:rPr>
                  <a:t>单位：</a:t>
                </a:r>
                <a:r>
                  <a:rPr lang="en-US" altLang="zh-CN" sz="900">
                    <a:latin typeface="Times New Roman" panose="02020603050405020304" pitchFamily="18" charset="0"/>
                    <a:ea typeface="SimSun" panose="02010600030101010101" pitchFamily="2" charset="-122"/>
                    <a:cs typeface="Times New Roman" panose="02020603050405020304" pitchFamily="18" charset="0"/>
                  </a:rPr>
                  <a:t>10</a:t>
                </a:r>
                <a:r>
                  <a:rPr lang="zh-CN" altLang="en-US" sz="900">
                    <a:latin typeface="Times New Roman" panose="02020603050405020304" pitchFamily="18" charset="0"/>
                    <a:ea typeface="SimSun" panose="02010600030101010101" pitchFamily="2" charset="-122"/>
                    <a:cs typeface="Times New Roman" panose="02020603050405020304" pitchFamily="18" charset="0"/>
                  </a:rPr>
                  <a:t>亿美元</a:t>
                </a:r>
              </a:p>
            </c:rich>
          </c:tx>
          <c:overlay val="0"/>
          <c:spPr>
            <a:noFill/>
            <a:ln>
              <a:noFill/>
            </a:ln>
            <a:effectLst/>
          </c:spPr>
          <c:txPr>
            <a:bodyPr rot="0" spcFirstLastPara="1" vertOverflow="ellipsis" vert="eaVert"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454021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SimSun" panose="02010600030101010101" pitchFamily="2" charset="-122"/>
              <a:ea typeface="SimSun" panose="02010600030101010101" pitchFamily="2"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7BE47-986D-4034-BDBC-C7243AA5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33</Pages>
  <Words>4097</Words>
  <Characters>23355</Characters>
  <Application>Microsoft Office Word</Application>
  <DocSecurity>0</DocSecurity>
  <Lines>194</Lines>
  <Paragraphs>54</Paragraphs>
  <ScaleCrop>false</ScaleCrop>
  <Company/>
  <LinksUpToDate>false</LinksUpToDate>
  <CharactersWithSpaces>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suiliang law</dc:creator>
  <cp:keywords/>
  <dc:description/>
  <cp:lastModifiedBy>suiliang law</cp:lastModifiedBy>
  <cp:revision>94</cp:revision>
  <cp:lastPrinted>2024-09-24T08:35:00Z</cp:lastPrinted>
  <dcterms:created xsi:type="dcterms:W3CDTF">2024-12-12T08:03:00Z</dcterms:created>
  <dcterms:modified xsi:type="dcterms:W3CDTF">2024-12-13T04:18:00Z</dcterms:modified>
</cp:coreProperties>
</file>