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7FFF" w:sz="36" w:space="1"/>
        </w:pBdr>
        <w:spacing w:after="0"/>
      </w:pPr>
    </w:p>
    <w:p>
      <w:pPr>
        <w:pBdr>
          <w:top w:val="single" w:color="F7D618" w:sz="12" w:space="1"/>
        </w:pBdr>
        <w:spacing w:after="0"/>
      </w:pPr>
    </w:p>
    <w:p>
      <w:pPr>
        <w:pBdr>
          <w:top w:val="single" w:color="CE1021" w:sz="24" w:space="1"/>
        </w:pBdr>
        <w:spacing w:after="240"/>
      </w:pPr>
    </w:p>
    <w:p>
      <w:pPr>
        <w:spacing w:after="80"/>
      </w:pPr>
      <w:r>
        <w:rPr>
          <w:b/>
          <w:bCs/>
          <w:color w:val="CE1021"/>
          <w:sz w:val="20"/>
          <w:szCs w:val="20"/>
        </w:rPr>
        <w:t xml:space="preserve">SCÉNARIO DE VIDÉO</w:t>
      </w:r>
    </w:p>
    <w:p>
      <w:pPr>
        <w:spacing w:after="120"/>
      </w:pPr>
      <w:r>
        <w:rPr>
          <w:b/>
          <w:bCs/>
          <w:color w:val="007FFF"/>
          <w:sz w:val="40"/>
          <w:szCs w:val="40"/>
        </w:rPr>
        <w:t xml:space="preserve">Signaler une manipulation de résultats de recherche</w:t>
      </w:r>
    </w:p>
    <w:p>
      <w:pPr>
        <w:spacing w:after="240"/>
      </w:pPr>
      <w:r>
        <w:rPr>
          <w:i/>
          <w:iCs/>
        </w:rPr>
        <w:t xml:space="preserve">Centre de Recherche en Eau et Environnement (CREE) — Catégorie : Intégrité scientifique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1DB" w:sz="4"/>
              <w:left w:val="single" w:color="C9D1DB" w:sz="4"/>
              <w:bottom w:val="single" w:color="C9D1DB" w:sz="4"/>
              <w:right w:val="single" w:color="C9D1DB" w:sz="4"/>
            </w:tcBorders>
            <w:shd w:fill="007FFF" w:color="auto" w:val="clear"/>
            <w:tcMar>
              <w:top w:type="dxa" w:w="80"/>
              <w:left w:type="dxa" w:w="120"/>
              <w:bottom w:type="dxa" w:w="80"/>
              <w:right w:type="dxa" w:w="120"/>
            </w:tcMar>
          </w:tcPr>
          <w:p>
            <w:pPr>
              <w:spacing w:after="60"/>
            </w:pPr>
            <w:r>
              <w:rPr>
                <w:b/>
                <w:bCs/>
                <w:color w:val="FFFFFF"/>
                <w:sz w:val="20"/>
                <w:szCs w:val="20"/>
              </w:rPr>
              <w:t xml:space="preserve">Élément</w:t>
            </w:r>
          </w:p>
        </w:tc>
        <w:tc>
          <w:tcPr>
            <w:tcW w:type="dxa" w:w="7038"/>
            <w:tcBorders>
              <w:top w:val="single" w:color="C9D1DB" w:sz="4"/>
              <w:left w:val="single" w:color="C9D1DB" w:sz="4"/>
              <w:bottom w:val="single" w:color="C9D1DB" w:sz="4"/>
              <w:right w:val="single" w:color="C9D1DB" w:sz="4"/>
            </w:tcBorders>
            <w:shd w:fill="007FFF" w:color="auto" w:val="clear"/>
            <w:tcMar>
              <w:top w:type="dxa" w:w="80"/>
              <w:left w:type="dxa" w:w="120"/>
              <w:bottom w:type="dxa" w:w="80"/>
              <w:right w:type="dxa" w:w="120"/>
            </w:tcMar>
          </w:tcPr>
          <w:p>
            <w:pPr>
              <w:spacing w:after="60"/>
            </w:pPr>
            <w:r>
              <w:rPr>
                <w:b/>
                <w:bCs/>
                <w:color w:val="FFFFFF"/>
                <w:sz w:val="20"/>
                <w:szCs w:val="20"/>
              </w:rPr>
              <w:t xml:space="preserve">Détail</w:t>
            </w:r>
          </w:p>
        </w:tc>
      </w:tr>
      <w:tr>
        <w:tc>
          <w:tcPr>
            <w:tcW w:type="dxa" w:w="2600"/>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sz w:val="20"/>
                <w:szCs w:val="20"/>
              </w:rPr>
              <w:t xml:space="preserve">Objectif</w:t>
            </w:r>
          </w:p>
        </w:tc>
        <w:tc>
          <w:tcPr>
            <w:tcW w:type="dxa" w:w="7038"/>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sz w:val="20"/>
                <w:szCs w:val="20"/>
              </w:rPr>
              <w:t xml:space="preserve">Montrer, pas à pas, comment un chercheur dépose un signalement d'abus en matière d'intégrité scientifique et suit son dossier en toute confidentialité.</w:t>
            </w:r>
          </w:p>
        </w:tc>
      </w:tr>
      <w:tr>
        <w:tc>
          <w:tcPr>
            <w:tcW w:type="dxa" w:w="2600"/>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60"/>
            </w:pPr>
            <w:r>
              <w:rPr>
                <w:sz w:val="20"/>
                <w:szCs w:val="20"/>
              </w:rPr>
              <w:t xml:space="preserve">Durée cible</w:t>
            </w:r>
          </w:p>
        </w:tc>
        <w:tc>
          <w:tcPr>
            <w:tcW w:type="dxa" w:w="7038"/>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60"/>
            </w:pPr>
            <w:r>
              <w:rPr>
                <w:sz w:val="20"/>
                <w:szCs w:val="20"/>
              </w:rPr>
              <w:t xml:space="preserve">Environ 3 min 20 s</w:t>
            </w:r>
          </w:p>
        </w:tc>
      </w:tr>
      <w:tr>
        <w:tc>
          <w:tcPr>
            <w:tcW w:type="dxa" w:w="2600"/>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sz w:val="20"/>
                <w:szCs w:val="20"/>
              </w:rPr>
              <w:t xml:space="preserve">Public</w:t>
            </w:r>
          </w:p>
        </w:tc>
        <w:tc>
          <w:tcPr>
            <w:tcW w:type="dxa" w:w="7038"/>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sz w:val="20"/>
                <w:szCs w:val="20"/>
              </w:rPr>
              <w:t xml:space="preserve">Chercheurs, techniciens et personnels des centres et instituts de recherche</w:t>
            </w:r>
          </w:p>
        </w:tc>
      </w:tr>
      <w:tr>
        <w:tc>
          <w:tcPr>
            <w:tcW w:type="dxa" w:w="2600"/>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60"/>
            </w:pPr>
            <w:r>
              <w:rPr>
                <w:sz w:val="20"/>
                <w:szCs w:val="20"/>
              </w:rPr>
              <w:t xml:space="preserve">Personnage</w:t>
            </w:r>
          </w:p>
        </w:tc>
        <w:tc>
          <w:tcPr>
            <w:tcW w:type="dxa" w:w="7038"/>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60"/>
            </w:pPr>
            <w:r>
              <w:rPr>
                <w:sz w:val="20"/>
                <w:szCs w:val="20"/>
              </w:rPr>
              <w:t xml:space="preserve">Une chercheuse du laboratoire d'analyse de la qualité des eaux (personnage fictif, non nommé)</w:t>
            </w:r>
          </w:p>
        </w:tc>
      </w:tr>
      <w:tr>
        <w:tc>
          <w:tcPr>
            <w:tcW w:type="dxa" w:w="2600"/>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sz w:val="20"/>
                <w:szCs w:val="20"/>
              </w:rPr>
              <w:t xml:space="preserve">Format</w:t>
            </w:r>
          </w:p>
        </w:tc>
        <w:tc>
          <w:tcPr>
            <w:tcW w:type="dxa" w:w="7038"/>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sz w:val="20"/>
                <w:szCs w:val="20"/>
              </w:rPr>
              <w:t xml:space="preserve">Narration en voix off, captures d'écran de la plateforme, quelques plans de laboratoire</w:t>
            </w:r>
          </w:p>
        </w:tc>
      </w:tr>
    </w:tbl>
    <w:p>
      <w:pPr>
        <w:spacing w:after="120" w:line="276"/>
      </w:pPr>
      <w:r>
        <w:t xml:space="preserve"/>
      </w:r>
    </w:p>
    <w:p>
      <w:pPr>
        <w:spacing w:after="120" w:line="276"/>
      </w:pPr>
      <w:r>
        <w:rPr>
          <w:b/>
          <w:bCs/>
        </w:rPr>
        <w:t xml:space="preserve">Avertissement : </w:t>
      </w:r>
      <w:r>
        <w:t xml:space="preserve">les faits, personnes, documents, référence et code de suivi de ce scénario sont fictifs. Ils servent uniquement à la démonstration. Pour le tournage, utilisez un environnement de test, jamais la plateforme de production.</w:t>
      </w:r>
    </w:p>
    <w:p>
      <w:pPr>
        <w:pStyle w:val="Heading1"/>
      </w:pPr>
      <w:r>
        <w:t xml:space="preserve">1. Contexte du scénario</w:t>
      </w:r>
    </w:p>
    <w:p>
      <w:pPr>
        <w:spacing w:after="120" w:line="276"/>
      </w:pPr>
      <w:r>
        <w:t xml:space="preserve">Une chercheuse du CREE participe à un projet financé par des fonds publics : la surveillance de la qualité de l'eau de la rivière N'djili, en aval d'une zone industrielle de Kinshasa. En préparant l'article scientifique, elle constate que le rapport final ne correspond pas aux mesures réellement enregistrées :</w:t>
      </w:r>
    </w:p>
    <w:p>
      <w:pPr>
        <w:pStyle w:val="ListParagraph"/>
        <w:numPr>
          <w:ilvl w:val="0"/>
          <w:numId w:val="2"/>
        </w:numPr>
        <w:spacing w:after="80"/>
      </w:pPr>
      <w:r>
        <w:t xml:space="preserve">48 échantillons ont été analysés, mais seuls 31 figurent dans le rapport ;</w:t>
      </w:r>
    </w:p>
    <w:p>
      <w:pPr>
        <w:pStyle w:val="ListParagraph"/>
        <w:numPr>
          <w:ilvl w:val="0"/>
          <w:numId w:val="2"/>
        </w:numPr>
        <w:spacing w:after="80"/>
      </w:pPr>
      <w:r>
        <w:t xml:space="preserve">les 17 échantillons écartés sont précisément ceux qui dépassent les seuils de plomb et de mercure ;</w:t>
      </w:r>
    </w:p>
    <w:p>
      <w:pPr>
        <w:pStyle w:val="ListParagraph"/>
        <w:numPr>
          <w:ilvl w:val="0"/>
          <w:numId w:val="2"/>
        </w:numPr>
        <w:spacing w:after="80"/>
      </w:pPr>
      <w:r>
        <w:t xml:space="preserve">les valeurs de deux autres échantillons ont été corrigées à la baisse ;</w:t>
      </w:r>
    </w:p>
    <w:p>
      <w:pPr>
        <w:pStyle w:val="ListParagraph"/>
        <w:numPr>
          <w:ilvl w:val="0"/>
          <w:numId w:val="2"/>
        </w:numPr>
        <w:spacing w:after="80"/>
      </w:pPr>
      <w:r>
        <w:t xml:space="preserve">la consigne de retirer les « valeurs gênantes » a été donnée oralement en réunion, pour ne pas compromettre le renouvellement du financement.</w:t>
      </w:r>
    </w:p>
    <w:p>
      <w:pPr>
        <w:spacing w:after="120" w:line="276"/>
      </w:pPr>
      <w:r>
        <w:t xml:space="preserve">Craignant des représailles, elle décide de signaler les faits de manière anonyme sur la plateforme du Ministère ESURSI.</w:t>
      </w:r>
    </w:p>
    <w:p>
      <w:pPr>
        <w:pStyle w:val="Heading1"/>
      </w:pPr>
      <w:r>
        <w:t xml:space="preserve">2. Fiche du signalement (valeurs à saisir)</w:t>
      </w:r>
    </w:p>
    <w:p>
      <w:pPr>
        <w:spacing w:after="120" w:line="276"/>
      </w:pPr>
      <w:r>
        <w:t xml:space="preserve">Ces valeurs correspondent aux 8 étapes du formulaire « Déposer un signalement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1DB" w:sz="4"/>
              <w:left w:val="single" w:color="C9D1DB" w:sz="4"/>
              <w:bottom w:val="single" w:color="C9D1DB" w:sz="4"/>
              <w:right w:val="single" w:color="C9D1DB" w:sz="4"/>
            </w:tcBorders>
            <w:shd w:fill="007FFF" w:color="auto" w:val="clear"/>
            <w:tcMar>
              <w:top w:type="dxa" w:w="80"/>
              <w:left w:type="dxa" w:w="120"/>
              <w:bottom w:type="dxa" w:w="80"/>
              <w:right w:type="dxa" w:w="120"/>
            </w:tcMar>
          </w:tcPr>
          <w:p>
            <w:pPr>
              <w:spacing w:after="60"/>
            </w:pPr>
            <w:r>
              <w:rPr>
                <w:b/>
                <w:bCs/>
                <w:color w:val="FFFFFF"/>
                <w:sz w:val="20"/>
                <w:szCs w:val="20"/>
              </w:rPr>
              <w:t xml:space="preserve">Étape / champ</w:t>
            </w:r>
          </w:p>
        </w:tc>
        <w:tc>
          <w:tcPr>
            <w:tcW w:type="dxa" w:w="7038"/>
            <w:tcBorders>
              <w:top w:val="single" w:color="C9D1DB" w:sz="4"/>
              <w:left w:val="single" w:color="C9D1DB" w:sz="4"/>
              <w:bottom w:val="single" w:color="C9D1DB" w:sz="4"/>
              <w:right w:val="single" w:color="C9D1DB" w:sz="4"/>
            </w:tcBorders>
            <w:shd w:fill="007FFF" w:color="auto" w:val="clear"/>
            <w:tcMar>
              <w:top w:type="dxa" w:w="80"/>
              <w:left w:type="dxa" w:w="120"/>
              <w:bottom w:type="dxa" w:w="80"/>
              <w:right w:type="dxa" w:w="120"/>
            </w:tcMar>
          </w:tcPr>
          <w:p>
            <w:pPr>
              <w:spacing w:after="60"/>
            </w:pPr>
            <w:r>
              <w:rPr>
                <w:b/>
                <w:bCs/>
                <w:color w:val="FFFFFF"/>
                <w:sz w:val="20"/>
                <w:szCs w:val="20"/>
              </w:rPr>
              <w:t xml:space="preserve">Valeur</w:t>
            </w:r>
          </w:p>
        </w:tc>
      </w:tr>
      <w:tr>
        <w:tc>
          <w:tcPr>
            <w:tcW w:type="dxa" w:w="2600"/>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sz w:val="20"/>
                <w:szCs w:val="20"/>
              </w:rPr>
              <w:t xml:space="preserve">1. Catégorie</w:t>
            </w:r>
          </w:p>
        </w:tc>
        <w:tc>
          <w:tcPr>
            <w:tcW w:type="dxa" w:w="7038"/>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sz w:val="20"/>
                <w:szCs w:val="20"/>
              </w:rPr>
              <w:t xml:space="preserve">Intégrité scientifique</w:t>
            </w:r>
          </w:p>
        </w:tc>
      </w:tr>
      <w:tr>
        <w:tc>
          <w:tcPr>
            <w:tcW w:type="dxa" w:w="2600"/>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60"/>
            </w:pPr>
            <w:r>
              <w:rPr>
                <w:sz w:val="20"/>
                <w:szCs w:val="20"/>
              </w:rPr>
              <w:t xml:space="preserve">1. Type de faits</w:t>
            </w:r>
          </w:p>
        </w:tc>
        <w:tc>
          <w:tcPr>
            <w:tcW w:type="dxa" w:w="7038"/>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60"/>
            </w:pPr>
            <w:r>
              <w:rPr>
                <w:sz w:val="20"/>
                <w:szCs w:val="20"/>
              </w:rPr>
              <w:t xml:space="preserve">Manipulation de résultats de recherche</w:t>
            </w:r>
          </w:p>
        </w:tc>
      </w:tr>
      <w:tr>
        <w:tc>
          <w:tcPr>
            <w:tcW w:type="dxa" w:w="2600"/>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sz w:val="20"/>
                <w:szCs w:val="20"/>
              </w:rPr>
              <w:t xml:space="preserve">2. Province</w:t>
            </w:r>
          </w:p>
        </w:tc>
        <w:tc>
          <w:tcPr>
            <w:tcW w:type="dxa" w:w="7038"/>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sz w:val="20"/>
                <w:szCs w:val="20"/>
              </w:rPr>
              <w:t xml:space="preserve">Kinshasa</w:t>
            </w:r>
          </w:p>
        </w:tc>
      </w:tr>
      <w:tr>
        <w:tc>
          <w:tcPr>
            <w:tcW w:type="dxa" w:w="2600"/>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60"/>
            </w:pPr>
            <w:r>
              <w:rPr>
                <w:sz w:val="20"/>
                <w:szCs w:val="20"/>
              </w:rPr>
              <w:t xml:space="preserve">3. Établissement</w:t>
            </w:r>
          </w:p>
        </w:tc>
        <w:tc>
          <w:tcPr>
            <w:tcW w:type="dxa" w:w="7038"/>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60"/>
            </w:pPr>
            <w:r>
              <w:rPr>
                <w:sz w:val="20"/>
                <w:szCs w:val="20"/>
              </w:rPr>
              <w:t xml:space="preserve">Centre de Recherche en Eau et Environnement (CREE)</w:t>
            </w:r>
          </w:p>
        </w:tc>
      </w:tr>
      <w:tr>
        <w:tc>
          <w:tcPr>
            <w:tcW w:type="dxa" w:w="2600"/>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sz w:val="20"/>
                <w:szCs w:val="20"/>
              </w:rPr>
              <w:t xml:space="preserve">4. Personne concernée</w:t>
            </w:r>
          </w:p>
        </w:tc>
        <w:tc>
          <w:tcPr>
            <w:tcW w:type="dxa" w:w="7038"/>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sz w:val="20"/>
                <w:szCs w:val="20"/>
              </w:rPr>
              <w:t xml:space="preserve">Type : Un service — « Laboratoire d'analyse de la qualité des eaux, responsable du laboratoire »</w:t>
            </w:r>
          </w:p>
        </w:tc>
      </w:tr>
      <w:tr>
        <w:tc>
          <w:tcPr>
            <w:tcW w:type="dxa" w:w="2600"/>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60"/>
            </w:pPr>
            <w:r>
              <w:rPr>
                <w:sz w:val="20"/>
                <w:szCs w:val="20"/>
              </w:rPr>
              <w:t xml:space="preserve">5. Objet</w:t>
            </w:r>
          </w:p>
        </w:tc>
        <w:tc>
          <w:tcPr>
            <w:tcW w:type="dxa" w:w="7038"/>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60"/>
            </w:pPr>
            <w:r>
              <w:rPr>
                <w:sz w:val="20"/>
                <w:szCs w:val="20"/>
              </w:rPr>
              <w:t xml:space="preserve">Résultats d'analyses d'eau modifiés avant publication au CREE</w:t>
            </w:r>
          </w:p>
        </w:tc>
      </w:tr>
      <w:tr>
        <w:tc>
          <w:tcPr>
            <w:tcW w:type="dxa" w:w="2600"/>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sz w:val="20"/>
                <w:szCs w:val="20"/>
              </w:rPr>
              <w:t xml:space="preserve">5. Description</w:t>
            </w:r>
          </w:p>
        </w:tc>
        <w:tc>
          <w:tcPr>
            <w:tcW w:type="dxa" w:w="7038"/>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sz w:val="20"/>
                <w:szCs w:val="20"/>
              </w:rPr>
              <w:t xml:space="preserve">Voir le texte complet en section 4</w:t>
            </w:r>
          </w:p>
        </w:tc>
      </w:tr>
      <w:tr>
        <w:tc>
          <w:tcPr>
            <w:tcW w:type="dxa" w:w="2600"/>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60"/>
            </w:pPr>
            <w:r>
              <w:rPr>
                <w:sz w:val="20"/>
                <w:szCs w:val="20"/>
              </w:rPr>
              <w:t xml:space="preserve">5. Gravité</w:t>
            </w:r>
          </w:p>
        </w:tc>
        <w:tc>
          <w:tcPr>
            <w:tcW w:type="dxa" w:w="7038"/>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60"/>
            </w:pPr>
            <w:r>
              <w:rPr>
                <w:sz w:val="20"/>
                <w:szCs w:val="20"/>
              </w:rPr>
              <w:t xml:space="preserve">Élevée — préjudice important (risque sanitaire, fonds publics)</w:t>
            </w:r>
          </w:p>
        </w:tc>
      </w:tr>
      <w:tr>
        <w:tc>
          <w:tcPr>
            <w:tcW w:type="dxa" w:w="2600"/>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sz w:val="20"/>
                <w:szCs w:val="20"/>
              </w:rPr>
              <w:t xml:space="preserve">6. Preuves</w:t>
            </w:r>
          </w:p>
        </w:tc>
        <w:tc>
          <w:tcPr>
            <w:tcW w:type="dxa" w:w="7038"/>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sz w:val="20"/>
                <w:szCs w:val="20"/>
              </w:rPr>
              <w:t xml:space="preserve">releves_bruts_appareil_fev-mai_2026.pdf · tableau_rapport_final_12-06-2026.pdf · comparatif_echantillons.xlsx (à exporter en PDF)</w:t>
            </w:r>
          </w:p>
        </w:tc>
      </w:tr>
      <w:tr>
        <w:tc>
          <w:tcPr>
            <w:tcW w:type="dxa" w:w="2600"/>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60"/>
            </w:pPr>
            <w:r>
              <w:rPr>
                <w:sz w:val="20"/>
                <w:szCs w:val="20"/>
              </w:rPr>
              <w:t xml:space="preserve">7. Mode</w:t>
            </w:r>
          </w:p>
        </w:tc>
        <w:tc>
          <w:tcPr>
            <w:tcW w:type="dxa" w:w="7038"/>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60"/>
            </w:pPr>
            <w:r>
              <w:rPr>
                <w:sz w:val="20"/>
                <w:szCs w:val="20"/>
              </w:rPr>
              <w:t xml:space="preserve">Anonyme</w:t>
            </w:r>
          </w:p>
        </w:tc>
      </w:tr>
      <w:tr>
        <w:tc>
          <w:tcPr>
            <w:tcW w:type="dxa" w:w="2600"/>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sz w:val="20"/>
                <w:szCs w:val="20"/>
              </w:rPr>
              <w:t xml:space="preserve">8. Certification</w:t>
            </w:r>
          </w:p>
        </w:tc>
        <w:tc>
          <w:tcPr>
            <w:tcW w:type="dxa" w:w="7038"/>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sz w:val="20"/>
                <w:szCs w:val="20"/>
              </w:rPr>
              <w:t xml:space="preserve">Case « Je certifie sur l'honneur que les informations fournies sont sincères… » cochée</w:t>
            </w:r>
          </w:p>
        </w:tc>
      </w:tr>
    </w:tbl>
    <w:p>
      <w:pPr>
        <w:pStyle w:val="Heading1"/>
      </w:pPr>
      <w:r>
        <w:t xml:space="preserve">3. Script de la vidéo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4038"/>
      </w:tblGrid>
      <w:tr>
        <w:trPr>
          <w:tblHeader/>
        </w:trPr>
        <w:tc>
          <w:tcPr>
            <w:tcW w:type="dxa" w:w="1900"/>
            <w:tcBorders>
              <w:top w:val="single" w:color="C9D1DB" w:sz="4"/>
              <w:left w:val="single" w:color="C9D1DB" w:sz="4"/>
              <w:bottom w:val="single" w:color="C9D1DB" w:sz="4"/>
              <w:right w:val="single" w:color="C9D1DB" w:sz="4"/>
            </w:tcBorders>
            <w:shd w:fill="007FFF" w:color="auto" w:val="clear"/>
            <w:tcMar>
              <w:top w:type="dxa" w:w="80"/>
              <w:left w:type="dxa" w:w="120"/>
              <w:bottom w:type="dxa" w:w="80"/>
              <w:right w:type="dxa" w:w="120"/>
            </w:tcMar>
          </w:tcPr>
          <w:p>
            <w:pPr>
              <w:spacing w:after="60"/>
            </w:pPr>
            <w:r>
              <w:rPr>
                <w:b/>
                <w:bCs/>
                <w:color w:val="FFFFFF"/>
                <w:sz w:val="20"/>
                <w:szCs w:val="20"/>
              </w:rPr>
              <w:t xml:space="preserve">Séquence</w:t>
            </w:r>
          </w:p>
        </w:tc>
        <w:tc>
          <w:tcPr>
            <w:tcW w:type="dxa" w:w="3700"/>
            <w:tcBorders>
              <w:top w:val="single" w:color="C9D1DB" w:sz="4"/>
              <w:left w:val="single" w:color="C9D1DB" w:sz="4"/>
              <w:bottom w:val="single" w:color="C9D1DB" w:sz="4"/>
              <w:right w:val="single" w:color="C9D1DB" w:sz="4"/>
            </w:tcBorders>
            <w:shd w:fill="007FFF" w:color="auto" w:val="clear"/>
            <w:tcMar>
              <w:top w:type="dxa" w:w="80"/>
              <w:left w:type="dxa" w:w="120"/>
              <w:bottom w:type="dxa" w:w="80"/>
              <w:right w:type="dxa" w:w="120"/>
            </w:tcMar>
          </w:tcPr>
          <w:p>
            <w:pPr>
              <w:spacing w:after="60"/>
            </w:pPr>
            <w:r>
              <w:rPr>
                <w:b/>
                <w:bCs/>
                <w:color w:val="FFFFFF"/>
                <w:sz w:val="20"/>
                <w:szCs w:val="20"/>
              </w:rPr>
              <w:t xml:space="preserve">À l'écran / action</w:t>
            </w:r>
          </w:p>
        </w:tc>
        <w:tc>
          <w:tcPr>
            <w:tcW w:type="dxa" w:w="4038"/>
            <w:tcBorders>
              <w:top w:val="single" w:color="C9D1DB" w:sz="4"/>
              <w:left w:val="single" w:color="C9D1DB" w:sz="4"/>
              <w:bottom w:val="single" w:color="C9D1DB" w:sz="4"/>
              <w:right w:val="single" w:color="C9D1DB" w:sz="4"/>
            </w:tcBorders>
            <w:shd w:fill="007FFF" w:color="auto" w:val="clear"/>
            <w:tcMar>
              <w:top w:type="dxa" w:w="80"/>
              <w:left w:type="dxa" w:w="120"/>
              <w:bottom w:type="dxa" w:w="80"/>
              <w:right w:type="dxa" w:w="120"/>
            </w:tcMar>
          </w:tcPr>
          <w:p>
            <w:pPr>
              <w:spacing w:after="60"/>
            </w:pPr>
            <w:r>
              <w:rPr>
                <w:b/>
                <w:bCs/>
                <w:color w:val="FFFFFF"/>
                <w:sz w:val="20"/>
                <w:szCs w:val="20"/>
              </w:rPr>
              <w:t xml:space="preserve">Voix off</w:t>
            </w:r>
          </w:p>
        </w:tc>
      </w:tr>
      <w:tr>
        <w:tc>
          <w:tcPr>
            <w:tcW w:type="dxa" w:w="1900"/>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40"/>
            </w:pPr>
            <w:r>
              <w:rPr>
                <w:b/>
                <w:bCs/>
                <w:color w:val="1F2937"/>
                <w:sz w:val="20"/>
                <w:szCs w:val="20"/>
              </w:rPr>
              <w:t xml:space="preserve">1 — Ouverture</w:t>
            </w:r>
          </w:p>
          <w:p>
            <w:pPr>
              <w:spacing w:after="40"/>
            </w:pPr>
            <w:r>
              <w:rPr>
                <w:b w:val="false"/>
                <w:bCs w:val="false"/>
                <w:color w:val="6B7280"/>
                <w:sz w:val="18"/>
                <w:szCs w:val="18"/>
              </w:rPr>
              <w:t xml:space="preserve">0:00 – 0:15</w:t>
            </w:r>
          </w:p>
        </w:tc>
        <w:tc>
          <w:tcPr>
            <w:tcW w:type="dxa" w:w="3700"/>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sz w:val="20"/>
                <w:szCs w:val="20"/>
              </w:rPr>
              <w:t xml:space="preserve">Plan sur un laboratoire : flacons d'échantillons, appareil de mesure. Titre à l'écran : « Intégrité scientifique : signaler, c'est protéger ».</w:t>
            </w:r>
          </w:p>
        </w:tc>
        <w:tc>
          <w:tcPr>
            <w:tcW w:type="dxa" w:w="4038"/>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i/>
                <w:iCs/>
                <w:sz w:val="20"/>
                <w:szCs w:val="20"/>
              </w:rPr>
              <w:t xml:space="preserve">« Au Centre de Recherche en Eau et Environnement, une chercheuse découvre que des résultats d'analyse ont été modifiés avant publication. Que faire ? »</w:t>
            </w:r>
          </w:p>
        </w:tc>
      </w:tr>
      <w:tr>
        <w:tc>
          <w:tcPr>
            <w:tcW w:type="dxa" w:w="1900"/>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40"/>
            </w:pPr>
            <w:r>
              <w:rPr>
                <w:b/>
                <w:bCs/>
                <w:color w:val="1F2937"/>
                <w:sz w:val="20"/>
                <w:szCs w:val="20"/>
              </w:rPr>
              <w:t xml:space="preserve">2 — Le constat</w:t>
            </w:r>
          </w:p>
          <w:p>
            <w:pPr>
              <w:spacing w:after="40"/>
            </w:pPr>
            <w:r>
              <w:rPr>
                <w:b w:val="false"/>
                <w:bCs w:val="false"/>
                <w:color w:val="6B7280"/>
                <w:sz w:val="18"/>
                <w:szCs w:val="18"/>
              </w:rPr>
              <w:t xml:space="preserve">0:15 – 0:35</w:t>
            </w:r>
          </w:p>
        </w:tc>
        <w:tc>
          <w:tcPr>
            <w:tcW w:type="dxa" w:w="3700"/>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60"/>
            </w:pPr>
            <w:r>
              <w:rPr>
                <w:sz w:val="20"/>
                <w:szCs w:val="20"/>
              </w:rPr>
              <w:t xml:space="preserve">La chercheuse compare à l'écran les relevés bruts de l'appareil et le tableau du rapport final. Gros plan : 17 lignes ont disparu, deux valeurs ont été corrigées.</w:t>
            </w:r>
          </w:p>
        </w:tc>
        <w:tc>
          <w:tcPr>
            <w:tcW w:type="dxa" w:w="4038"/>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60"/>
            </w:pPr>
            <w:r>
              <w:rPr>
                <w:i/>
                <w:iCs/>
                <w:sz w:val="20"/>
                <w:szCs w:val="20"/>
              </w:rPr>
              <w:t xml:space="preserve">« 48 échantillons analysés. 31 seulement dans le rapport. Les valeurs non conformes en plomb et en mercure ont tout simplement disparu. »</w:t>
            </w:r>
          </w:p>
        </w:tc>
      </w:tr>
      <w:tr>
        <w:tc>
          <w:tcPr>
            <w:tcW w:type="dxa" w:w="1900"/>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40"/>
            </w:pPr>
            <w:r>
              <w:rPr>
                <w:b/>
                <w:bCs/>
                <w:color w:val="1F2937"/>
                <w:sz w:val="20"/>
                <w:szCs w:val="20"/>
              </w:rPr>
              <w:t xml:space="preserve">3 — La plateforme</w:t>
            </w:r>
          </w:p>
          <w:p>
            <w:pPr>
              <w:spacing w:after="40"/>
            </w:pPr>
            <w:r>
              <w:rPr>
                <w:b w:val="false"/>
                <w:bCs w:val="false"/>
                <w:color w:val="6B7280"/>
                <w:sz w:val="18"/>
                <w:szCs w:val="18"/>
              </w:rPr>
              <w:t xml:space="preserve">0:35 – 0:50</w:t>
            </w:r>
          </w:p>
        </w:tc>
        <w:tc>
          <w:tcPr>
            <w:tcW w:type="dxa" w:w="3700"/>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sz w:val="20"/>
                <w:szCs w:val="20"/>
              </w:rPr>
              <w:t xml:space="preserve">Navigateur : page d'accueil de la plateforme de signalement du Ministère ESURSI. Clic sur « Déposer un signalement ».</w:t>
            </w:r>
          </w:p>
        </w:tc>
        <w:tc>
          <w:tcPr>
            <w:tcW w:type="dxa" w:w="4038"/>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i/>
                <w:iCs/>
                <w:sz w:val="20"/>
                <w:szCs w:val="20"/>
              </w:rPr>
              <w:t xml:space="preserve">« Pour ce type de faits, le Ministère ESURSI met à disposition une plateforme sécurisée, accessible à tout agent, chercheur, étudiant ou citoyen. »</w:t>
            </w:r>
          </w:p>
        </w:tc>
      </w:tr>
      <w:tr>
        <w:tc>
          <w:tcPr>
            <w:tcW w:type="dxa" w:w="1900"/>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40"/>
            </w:pPr>
            <w:r>
              <w:rPr>
                <w:b/>
                <w:bCs/>
                <w:color w:val="1F2937"/>
                <w:sz w:val="20"/>
                <w:szCs w:val="20"/>
              </w:rPr>
              <w:t xml:space="preserve">4 — Étape 1 : Catégorie</w:t>
            </w:r>
          </w:p>
          <w:p>
            <w:pPr>
              <w:spacing w:after="40"/>
            </w:pPr>
            <w:r>
              <w:rPr>
                <w:b w:val="false"/>
                <w:bCs w:val="false"/>
                <w:color w:val="6B7280"/>
                <w:sz w:val="18"/>
                <w:szCs w:val="18"/>
              </w:rPr>
              <w:t xml:space="preserve">0:50 – 1:05</w:t>
            </w:r>
          </w:p>
        </w:tc>
        <w:tc>
          <w:tcPr>
            <w:tcW w:type="dxa" w:w="3700"/>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60"/>
            </w:pPr>
            <w:r>
              <w:rPr>
                <w:b/>
                <w:bCs/>
                <w:sz w:val="20"/>
                <w:szCs w:val="20"/>
              </w:rPr>
              <w:t xml:space="preserve">Catégorie : </w:t>
            </w:r>
            <w:r>
              <w:rPr>
                <w:sz w:val="20"/>
                <w:szCs w:val="20"/>
              </w:rPr>
              <w:t xml:space="preserve">Intégrité scientifique.</w:t>
            </w:r>
          </w:p>
          <w:p>
            <w:pPr>
              <w:spacing w:after="60"/>
            </w:pPr>
            <w:r>
              <w:rPr>
                <w:b/>
                <w:bCs/>
                <w:sz w:val="20"/>
                <w:szCs w:val="20"/>
              </w:rPr>
              <w:t xml:space="preserve">Type de faits : </w:t>
            </w:r>
            <w:r>
              <w:rPr>
                <w:sz w:val="20"/>
                <w:szCs w:val="20"/>
              </w:rPr>
              <w:t xml:space="preserve">Manipulation de résultats de recherche.</w:t>
            </w:r>
          </w:p>
        </w:tc>
        <w:tc>
          <w:tcPr>
            <w:tcW w:type="dxa" w:w="4038"/>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60"/>
            </w:pPr>
            <w:r>
              <w:rPr>
                <w:i/>
                <w:iCs/>
                <w:sz w:val="20"/>
                <w:szCs w:val="20"/>
              </w:rPr>
              <w:t xml:space="preserve">« Elle choisit la catégorie Intégrité scientifique, puis précise le type de faits : manipulation de résultats de recherche. »</w:t>
            </w:r>
          </w:p>
        </w:tc>
      </w:tr>
      <w:tr>
        <w:tc>
          <w:tcPr>
            <w:tcW w:type="dxa" w:w="1900"/>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40"/>
            </w:pPr>
            <w:r>
              <w:rPr>
                <w:b/>
                <w:bCs/>
                <w:color w:val="1F2937"/>
                <w:sz w:val="20"/>
                <w:szCs w:val="20"/>
              </w:rPr>
              <w:t xml:space="preserve">5 — Étapes 2 et 3 : Lieu</w:t>
            </w:r>
          </w:p>
          <w:p>
            <w:pPr>
              <w:spacing w:after="40"/>
            </w:pPr>
            <w:r>
              <w:rPr>
                <w:b w:val="false"/>
                <w:bCs w:val="false"/>
                <w:color w:val="6B7280"/>
                <w:sz w:val="18"/>
                <w:szCs w:val="18"/>
              </w:rPr>
              <w:t xml:space="preserve">1:05 – 1:20</w:t>
            </w:r>
          </w:p>
        </w:tc>
        <w:tc>
          <w:tcPr>
            <w:tcW w:type="dxa" w:w="3700"/>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b/>
                <w:bCs/>
                <w:sz w:val="20"/>
                <w:szCs w:val="20"/>
              </w:rPr>
              <w:t xml:space="preserve">Province : </w:t>
            </w:r>
            <w:r>
              <w:rPr>
                <w:sz w:val="20"/>
                <w:szCs w:val="20"/>
              </w:rPr>
              <w:t xml:space="preserve">Kinshasa.</w:t>
            </w:r>
          </w:p>
          <w:p>
            <w:pPr>
              <w:spacing w:after="60"/>
            </w:pPr>
            <w:r>
              <w:rPr>
                <w:b/>
                <w:bCs/>
                <w:sz w:val="20"/>
                <w:szCs w:val="20"/>
              </w:rPr>
              <w:t xml:space="preserve">Établissement : </w:t>
            </w:r>
            <w:r>
              <w:rPr>
                <w:sz w:val="20"/>
                <w:szCs w:val="20"/>
              </w:rPr>
              <w:t xml:space="preserve">saisir « CREE » et sélectionner « Centre de Recherche en Eau et Environnement ».</w:t>
            </w:r>
          </w:p>
        </w:tc>
        <w:tc>
          <w:tcPr>
            <w:tcW w:type="dxa" w:w="4038"/>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i/>
                <w:iCs/>
                <w:sz w:val="20"/>
                <w:szCs w:val="20"/>
              </w:rPr>
              <w:t xml:space="preserve">« Elle indique la province, puis l'établissement concerné, retrouvé en quelques lettres. »</w:t>
            </w:r>
          </w:p>
        </w:tc>
      </w:tr>
      <w:tr>
        <w:tc>
          <w:tcPr>
            <w:tcW w:type="dxa" w:w="1900"/>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40"/>
            </w:pPr>
            <w:r>
              <w:rPr>
                <w:b/>
                <w:bCs/>
                <w:color w:val="1F2937"/>
                <w:sz w:val="20"/>
                <w:szCs w:val="20"/>
              </w:rPr>
              <w:t xml:space="preserve">6 — Étape 4 : Personne concernée</w:t>
            </w:r>
          </w:p>
          <w:p>
            <w:pPr>
              <w:spacing w:after="40"/>
            </w:pPr>
            <w:r>
              <w:rPr>
                <w:b w:val="false"/>
                <w:bCs w:val="false"/>
                <w:color w:val="6B7280"/>
                <w:sz w:val="18"/>
                <w:szCs w:val="18"/>
              </w:rPr>
              <w:t xml:space="preserve">1:20 – 1:30</w:t>
            </w:r>
          </w:p>
        </w:tc>
        <w:tc>
          <w:tcPr>
            <w:tcW w:type="dxa" w:w="3700"/>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60"/>
            </w:pPr>
            <w:r>
              <w:rPr>
                <w:b/>
                <w:bCs/>
                <w:sz w:val="20"/>
                <w:szCs w:val="20"/>
              </w:rPr>
              <w:t xml:space="preserve">Type : </w:t>
            </w:r>
            <w:r>
              <w:rPr>
                <w:sz w:val="20"/>
                <w:szCs w:val="20"/>
              </w:rPr>
              <w:t xml:space="preserve">Un service. </w:t>
            </w:r>
            <w:r>
              <w:rPr>
                <w:b/>
                <w:bCs/>
                <w:sz w:val="20"/>
                <w:szCs w:val="20"/>
              </w:rPr>
              <w:t xml:space="preserve">Désignation : </w:t>
            </w:r>
            <w:r>
              <w:rPr>
                <w:sz w:val="20"/>
                <w:szCs w:val="20"/>
              </w:rPr>
              <w:t xml:space="preserve">Laboratoire d'analyse de la qualité des eaux, responsable du laboratoire.</w:t>
            </w:r>
          </w:p>
        </w:tc>
        <w:tc>
          <w:tcPr>
            <w:tcW w:type="dxa" w:w="4038"/>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60"/>
            </w:pPr>
            <w:r>
              <w:rPr>
                <w:i/>
                <w:iCs/>
                <w:sz w:val="20"/>
                <w:szCs w:val="20"/>
              </w:rPr>
              <w:t xml:space="preserve">« Elle désigne le service en cause, sans avoir à porter elle-même d'accusation nominative. »</w:t>
            </w:r>
          </w:p>
        </w:tc>
      </w:tr>
      <w:tr>
        <w:tc>
          <w:tcPr>
            <w:tcW w:type="dxa" w:w="1900"/>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40"/>
            </w:pPr>
            <w:r>
              <w:rPr>
                <w:b/>
                <w:bCs/>
                <w:color w:val="1F2937"/>
                <w:sz w:val="20"/>
                <w:szCs w:val="20"/>
              </w:rPr>
              <w:t xml:space="preserve">7 — Étape 5 : Description</w:t>
            </w:r>
          </w:p>
          <w:p>
            <w:pPr>
              <w:spacing w:after="40"/>
            </w:pPr>
            <w:r>
              <w:rPr>
                <w:b w:val="false"/>
                <w:bCs w:val="false"/>
                <w:color w:val="6B7280"/>
                <w:sz w:val="18"/>
                <w:szCs w:val="18"/>
              </w:rPr>
              <w:t xml:space="preserve">1:30 – 1:55</w:t>
            </w:r>
          </w:p>
        </w:tc>
        <w:tc>
          <w:tcPr>
            <w:tcW w:type="dxa" w:w="3700"/>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b/>
                <w:bCs/>
                <w:sz w:val="20"/>
                <w:szCs w:val="20"/>
              </w:rPr>
              <w:t xml:space="preserve">Objet : </w:t>
            </w:r>
            <w:r>
              <w:rPr>
                <w:sz w:val="20"/>
                <w:szCs w:val="20"/>
              </w:rPr>
              <w:t xml:space="preserve">« Résultats d'analyses d'eau modifiés avant publication au CREE ».</w:t>
            </w:r>
          </w:p>
          <w:p>
            <w:pPr>
              <w:spacing w:after="60"/>
            </w:pPr>
            <w:r>
              <w:rPr>
                <w:sz w:val="20"/>
                <w:szCs w:val="20"/>
              </w:rPr>
              <w:t xml:space="preserve">Description collée depuis la section 4 (défilement rapide à l'écran).</w:t>
            </w:r>
          </w:p>
          <w:p>
            <w:pPr>
              <w:spacing w:after="60"/>
            </w:pPr>
            <w:r>
              <w:rPr>
                <w:b/>
                <w:bCs/>
                <w:sz w:val="20"/>
                <w:szCs w:val="20"/>
              </w:rPr>
              <w:t xml:space="preserve">Gravité : </w:t>
            </w:r>
            <w:r>
              <w:rPr>
                <w:sz w:val="20"/>
                <w:szCs w:val="20"/>
              </w:rPr>
              <w:t xml:space="preserve">Élevée.</w:t>
            </w:r>
          </w:p>
        </w:tc>
        <w:tc>
          <w:tcPr>
            <w:tcW w:type="dxa" w:w="4038"/>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i/>
                <w:iCs/>
                <w:sz w:val="20"/>
                <w:szCs w:val="20"/>
              </w:rPr>
              <w:t xml:space="preserve">« Elle décrit les faits de façon précise et datée : quels échantillons, quel rapport, quelle consigne. Elle estime la gravité élevée : il y va de la santé des riverains. »</w:t>
            </w:r>
          </w:p>
        </w:tc>
      </w:tr>
      <w:tr>
        <w:tc>
          <w:tcPr>
            <w:tcW w:type="dxa" w:w="1900"/>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40"/>
            </w:pPr>
            <w:r>
              <w:rPr>
                <w:b/>
                <w:bCs/>
                <w:color w:val="1F2937"/>
                <w:sz w:val="20"/>
                <w:szCs w:val="20"/>
              </w:rPr>
              <w:t xml:space="preserve">8 — Étape 6 : Preuves</w:t>
            </w:r>
          </w:p>
          <w:p>
            <w:pPr>
              <w:spacing w:after="40"/>
            </w:pPr>
            <w:r>
              <w:rPr>
                <w:b w:val="false"/>
                <w:bCs w:val="false"/>
                <w:color w:val="6B7280"/>
                <w:sz w:val="18"/>
                <w:szCs w:val="18"/>
              </w:rPr>
              <w:t xml:space="preserve">1:55 – 2:05</w:t>
            </w:r>
          </w:p>
        </w:tc>
        <w:tc>
          <w:tcPr>
            <w:tcW w:type="dxa" w:w="3700"/>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60"/>
            </w:pPr>
            <w:r>
              <w:rPr>
                <w:sz w:val="20"/>
                <w:szCs w:val="20"/>
              </w:rPr>
              <w:t xml:space="preserve">Glisser-déposer des trois fichiers de preuve. La liste des fichiers s'affiche.</w:t>
            </w:r>
          </w:p>
        </w:tc>
        <w:tc>
          <w:tcPr>
            <w:tcW w:type="dxa" w:w="4038"/>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60"/>
            </w:pPr>
            <w:r>
              <w:rPr>
                <w:i/>
                <w:iCs/>
                <w:sz w:val="20"/>
                <w:szCs w:val="20"/>
              </w:rPr>
              <w:t xml:space="preserve">« Elle joint ses preuves : les relevés bruts et le rapport final, côte à côte. »</w:t>
            </w:r>
          </w:p>
        </w:tc>
      </w:tr>
      <w:tr>
        <w:tc>
          <w:tcPr>
            <w:tcW w:type="dxa" w:w="1900"/>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40"/>
            </w:pPr>
            <w:r>
              <w:rPr>
                <w:b/>
                <w:bCs/>
                <w:color w:val="1F2937"/>
                <w:sz w:val="20"/>
                <w:szCs w:val="20"/>
              </w:rPr>
              <w:t xml:space="preserve">9 — Étape 7 : Mode</w:t>
            </w:r>
          </w:p>
          <w:p>
            <w:pPr>
              <w:spacing w:after="40"/>
            </w:pPr>
            <w:r>
              <w:rPr>
                <w:b w:val="false"/>
                <w:bCs w:val="false"/>
                <w:color w:val="6B7280"/>
                <w:sz w:val="18"/>
                <w:szCs w:val="18"/>
              </w:rPr>
              <w:t xml:space="preserve">2:05 – 2:20</w:t>
            </w:r>
          </w:p>
        </w:tc>
        <w:tc>
          <w:tcPr>
            <w:tcW w:type="dxa" w:w="3700"/>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b/>
                <w:bCs/>
                <w:sz w:val="20"/>
                <w:szCs w:val="20"/>
              </w:rPr>
              <w:t xml:space="preserve">Mode : </w:t>
            </w:r>
            <w:r>
              <w:rPr>
                <w:sz w:val="20"/>
                <w:szCs w:val="20"/>
              </w:rPr>
              <w:t xml:space="preserve">Anonyme. </w:t>
            </w:r>
            <w:r>
              <w:rPr>
                <w:sz w:val="20"/>
                <w:szCs w:val="20"/>
              </w:rPr>
              <w:t xml:space="preserve">Survol de l'option « Identifié » pour montrer qu'elle existe.</w:t>
            </w:r>
          </w:p>
        </w:tc>
        <w:tc>
          <w:tcPr>
            <w:tcW w:type="dxa" w:w="4038"/>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i/>
                <w:iCs/>
                <w:sz w:val="20"/>
                <w:szCs w:val="20"/>
              </w:rPr>
              <w:t xml:space="preserve">« Elle choisit le mode anonyme. Si elle s'identifiait, son identité serait chiffrée et réservée aux seuls agents habilités. »</w:t>
            </w:r>
          </w:p>
        </w:tc>
      </w:tr>
      <w:tr>
        <w:tc>
          <w:tcPr>
            <w:tcW w:type="dxa" w:w="1900"/>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40"/>
            </w:pPr>
            <w:r>
              <w:rPr>
                <w:b/>
                <w:bCs/>
                <w:color w:val="1F2937"/>
                <w:sz w:val="20"/>
                <w:szCs w:val="20"/>
              </w:rPr>
              <w:t xml:space="preserve">10 — Étape 8 : Envoi</w:t>
            </w:r>
          </w:p>
          <w:p>
            <w:pPr>
              <w:spacing w:after="40"/>
            </w:pPr>
            <w:r>
              <w:rPr>
                <w:b w:val="false"/>
                <w:bCs w:val="false"/>
                <w:color w:val="6B7280"/>
                <w:sz w:val="18"/>
                <w:szCs w:val="18"/>
              </w:rPr>
              <w:t xml:space="preserve">2:20 – 2:30</w:t>
            </w:r>
          </w:p>
        </w:tc>
        <w:tc>
          <w:tcPr>
            <w:tcW w:type="dxa" w:w="3700"/>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60"/>
            </w:pPr>
            <w:r>
              <w:rPr>
                <w:sz w:val="20"/>
                <w:szCs w:val="20"/>
              </w:rPr>
              <w:t xml:space="preserve">Récapitulatif à l'écran, case de certification cochée, clic sur « Envoyer le signalement ».</w:t>
            </w:r>
          </w:p>
        </w:tc>
        <w:tc>
          <w:tcPr>
            <w:tcW w:type="dxa" w:w="4038"/>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60"/>
            </w:pPr>
            <w:r>
              <w:rPr>
                <w:i/>
                <w:iCs/>
                <w:sz w:val="20"/>
                <w:szCs w:val="20"/>
              </w:rPr>
              <w:t xml:space="preserve">« Elle relit le récapitulatif, certifie sur l'honneur la sincérité des informations et envoie. »</w:t>
            </w:r>
          </w:p>
        </w:tc>
      </w:tr>
      <w:tr>
        <w:tc>
          <w:tcPr>
            <w:tcW w:type="dxa" w:w="1900"/>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40"/>
            </w:pPr>
            <w:r>
              <w:rPr>
                <w:b/>
                <w:bCs/>
                <w:color w:val="1F2937"/>
                <w:sz w:val="20"/>
                <w:szCs w:val="20"/>
              </w:rPr>
              <w:t xml:space="preserve">11 — Accusé de réception</w:t>
            </w:r>
          </w:p>
          <w:p>
            <w:pPr>
              <w:spacing w:after="40"/>
            </w:pPr>
            <w:r>
              <w:rPr>
                <w:b w:val="false"/>
                <w:bCs w:val="false"/>
                <w:color w:val="6B7280"/>
                <w:sz w:val="18"/>
                <w:szCs w:val="18"/>
              </w:rPr>
              <w:t xml:space="preserve">2:30 – 2:45</w:t>
            </w:r>
          </w:p>
        </w:tc>
        <w:tc>
          <w:tcPr>
            <w:tcW w:type="dxa" w:w="3700"/>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sz w:val="20"/>
                <w:szCs w:val="20"/>
              </w:rPr>
              <w:t xml:space="preserve">Page « Accusé de réception » : </w:t>
            </w:r>
            <w:r>
              <w:rPr>
                <w:b/>
                <w:bCs/>
                <w:sz w:val="20"/>
                <w:szCs w:val="20"/>
              </w:rPr>
              <w:t xml:space="preserve">référence SIG-ESURSI-2026-7F3A2C</w:t>
            </w:r>
            <w:r>
              <w:rPr>
                <w:sz w:val="20"/>
                <w:szCs w:val="20"/>
              </w:rPr>
              <w:t xml:space="preserve"> et </w:t>
            </w:r>
            <w:r>
              <w:rPr>
                <w:b/>
                <w:bCs/>
                <w:sz w:val="20"/>
                <w:szCs w:val="20"/>
              </w:rPr>
              <w:t xml:space="preserve">code de suivi 4F9A1C7E2B3D</w:t>
            </w:r>
            <w:r>
              <w:rPr>
                <w:sz w:val="20"/>
                <w:szCs w:val="20"/>
              </w:rPr>
              <w:t xml:space="preserve">. Clic sur « Télécharger en PDF ».</w:t>
            </w:r>
          </w:p>
        </w:tc>
        <w:tc>
          <w:tcPr>
            <w:tcW w:type="dxa" w:w="4038"/>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i/>
                <w:iCs/>
                <w:sz w:val="20"/>
                <w:szCs w:val="20"/>
              </w:rPr>
              <w:t xml:space="preserve">« Elle reçoit une référence et un code de suivi confidentiel. Ce code est sa seule clé d'accès au dossier : elle le conserve précieusement. »</w:t>
            </w:r>
          </w:p>
        </w:tc>
      </w:tr>
      <w:tr>
        <w:tc>
          <w:tcPr>
            <w:tcW w:type="dxa" w:w="1900"/>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40"/>
            </w:pPr>
            <w:r>
              <w:rPr>
                <w:b/>
                <w:bCs/>
                <w:color w:val="1F2937"/>
                <w:sz w:val="20"/>
                <w:szCs w:val="20"/>
              </w:rPr>
              <w:t xml:space="preserve">12 — Suivi du dossier</w:t>
            </w:r>
          </w:p>
          <w:p>
            <w:pPr>
              <w:spacing w:after="40"/>
            </w:pPr>
            <w:r>
              <w:rPr>
                <w:b w:val="false"/>
                <w:bCs w:val="false"/>
                <w:color w:val="6B7280"/>
                <w:sz w:val="18"/>
                <w:szCs w:val="18"/>
              </w:rPr>
              <w:t xml:space="preserve">2:45 – 3:05</w:t>
            </w:r>
          </w:p>
        </w:tc>
        <w:tc>
          <w:tcPr>
            <w:tcW w:type="dxa" w:w="3700"/>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60"/>
            </w:pPr>
            <w:r>
              <w:rPr>
                <w:sz w:val="20"/>
                <w:szCs w:val="20"/>
              </w:rPr>
              <w:t xml:space="preserve">Quelques jours plus tard : page « Suivre un signalement », saisie de la référence et du code. Frise : Reçu → En vérification → Recevable → Pris en charge → Investigation en cours. Un message de l'enquêteur demande les fichiers source de l'appareil.</w:t>
            </w:r>
          </w:p>
        </w:tc>
        <w:tc>
          <w:tcPr>
            <w:tcW w:type="dxa" w:w="4038"/>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60"/>
            </w:pPr>
            <w:r>
              <w:rPr>
                <w:i/>
                <w:iCs/>
                <w:sz w:val="20"/>
                <w:szCs w:val="20"/>
              </w:rPr>
              <w:t xml:space="preserve">« Elle suit l'avancement en toute confidentialité et peut échanger avec l'enquêteur via la messagerie sécurisée, sans jamais révéler son identité. »</w:t>
            </w:r>
          </w:p>
        </w:tc>
      </w:tr>
      <w:tr>
        <w:tc>
          <w:tcPr>
            <w:tcW w:type="dxa" w:w="1900"/>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40"/>
            </w:pPr>
            <w:r>
              <w:rPr>
                <w:b/>
                <w:bCs/>
                <w:color w:val="1F2937"/>
                <w:sz w:val="20"/>
                <w:szCs w:val="20"/>
              </w:rPr>
              <w:t xml:space="preserve">13 — Clôture</w:t>
            </w:r>
          </w:p>
          <w:p>
            <w:pPr>
              <w:spacing w:after="40"/>
            </w:pPr>
            <w:r>
              <w:rPr>
                <w:b w:val="false"/>
                <w:bCs w:val="false"/>
                <w:color w:val="6B7280"/>
                <w:sz w:val="18"/>
                <w:szCs w:val="18"/>
              </w:rPr>
              <w:t xml:space="preserve">3:05 – 3:20</w:t>
            </w:r>
          </w:p>
        </w:tc>
        <w:tc>
          <w:tcPr>
            <w:tcW w:type="dxa" w:w="3700"/>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sz w:val="20"/>
                <w:szCs w:val="20"/>
              </w:rPr>
              <w:t xml:space="preserve">Retour au laboratoire, puis carton final : logo ESURSI, adresse de la plateforme, slogan.</w:t>
            </w:r>
          </w:p>
        </w:tc>
        <w:tc>
          <w:tcPr>
            <w:tcW w:type="dxa" w:w="4038"/>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i/>
                <w:iCs/>
                <w:sz w:val="20"/>
                <w:szCs w:val="20"/>
              </w:rPr>
              <w:t xml:space="preserve">« Falsifier des résultats, c'est trahir la science et mettre des vies en danger. Vous êtes témoin ? Signalez-le, en toute sécurité. »</w:t>
            </w:r>
          </w:p>
        </w:tc>
      </w:tr>
    </w:tbl>
    <w:p>
      <w:pPr>
        <w:pStyle w:val="Heading1"/>
      </w:pPr>
      <w:r>
        <w:t xml:space="preserve">4. Texte à saisir dans le formulaire</w:t>
      </w:r>
    </w:p>
    <w:p>
      <w:pPr>
        <w:pStyle w:val="Heading2"/>
      </w:pPr>
      <w:r>
        <w:t xml:space="preserve">Objet du signalement</w:t>
      </w:r>
    </w:p>
    <w:p>
      <w:pPr>
        <w:spacing w:after="120" w:line="276"/>
      </w:pPr>
      <w:r>
        <w:t xml:space="preserve">Résultats d'analyses d'eau modifiés avant publication au CREE</w:t>
      </w:r>
    </w:p>
    <w:p>
      <w:pPr>
        <w:pStyle w:val="Heading2"/>
      </w:pPr>
      <w:r>
        <w:t xml:space="preserve">Description des faits</w:t>
      </w:r>
    </w:p>
    <w:p>
      <w:pPr>
        <w:spacing w:after="120" w:line="276"/>
      </w:pPr>
      <w:r>
        <w:t xml:space="preserve">Je travaille au Centre de Recherche en Eau et Environnement (CREE), au sein du laboratoire d'analyse de la qualité des eaux.</w:t>
      </w:r>
    </w:p>
    <w:p>
      <w:pPr>
        <w:spacing w:after="120" w:line="276"/>
      </w:pPr>
      <w:r>
        <w:t xml:space="preserve">Dans le cadre du projet de surveillance de la qualité de l'eau de la rivière N'djili, financé par une subvention publique, notre équipe a réalisé entre février et mai 2026 des analyses sur 48 échantillons prélevés en aval de la zone industrielle.</w:t>
      </w:r>
    </w:p>
    <w:p>
      <w:pPr>
        <w:spacing w:after="120" w:line="276"/>
      </w:pPr>
      <w:r>
        <w:t xml:space="preserve">Les résultats bruts enregistrés par l'appareil de mesure montrent des concentrations en plomb et en mercure supérieures aux seuils de potabilité pour 17 échantillons. Or, le rapport final transmis au comité de pilotage le 12 juin 2026 ne présente que 31 échantillons, tous conformes. Les 17 échantillons non conformes ont été écartés sans justification méthodologique, et les valeurs de deux autres échantillons ont été corrigées à la baisse.</w:t>
      </w:r>
    </w:p>
    <w:p>
      <w:pPr>
        <w:spacing w:after="120" w:line="276"/>
      </w:pPr>
      <w:r>
        <w:t xml:space="preserve">Lors d'une réunion d'équipe, le responsable du laboratoire a demandé que les « valeurs gênantes » soient retirées avant la publication, afin de ne pas compromettre le renouvellement du financement. Les chercheurs qui ont émis des réserves ont été écartés de la rédaction de l'article soumis à une revue scientifique.</w:t>
      </w:r>
    </w:p>
    <w:p>
      <w:pPr>
        <w:spacing w:after="120" w:line="276"/>
      </w:pPr>
      <w:r>
        <w:t xml:space="preserve">Ces faits faussent les conclusions de l'étude et peuvent exposer la population riveraine à un risque sanitaire. Je joins la comparaison entre les relevés bruts de l'appareil et les tableaux du rapport final.</w:t>
      </w:r>
    </w:p>
    <w:p>
      <w:pPr>
        <w:pStyle w:val="Heading1"/>
      </w:pPr>
      <w:r>
        <w:t xml:space="preserve">5. Après le dépôt : ce que montre la vidéo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1DB" w:sz="4"/>
              <w:left w:val="single" w:color="C9D1DB" w:sz="4"/>
              <w:bottom w:val="single" w:color="C9D1DB" w:sz="4"/>
              <w:right w:val="single" w:color="C9D1DB" w:sz="4"/>
            </w:tcBorders>
            <w:shd w:fill="007FFF" w:color="auto" w:val="clear"/>
            <w:tcMar>
              <w:top w:type="dxa" w:w="80"/>
              <w:left w:type="dxa" w:w="120"/>
              <w:bottom w:type="dxa" w:w="80"/>
              <w:right w:type="dxa" w:w="120"/>
            </w:tcMar>
          </w:tcPr>
          <w:p>
            <w:pPr>
              <w:spacing w:after="60"/>
            </w:pPr>
            <w:r>
              <w:rPr>
                <w:b/>
                <w:bCs/>
                <w:color w:val="FFFFFF"/>
                <w:sz w:val="20"/>
                <w:szCs w:val="20"/>
              </w:rPr>
              <w:t xml:space="preserve">Élément</w:t>
            </w:r>
          </w:p>
        </w:tc>
        <w:tc>
          <w:tcPr>
            <w:tcW w:type="dxa" w:w="7038"/>
            <w:tcBorders>
              <w:top w:val="single" w:color="C9D1DB" w:sz="4"/>
              <w:left w:val="single" w:color="C9D1DB" w:sz="4"/>
              <w:bottom w:val="single" w:color="C9D1DB" w:sz="4"/>
              <w:right w:val="single" w:color="C9D1DB" w:sz="4"/>
            </w:tcBorders>
            <w:shd w:fill="007FFF" w:color="auto" w:val="clear"/>
            <w:tcMar>
              <w:top w:type="dxa" w:w="80"/>
              <w:left w:type="dxa" w:w="120"/>
              <w:bottom w:type="dxa" w:w="80"/>
              <w:right w:type="dxa" w:w="120"/>
            </w:tcMar>
          </w:tcPr>
          <w:p>
            <w:pPr>
              <w:spacing w:after="60"/>
            </w:pPr>
            <w:r>
              <w:rPr>
                <w:b/>
                <w:bCs/>
                <w:color w:val="FFFFFF"/>
                <w:sz w:val="20"/>
                <w:szCs w:val="20"/>
              </w:rPr>
              <w:t xml:space="preserve">Valeur affichée (exemple)</w:t>
            </w:r>
          </w:p>
        </w:tc>
      </w:tr>
      <w:tr>
        <w:tc>
          <w:tcPr>
            <w:tcW w:type="dxa" w:w="2600"/>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sz w:val="20"/>
                <w:szCs w:val="20"/>
              </w:rPr>
              <w:t xml:space="preserve">Référence du dossier</w:t>
            </w:r>
          </w:p>
        </w:tc>
        <w:tc>
          <w:tcPr>
            <w:tcW w:type="dxa" w:w="7038"/>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sz w:val="20"/>
                <w:szCs w:val="20"/>
              </w:rPr>
              <w:t xml:space="preserve">SIG-ESURSI-2026-7F3A2C</w:t>
            </w:r>
          </w:p>
        </w:tc>
      </w:tr>
      <w:tr>
        <w:tc>
          <w:tcPr>
            <w:tcW w:type="dxa" w:w="2600"/>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60"/>
            </w:pPr>
            <w:r>
              <w:rPr>
                <w:sz w:val="20"/>
                <w:szCs w:val="20"/>
              </w:rPr>
              <w:t xml:space="preserve">Code de suivi</w:t>
            </w:r>
          </w:p>
        </w:tc>
        <w:tc>
          <w:tcPr>
            <w:tcW w:type="dxa" w:w="7038"/>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60"/>
            </w:pPr>
            <w:r>
              <w:rPr>
                <w:sz w:val="20"/>
                <w:szCs w:val="20"/>
              </w:rPr>
              <w:t xml:space="preserve">4F9A1C7E2B3D (à garder secret)</w:t>
            </w:r>
          </w:p>
        </w:tc>
      </w:tr>
      <w:tr>
        <w:tc>
          <w:tcPr>
            <w:tcW w:type="dxa" w:w="2600"/>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sz w:val="20"/>
                <w:szCs w:val="20"/>
              </w:rPr>
              <w:t xml:space="preserve">Statut initial</w:t>
            </w:r>
          </w:p>
        </w:tc>
        <w:tc>
          <w:tcPr>
            <w:tcW w:type="dxa" w:w="7038"/>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sz w:val="20"/>
                <w:szCs w:val="20"/>
              </w:rPr>
              <w:t xml:space="preserve">Reçu</w:t>
            </w:r>
          </w:p>
        </w:tc>
      </w:tr>
      <w:tr>
        <w:tc>
          <w:tcPr>
            <w:tcW w:type="dxa" w:w="2600"/>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60"/>
            </w:pPr>
            <w:r>
              <w:rPr>
                <w:sz w:val="20"/>
                <w:szCs w:val="20"/>
              </w:rPr>
              <w:t xml:space="preserve">Parcours montré</w:t>
            </w:r>
          </w:p>
        </w:tc>
        <w:tc>
          <w:tcPr>
            <w:tcW w:type="dxa" w:w="7038"/>
            <w:tcBorders>
              <w:top w:val="single" w:color="C9D1DB" w:sz="4"/>
              <w:left w:val="single" w:color="C9D1DB" w:sz="4"/>
              <w:bottom w:val="single" w:color="C9D1DB" w:sz="4"/>
              <w:right w:val="single" w:color="C9D1DB" w:sz="4"/>
            </w:tcBorders>
            <w:shd w:fill="F2F4F7" w:color="auto" w:val="clear"/>
            <w:tcMar>
              <w:top w:type="dxa" w:w="80"/>
              <w:left w:type="dxa" w:w="120"/>
              <w:bottom w:type="dxa" w:w="80"/>
              <w:right w:type="dxa" w:w="120"/>
            </w:tcMar>
          </w:tcPr>
          <w:p>
            <w:pPr>
              <w:spacing w:after="60"/>
            </w:pPr>
            <w:r>
              <w:rPr>
                <w:sz w:val="20"/>
                <w:szCs w:val="20"/>
              </w:rPr>
              <w:t xml:space="preserve">Reçu → En vérification → Recevable → Pris en charge → Investigation en cours</w:t>
            </w:r>
          </w:p>
        </w:tc>
      </w:tr>
      <w:tr>
        <w:tc>
          <w:tcPr>
            <w:tcW w:type="dxa" w:w="2600"/>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sz w:val="20"/>
                <w:szCs w:val="20"/>
              </w:rPr>
              <w:t xml:space="preserve">Message de l'enquêteur</w:t>
            </w:r>
          </w:p>
        </w:tc>
        <w:tc>
          <w:tcPr>
            <w:tcW w:type="dxa" w:w="7038"/>
            <w:tcBorders>
              <w:top w:val="single" w:color="C9D1DB" w:sz="4"/>
              <w:left w:val="single" w:color="C9D1DB" w:sz="4"/>
              <w:bottom w:val="single" w:color="C9D1DB" w:sz="4"/>
              <w:right w:val="single" w:color="C9D1DB" w:sz="4"/>
            </w:tcBorders>
            <w:tcMar>
              <w:top w:type="dxa" w:w="80"/>
              <w:left w:type="dxa" w:w="120"/>
              <w:bottom w:type="dxa" w:w="80"/>
              <w:right w:type="dxa" w:w="120"/>
            </w:tcMar>
          </w:tcPr>
          <w:p>
            <w:pPr>
              <w:spacing w:after="60"/>
            </w:pPr>
            <w:r>
              <w:rPr>
                <w:sz w:val="20"/>
                <w:szCs w:val="20"/>
              </w:rPr>
              <w:t xml:space="preserve">« Pourriez-vous transmettre les fichiers d'export de l'appareil de mesure (format d'origine) pour les 17 échantillons concernés ? »</w:t>
            </w:r>
          </w:p>
        </w:tc>
      </w:tr>
    </w:tbl>
    <w:p>
      <w:pPr>
        <w:spacing w:after="120" w:line="276"/>
      </w:pPr>
      <w:r>
        <w:t xml:space="preserve"/>
      </w:r>
    </w:p>
    <w:p>
      <w:pPr>
        <w:spacing w:after="120" w:line="276"/>
      </w:pPr>
      <w:r>
        <w:rPr>
          <w:b/>
          <w:bCs/>
        </w:rPr>
        <w:t xml:space="preserve">Note : </w:t>
      </w:r>
      <w:r>
        <w:t xml:space="preserve">la référence et le code réels sont générés par la plateforme au moment du dépôt. Lors du tournage en environnement de test, remplacez les valeurs ci-dessus par celles affichées à l'écran.</w:t>
      </w:r>
    </w:p>
    <w:p>
      <w:pPr>
        <w:pStyle w:val="Heading1"/>
      </w:pPr>
      <w:r>
        <w:t xml:space="preserve">6. Conseils de tournage</w:t>
      </w:r>
    </w:p>
    <w:p>
      <w:pPr>
        <w:pStyle w:val="ListParagraph"/>
        <w:numPr>
          <w:ilvl w:val="0"/>
          <w:numId w:val="2"/>
        </w:numPr>
        <w:spacing w:after="80"/>
      </w:pPr>
      <w:r>
        <w:t xml:space="preserve">Préparer les trois fichiers de preuve fictifs à l'avance, avec les noms indiqués dans la fiche.</w:t>
      </w:r>
    </w:p>
    <w:p>
      <w:pPr>
        <w:pStyle w:val="ListParagraph"/>
        <w:numPr>
          <w:ilvl w:val="0"/>
          <w:numId w:val="2"/>
        </w:numPr>
        <w:spacing w:after="80"/>
      </w:pPr>
      <w:r>
        <w:t xml:space="preserve">Créer au préalable, dans l'environnement de test, le dossier suivi jusqu'au statut « Investigation en cours » pour la séquence 12.</w:t>
      </w:r>
    </w:p>
    <w:p>
      <w:pPr>
        <w:pStyle w:val="ListParagraph"/>
        <w:numPr>
          <w:ilvl w:val="0"/>
          <w:numId w:val="2"/>
        </w:numPr>
        <w:spacing w:after="80"/>
      </w:pPr>
      <w:r>
        <w:t xml:space="preserve">Masquer toute donnée réelle (noms, adresses, numéros) visible à l'écran.</w:t>
      </w:r>
    </w:p>
    <w:p>
      <w:pPr>
        <w:pStyle w:val="ListParagraph"/>
        <w:numPr>
          <w:ilvl w:val="0"/>
          <w:numId w:val="2"/>
        </w:numPr>
        <w:spacing w:after="80"/>
      </w:pPr>
      <w:r>
        <w:t xml:space="preserve">Garder un rythme posé lors de la saisie : chaque étape doit rester lisible au moins 3 secondes.</w:t>
      </w:r>
    </w:p>
    <w:p>
      <w:pPr>
        <w:pStyle w:val="ListParagraph"/>
        <w:numPr>
          <w:ilvl w:val="0"/>
          <w:numId w:val="2"/>
        </w:numPr>
        <w:spacing w:after="80"/>
      </w:pPr>
      <w:r>
        <w:t xml:space="preserve">Mettre en avant les messages clés : anonymat possible, identité chiffrée, code de suivi confidentiel, messagerie sécurisée.</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Scénario fictif à usage pédagogique — Page </w:t>
    </w:r>
    <w:r>
      <w:rPr>
        <w:color w:val="6B7280"/>
        <w:sz w:val="16"/>
        <w:szCs w:val="16"/>
      </w:rPr>
      <w:fldChar w:fldCharType="begin"/>
    </w:r>
    <w:r>
      <w:rPr>
        <w:color w:val="6B7280"/>
        <w:sz w:val="16"/>
        <w:szCs w:val="16"/>
      </w:rPr>
      <w:instrText xml:space="preserve">PAGE</w:instrText>
    </w:r>
    <w:r>
      <w:rPr>
        <w:color w:val="6B7280"/>
        <w:sz w:val="16"/>
        <w:szCs w:val="16"/>
      </w:rPr>
      <w:fldChar w:fldCharType="separate"/>
    </w:r>
    <w:r>
      <w:rPr>
        <w:color w:val="6B72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Ministère ESURSI — Plateforme de signalement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7D618" w:sz="12" w:space="4"/>
      </w:pBdr>
      <w:spacing w:after="160" w:before="320"/>
      <w:outlineLvl w:val="0"/>
    </w:pPr>
    <w:rPr>
      <w:rFonts w:ascii="Arial" w:cs="Arial" w:eastAsia="Arial" w:hAnsi="Arial"/>
      <w:b/>
      <w:bCs/>
      <w:color w:val="007FF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CE1021"/>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Scénario vidéo — Signalement CREE</dc:title>
  <dc:creator>Ministère ESURSI</dc:creator>
  <cp:lastModifiedBy>Un-named</cp:lastModifiedBy>
  <cp:revision>1</cp:revision>
  <dcterms:created xsi:type="dcterms:W3CDTF">2026-10-22T08:56:00.780Z</dcterms:created>
  <dcterms:modified xsi:type="dcterms:W3CDTF">2026-10-22T08:56:00.781Z</dcterms:modified>
</cp:coreProperties>
</file>

<file path=docProps/custom.xml><?xml version="1.0" encoding="utf-8"?>
<Properties xmlns="http://schemas.openxmlformats.org/officeDocument/2006/custom-properties" xmlns:vt="http://schemas.openxmlformats.org/officeDocument/2006/docPropsVTypes"/>
</file>