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0FD9" w14:textId="6D7462DF" w:rsidR="00F94AC9" w:rsidRPr="003B5359" w:rsidRDefault="003B5359" w:rsidP="003B5359">
      <w:pPr>
        <w:jc w:val="both"/>
        <w:rPr>
          <w:rFonts w:ascii="Times New Roman" w:hAnsi="Times New Roman" w:cs="Times New Roman"/>
          <w:b/>
          <w:bCs/>
        </w:rPr>
      </w:pPr>
      <w:r w:rsidRPr="003B5359">
        <w:rPr>
          <w:rFonts w:ascii="Times New Roman" w:hAnsi="Times New Roman" w:cs="Times New Roman"/>
          <w:b/>
          <w:bCs/>
        </w:rPr>
        <w:t>APRESENTAÇÃO</w:t>
      </w:r>
    </w:p>
    <w:p w14:paraId="7EE7F8B5" w14:textId="77777777" w:rsidR="00F94AC9" w:rsidRPr="00F94AC9" w:rsidRDefault="00F94AC9" w:rsidP="003B5359">
      <w:pPr>
        <w:jc w:val="both"/>
        <w:rPr>
          <w:rFonts w:ascii="Times New Roman" w:hAnsi="Times New Roman" w:cs="Times New Roman"/>
          <w:b/>
          <w:bCs/>
        </w:rPr>
      </w:pPr>
      <w:r w:rsidRPr="00F94AC9">
        <w:rPr>
          <w:rFonts w:ascii="Times New Roman" w:hAnsi="Times New Roman" w:cs="Times New Roman"/>
          <w:b/>
          <w:bCs/>
        </w:rPr>
        <w:t>Entre Acordes e Oficinas:</w:t>
      </w:r>
    </w:p>
    <w:p w14:paraId="243D21C8" w14:textId="77777777" w:rsidR="00F94AC9" w:rsidRPr="00F94AC9" w:rsidRDefault="00F94AC9" w:rsidP="003B5359">
      <w:pPr>
        <w:jc w:val="both"/>
        <w:rPr>
          <w:rFonts w:ascii="Times New Roman" w:hAnsi="Times New Roman" w:cs="Times New Roman"/>
          <w:b/>
          <w:bCs/>
        </w:rPr>
      </w:pPr>
      <w:r w:rsidRPr="00F94AC9">
        <w:rPr>
          <w:rFonts w:ascii="Times New Roman" w:hAnsi="Times New Roman" w:cs="Times New Roman"/>
          <w:b/>
          <w:bCs/>
        </w:rPr>
        <w:t>linha do tempo interativa da música brasileira popular e da educação profissional e tecnológica</w:t>
      </w:r>
    </w:p>
    <w:p w14:paraId="5845AA08" w14:textId="77777777" w:rsidR="00F94AC9" w:rsidRPr="00F94AC9" w:rsidRDefault="009D5B72" w:rsidP="003B53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690B7D">
          <v:rect id="_x0000_i1025" style="width:0;height:1.5pt" o:hralign="center" o:hrstd="t" o:hr="t" fillcolor="#a0a0a0" stroked="f"/>
        </w:pict>
      </w:r>
    </w:p>
    <w:p w14:paraId="0398CD7A" w14:textId="77777777" w:rsidR="00F94AC9" w:rsidRPr="00F94AC9" w:rsidRDefault="00F94AC9" w:rsidP="003B5359">
      <w:p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</w:rPr>
        <w:t xml:space="preserve">Esta linha do tempo não foi concebida como uma cronologia convencional. Mais do que organizar datas, reformas ou estilos musicais, propõe uma </w:t>
      </w:r>
      <w:r w:rsidRPr="00F94AC9">
        <w:rPr>
          <w:rFonts w:ascii="Times New Roman" w:hAnsi="Times New Roman" w:cs="Times New Roman"/>
          <w:b/>
          <w:bCs/>
        </w:rPr>
        <w:t>leitura crítica do Brasil</w:t>
      </w:r>
      <w:r w:rsidRPr="00F94AC9">
        <w:rPr>
          <w:rFonts w:ascii="Times New Roman" w:hAnsi="Times New Roman" w:cs="Times New Roman"/>
        </w:rPr>
        <w:t xml:space="preserve"> a partir do encontro entre Educação Profissional e Tecnológica, mundo do trabalho e música popular brasileira.</w:t>
      </w:r>
    </w:p>
    <w:p w14:paraId="180F6943" w14:textId="77777777" w:rsidR="00F94AC9" w:rsidRPr="00F94AC9" w:rsidRDefault="00F94AC9" w:rsidP="003B5359">
      <w:p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</w:rPr>
        <w:t>Nesse contexto, escola, trabalho e cultura não são tratados como campos isolados, mas como dimensões interdependentes da experiência histórica de um mesmo sujeito — que atravessa territórios, tempos e expressões musicais diversas, como os maracatus nordestinos, os sambas urbanos, as toadas ribeirinhas e o hip hop da floresta.</w:t>
      </w:r>
    </w:p>
    <w:p w14:paraId="2245DBB3" w14:textId="77777777" w:rsidR="00F94AC9" w:rsidRPr="00F94AC9" w:rsidRDefault="009D5B72" w:rsidP="003B53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EAA615">
          <v:rect id="_x0000_i1026" style="width:0;height:1.5pt" o:hralign="center" o:hrstd="t" o:hr="t" fillcolor="#a0a0a0" stroked="f"/>
        </w:pict>
      </w:r>
    </w:p>
    <w:p w14:paraId="6D0A29E2" w14:textId="77777777" w:rsidR="00F94AC9" w:rsidRPr="00F94AC9" w:rsidRDefault="00F94AC9" w:rsidP="003B5359">
      <w:pPr>
        <w:jc w:val="both"/>
        <w:rPr>
          <w:rFonts w:ascii="Times New Roman" w:hAnsi="Times New Roman" w:cs="Times New Roman"/>
          <w:b/>
          <w:bCs/>
        </w:rPr>
      </w:pPr>
      <w:r w:rsidRPr="00F94AC9">
        <w:rPr>
          <w:rFonts w:ascii="Times New Roman" w:hAnsi="Times New Roman" w:cs="Times New Roman"/>
          <w:b/>
          <w:bCs/>
        </w:rPr>
        <w:t>Proposta central</w:t>
      </w:r>
    </w:p>
    <w:p w14:paraId="39F5A45C" w14:textId="77777777" w:rsidR="00F94AC9" w:rsidRPr="00F94AC9" w:rsidRDefault="00F94AC9" w:rsidP="003B5359">
      <w:p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</w:rPr>
        <w:t xml:space="preserve">Trata-se de uma linha do tempo interativa que articula </w:t>
      </w:r>
      <w:r w:rsidRPr="00F94AC9">
        <w:rPr>
          <w:rFonts w:ascii="Times New Roman" w:hAnsi="Times New Roman" w:cs="Times New Roman"/>
          <w:b/>
          <w:bCs/>
        </w:rPr>
        <w:t>Educação Profissional e Tecnológica</w:t>
      </w:r>
      <w:r w:rsidRPr="00F94AC9">
        <w:rPr>
          <w:rFonts w:ascii="Times New Roman" w:hAnsi="Times New Roman" w:cs="Times New Roman"/>
        </w:rPr>
        <w:t xml:space="preserve">, </w:t>
      </w:r>
      <w:r w:rsidRPr="00F94AC9">
        <w:rPr>
          <w:rFonts w:ascii="Times New Roman" w:hAnsi="Times New Roman" w:cs="Times New Roman"/>
          <w:b/>
          <w:bCs/>
        </w:rPr>
        <w:t>mundo do trabalho</w:t>
      </w:r>
      <w:r w:rsidRPr="00F94AC9">
        <w:rPr>
          <w:rFonts w:ascii="Times New Roman" w:hAnsi="Times New Roman" w:cs="Times New Roman"/>
        </w:rPr>
        <w:t xml:space="preserve"> e </w:t>
      </w:r>
      <w:r w:rsidRPr="00F94AC9">
        <w:rPr>
          <w:rFonts w:ascii="Times New Roman" w:hAnsi="Times New Roman" w:cs="Times New Roman"/>
          <w:b/>
          <w:bCs/>
        </w:rPr>
        <w:t>música brasileira popular</w:t>
      </w:r>
      <w:r w:rsidRPr="00F94AC9">
        <w:rPr>
          <w:rFonts w:ascii="Times New Roman" w:hAnsi="Times New Roman" w:cs="Times New Roman"/>
        </w:rPr>
        <w:t>, compreendida em sentido ampliado — incluindo matrizes indígenas, nordestinas, regionais, periféricas e urbanas, sem restrição ao gênero MPB.</w:t>
      </w:r>
    </w:p>
    <w:p w14:paraId="1FAF2E92" w14:textId="77777777" w:rsidR="00F94AC9" w:rsidRPr="00F94AC9" w:rsidRDefault="009D5B72" w:rsidP="003B53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F24E24">
          <v:rect id="_x0000_i1027" style="width:0;height:1.5pt" o:hralign="center" o:hrstd="t" o:hr="t" fillcolor="#a0a0a0" stroked="f"/>
        </w:pict>
      </w:r>
    </w:p>
    <w:p w14:paraId="1E9A6604" w14:textId="77777777" w:rsidR="00F94AC9" w:rsidRPr="00F94AC9" w:rsidRDefault="00F94AC9" w:rsidP="003B5359">
      <w:pPr>
        <w:jc w:val="both"/>
        <w:rPr>
          <w:rFonts w:ascii="Times New Roman" w:hAnsi="Times New Roman" w:cs="Times New Roman"/>
          <w:b/>
          <w:bCs/>
        </w:rPr>
      </w:pPr>
      <w:r w:rsidRPr="00F94AC9">
        <w:rPr>
          <w:rFonts w:ascii="Times New Roman" w:hAnsi="Times New Roman" w:cs="Times New Roman"/>
          <w:b/>
          <w:bCs/>
        </w:rPr>
        <w:t>O Prelúdio Ancestral</w:t>
      </w:r>
    </w:p>
    <w:p w14:paraId="24486C2A" w14:textId="77777777" w:rsidR="00F94AC9" w:rsidRPr="00F94AC9" w:rsidRDefault="00F94AC9" w:rsidP="003B5359">
      <w:p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</w:rPr>
        <w:t xml:space="preserve">O primeiro bloco não se inicia em 1909, mas em um “antes” radical: os </w:t>
      </w:r>
      <w:r w:rsidRPr="00F94AC9">
        <w:rPr>
          <w:rFonts w:ascii="Times New Roman" w:hAnsi="Times New Roman" w:cs="Times New Roman"/>
          <w:b/>
          <w:bCs/>
        </w:rPr>
        <w:t>saberes indígenas de escuta, fabricação e canto</w:t>
      </w:r>
      <w:r w:rsidRPr="00F94AC9">
        <w:rPr>
          <w:rFonts w:ascii="Times New Roman" w:hAnsi="Times New Roman" w:cs="Times New Roman"/>
        </w:rPr>
        <w:t>. Tais práticas, historicamente desconsideradas pelo Estado como formas de técnica, constituem fundamentos essenciais para a compreensão de outras narrativas sobre trabalho e criação no Brasil.</w:t>
      </w:r>
    </w:p>
    <w:p w14:paraId="096A5064" w14:textId="77777777" w:rsidR="00F94AC9" w:rsidRPr="00F94AC9" w:rsidRDefault="009D5B72" w:rsidP="003B53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ACA51A">
          <v:rect id="_x0000_i1028" style="width:0;height:1.5pt" o:hralign="center" o:hrstd="t" o:hr="t" fillcolor="#a0a0a0" stroked="f"/>
        </w:pict>
      </w:r>
    </w:p>
    <w:p w14:paraId="4E9ACA98" w14:textId="77777777" w:rsidR="00F94AC9" w:rsidRPr="00F94AC9" w:rsidRDefault="00F94AC9" w:rsidP="003B5359">
      <w:pPr>
        <w:jc w:val="both"/>
        <w:rPr>
          <w:rFonts w:ascii="Times New Roman" w:hAnsi="Times New Roman" w:cs="Times New Roman"/>
          <w:b/>
          <w:bCs/>
        </w:rPr>
      </w:pPr>
      <w:r w:rsidRPr="00F94AC9">
        <w:rPr>
          <w:rFonts w:ascii="Times New Roman" w:hAnsi="Times New Roman" w:cs="Times New Roman"/>
          <w:b/>
          <w:bCs/>
        </w:rPr>
        <w:t>O sujeito da história</w:t>
      </w:r>
    </w:p>
    <w:p w14:paraId="235B00E3" w14:textId="77777777" w:rsidR="00F94AC9" w:rsidRPr="00F94AC9" w:rsidRDefault="00F94AC9" w:rsidP="003B5359">
      <w:p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</w:rPr>
        <w:t xml:space="preserve">O sujeito histórico é o jovem trabalhador — frequentemente pobre, negro, indígena ou periférico — que se constitui, simultaneamente, como </w:t>
      </w:r>
      <w:r w:rsidRPr="00F94AC9">
        <w:rPr>
          <w:rFonts w:ascii="Times New Roman" w:hAnsi="Times New Roman" w:cs="Times New Roman"/>
          <w:b/>
          <w:bCs/>
        </w:rPr>
        <w:t>alvo de processos de disciplinamento institucional</w:t>
      </w:r>
      <w:r w:rsidRPr="00F94AC9">
        <w:rPr>
          <w:rFonts w:ascii="Times New Roman" w:hAnsi="Times New Roman" w:cs="Times New Roman"/>
        </w:rPr>
        <w:t xml:space="preserve"> e como </w:t>
      </w:r>
      <w:r w:rsidRPr="00F94AC9">
        <w:rPr>
          <w:rFonts w:ascii="Times New Roman" w:hAnsi="Times New Roman" w:cs="Times New Roman"/>
          <w:b/>
          <w:bCs/>
        </w:rPr>
        <w:t>autor de criação, linguagem e memória</w:t>
      </w:r>
      <w:r w:rsidRPr="00F94AC9">
        <w:rPr>
          <w:rFonts w:ascii="Times New Roman" w:hAnsi="Times New Roman" w:cs="Times New Roman"/>
        </w:rPr>
        <w:t>.</w:t>
      </w:r>
    </w:p>
    <w:p w14:paraId="753DCBDE" w14:textId="77777777" w:rsidR="00F94AC9" w:rsidRPr="00F94AC9" w:rsidRDefault="00F94AC9" w:rsidP="003B5359">
      <w:p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</w:rPr>
        <w:t>A mão que aprende o ofício é também a que inventa ritmo, verso e técnica, seja na oficina, no engenho, à beira do rio ou nos espaços urbanos da cultura popular.</w:t>
      </w:r>
    </w:p>
    <w:p w14:paraId="5EC307D2" w14:textId="77777777" w:rsidR="00F94AC9" w:rsidRPr="00F94AC9" w:rsidRDefault="009D5B72" w:rsidP="003B53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46B12F">
          <v:rect id="_x0000_i1029" style="width:0;height:1.5pt" o:hralign="center" o:hrstd="t" o:hr="t" fillcolor="#a0a0a0" stroked="f"/>
        </w:pict>
      </w:r>
    </w:p>
    <w:p w14:paraId="7B0FED02" w14:textId="77777777" w:rsidR="00F94AC9" w:rsidRPr="00F94AC9" w:rsidRDefault="00F94AC9" w:rsidP="003B5359">
      <w:pPr>
        <w:jc w:val="both"/>
        <w:rPr>
          <w:rFonts w:ascii="Times New Roman" w:hAnsi="Times New Roman" w:cs="Times New Roman"/>
          <w:b/>
          <w:bCs/>
        </w:rPr>
      </w:pPr>
      <w:r w:rsidRPr="00F94AC9">
        <w:rPr>
          <w:rFonts w:ascii="Times New Roman" w:hAnsi="Times New Roman" w:cs="Times New Roman"/>
          <w:b/>
          <w:bCs/>
        </w:rPr>
        <w:t>Música como documento histórico</w:t>
      </w:r>
    </w:p>
    <w:p w14:paraId="2D04713F" w14:textId="77777777" w:rsidR="00F94AC9" w:rsidRPr="00F94AC9" w:rsidRDefault="00F94AC9" w:rsidP="003B5359">
      <w:p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</w:rPr>
        <w:t>A música é compreendida como um documento histórico que registra conflitos frequentemente silenciados pelos arquivos oficiais: racismo, desigualdade social, precarização do trabalho, resistência e invenção cotidiana.</w:t>
      </w:r>
    </w:p>
    <w:p w14:paraId="1E7939C2" w14:textId="77777777" w:rsidR="00F94AC9" w:rsidRPr="00F94AC9" w:rsidRDefault="00F94AC9" w:rsidP="003B5359">
      <w:p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</w:rPr>
        <w:t>Do repente nordestino ao marabaixo amazônico, do samba urbano ao carimbó, escutar uma canção implica também interpretar uma sociedade.</w:t>
      </w:r>
    </w:p>
    <w:p w14:paraId="2BA97FF9" w14:textId="77777777" w:rsidR="00F94AC9" w:rsidRPr="00F94AC9" w:rsidRDefault="009D5B72" w:rsidP="003B53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10830A4">
          <v:rect id="_x0000_i1030" style="width:0;height:1.5pt" o:hralign="center" o:hrstd="t" o:hr="t" fillcolor="#a0a0a0" stroked="f"/>
        </w:pict>
      </w:r>
    </w:p>
    <w:p w14:paraId="209F4BA6" w14:textId="77777777" w:rsidR="00F94AC9" w:rsidRPr="00F94AC9" w:rsidRDefault="00F94AC9" w:rsidP="003B5359">
      <w:pPr>
        <w:jc w:val="both"/>
        <w:rPr>
          <w:rFonts w:ascii="Times New Roman" w:hAnsi="Times New Roman" w:cs="Times New Roman"/>
          <w:b/>
          <w:bCs/>
        </w:rPr>
      </w:pPr>
      <w:r w:rsidRPr="00F94AC9">
        <w:rPr>
          <w:rFonts w:ascii="Times New Roman" w:hAnsi="Times New Roman" w:cs="Times New Roman"/>
          <w:b/>
          <w:bCs/>
        </w:rPr>
        <w:t>Técnica ampliada</w:t>
      </w:r>
    </w:p>
    <w:p w14:paraId="1A25F121" w14:textId="77777777" w:rsidR="00F94AC9" w:rsidRPr="00F94AC9" w:rsidRDefault="00F94AC9" w:rsidP="003B5359">
      <w:p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</w:rPr>
        <w:t xml:space="preserve">A noção de técnica ultrapassa o espaço formal de aprendizagem (oficina, laboratório, currículo) e se manifesta nos </w:t>
      </w:r>
      <w:r w:rsidRPr="00F94AC9">
        <w:rPr>
          <w:rFonts w:ascii="Times New Roman" w:hAnsi="Times New Roman" w:cs="Times New Roman"/>
          <w:b/>
          <w:bCs/>
        </w:rPr>
        <w:t>saberes corporais</w:t>
      </w:r>
      <w:r w:rsidRPr="00F94AC9">
        <w:rPr>
          <w:rFonts w:ascii="Times New Roman" w:hAnsi="Times New Roman" w:cs="Times New Roman"/>
        </w:rPr>
        <w:t>, na composição, na improvisação, na gestão coletiva da vida e nas soluções produzidas por diferentes territórios — indígenas, ribeirinhos, quilombolas e periféricos.</w:t>
      </w:r>
    </w:p>
    <w:p w14:paraId="3CA03FF4" w14:textId="77777777" w:rsidR="00F94AC9" w:rsidRPr="00F94AC9" w:rsidRDefault="009D5B72" w:rsidP="003B53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3ED1E1">
          <v:rect id="_x0000_i1031" style="width:0;height:1.5pt" o:hralign="center" o:hrstd="t" o:hr="t" fillcolor="#a0a0a0" stroked="f"/>
        </w:pict>
      </w:r>
    </w:p>
    <w:p w14:paraId="6AC2399F" w14:textId="77777777" w:rsidR="00F94AC9" w:rsidRPr="00F94AC9" w:rsidRDefault="00F94AC9" w:rsidP="003B5359">
      <w:pPr>
        <w:jc w:val="both"/>
        <w:rPr>
          <w:rFonts w:ascii="Times New Roman" w:hAnsi="Times New Roman" w:cs="Times New Roman"/>
          <w:b/>
          <w:bCs/>
        </w:rPr>
      </w:pPr>
      <w:r w:rsidRPr="00F94AC9">
        <w:rPr>
          <w:rFonts w:ascii="Times New Roman" w:hAnsi="Times New Roman" w:cs="Times New Roman"/>
          <w:b/>
          <w:bCs/>
        </w:rPr>
        <w:t>Estrutura da linha do tempo</w:t>
      </w:r>
    </w:p>
    <w:p w14:paraId="38297BA1" w14:textId="77777777" w:rsidR="00F94AC9" w:rsidRPr="00F94AC9" w:rsidRDefault="00F94AC9" w:rsidP="003B53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</w:rPr>
        <w:t xml:space="preserve">Organização em </w:t>
      </w:r>
      <w:r w:rsidRPr="00F94AC9">
        <w:rPr>
          <w:rFonts w:ascii="Times New Roman" w:hAnsi="Times New Roman" w:cs="Times New Roman"/>
          <w:b/>
          <w:bCs/>
        </w:rPr>
        <w:t>blocos não lineares</w:t>
      </w:r>
      <w:r w:rsidRPr="00F94AC9">
        <w:rPr>
          <w:rFonts w:ascii="Times New Roman" w:hAnsi="Times New Roman" w:cs="Times New Roman"/>
        </w:rPr>
        <w:t xml:space="preserve">, iniciando no </w:t>
      </w:r>
      <w:r w:rsidRPr="00F94AC9">
        <w:rPr>
          <w:rFonts w:ascii="Times New Roman" w:hAnsi="Times New Roman" w:cs="Times New Roman"/>
          <w:i/>
          <w:iCs/>
        </w:rPr>
        <w:t>Prelúdio Ancestral</w:t>
      </w:r>
    </w:p>
    <w:p w14:paraId="2A78946D" w14:textId="77777777" w:rsidR="00F94AC9" w:rsidRPr="00F94AC9" w:rsidRDefault="00F94AC9" w:rsidP="003B53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</w:rPr>
        <w:t xml:space="preserve">Cada bloco contempla: </w:t>
      </w:r>
      <w:r w:rsidRPr="00F94AC9">
        <w:rPr>
          <w:rFonts w:ascii="Times New Roman" w:hAnsi="Times New Roman" w:cs="Times New Roman"/>
          <w:b/>
          <w:bCs/>
        </w:rPr>
        <w:t>Contexto | Educação | Trabalho | Música | Apreciação musical | Conexão | Saiba mais</w:t>
      </w:r>
    </w:p>
    <w:p w14:paraId="6EE2D144" w14:textId="77777777" w:rsidR="00F94AC9" w:rsidRPr="00F94AC9" w:rsidRDefault="00F94AC9" w:rsidP="003B53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</w:rPr>
        <w:t xml:space="preserve">Leitura </w:t>
      </w:r>
      <w:r w:rsidRPr="00F94AC9">
        <w:rPr>
          <w:rFonts w:ascii="Times New Roman" w:hAnsi="Times New Roman" w:cs="Times New Roman"/>
          <w:b/>
          <w:bCs/>
        </w:rPr>
        <w:t>transversal</w:t>
      </w:r>
      <w:r w:rsidRPr="00F94AC9">
        <w:rPr>
          <w:rFonts w:ascii="Times New Roman" w:hAnsi="Times New Roman" w:cs="Times New Roman"/>
        </w:rPr>
        <w:t>, permitindo percursos sequenciais ou independentes</w:t>
      </w:r>
    </w:p>
    <w:p w14:paraId="0E831C56" w14:textId="77777777" w:rsidR="00F94AC9" w:rsidRPr="00F94AC9" w:rsidRDefault="00F94AC9" w:rsidP="003B53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</w:rPr>
        <w:t>Estrutura aberta, passível de ampliação contínua</w:t>
      </w:r>
    </w:p>
    <w:p w14:paraId="56E2C1D1" w14:textId="77777777" w:rsidR="00F94AC9" w:rsidRPr="00F94AC9" w:rsidRDefault="00F94AC9" w:rsidP="003B5359">
      <w:p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</w:rPr>
        <w:t>Destaca-se que o Bloco 7 antecipa novas problematizações, ao evocar a técnica na beira do rio, a antena no interior e o hip hop da floresta.</w:t>
      </w:r>
    </w:p>
    <w:p w14:paraId="54326011" w14:textId="77777777" w:rsidR="00F94AC9" w:rsidRPr="00F94AC9" w:rsidRDefault="009D5B72" w:rsidP="003B53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067775">
          <v:rect id="_x0000_i1032" style="width:0;height:1.5pt" o:hralign="center" o:hrstd="t" o:hr="t" fillcolor="#a0a0a0" stroked="f"/>
        </w:pict>
      </w:r>
    </w:p>
    <w:p w14:paraId="2B9C50A8" w14:textId="77777777" w:rsidR="00F94AC9" w:rsidRPr="00F94AC9" w:rsidRDefault="00F94AC9" w:rsidP="003B5359">
      <w:pPr>
        <w:jc w:val="both"/>
        <w:rPr>
          <w:rFonts w:ascii="Times New Roman" w:hAnsi="Times New Roman" w:cs="Times New Roman"/>
          <w:b/>
          <w:bCs/>
        </w:rPr>
      </w:pPr>
      <w:r w:rsidRPr="00F94AC9">
        <w:rPr>
          <w:rFonts w:ascii="Times New Roman" w:hAnsi="Times New Roman" w:cs="Times New Roman"/>
          <w:b/>
          <w:bCs/>
        </w:rPr>
        <w:t>Quatro dimensões evidenciadas</w:t>
      </w:r>
    </w:p>
    <w:p w14:paraId="26CF06C3" w14:textId="77777777" w:rsidR="00F94AC9" w:rsidRPr="00F94AC9" w:rsidRDefault="00F94AC9" w:rsidP="003B53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  <w:b/>
          <w:bCs/>
        </w:rPr>
        <w:t>Historicidade</w:t>
      </w:r>
      <w:r w:rsidRPr="00F94AC9">
        <w:rPr>
          <w:rFonts w:ascii="Times New Roman" w:hAnsi="Times New Roman" w:cs="Times New Roman"/>
        </w:rPr>
        <w:t xml:space="preserve"> da formação profissional no Brasil</w:t>
      </w:r>
    </w:p>
    <w:p w14:paraId="6F43367C" w14:textId="77777777" w:rsidR="00F94AC9" w:rsidRPr="00F94AC9" w:rsidRDefault="00F94AC9" w:rsidP="003B53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  <w:b/>
          <w:bCs/>
        </w:rPr>
        <w:t>Dualidade educativa</w:t>
      </w:r>
      <w:r w:rsidRPr="00F94AC9">
        <w:rPr>
          <w:rFonts w:ascii="Times New Roman" w:hAnsi="Times New Roman" w:cs="Times New Roman"/>
        </w:rPr>
        <w:t xml:space="preserve"> (saber de direção × saber de execução)</w:t>
      </w:r>
    </w:p>
    <w:p w14:paraId="008E367A" w14:textId="77777777" w:rsidR="00F94AC9" w:rsidRPr="00F94AC9" w:rsidRDefault="00F94AC9" w:rsidP="003B53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  <w:b/>
          <w:bCs/>
        </w:rPr>
        <w:t>Cultura popular</w:t>
      </w:r>
      <w:r w:rsidRPr="00F94AC9">
        <w:rPr>
          <w:rFonts w:ascii="Times New Roman" w:hAnsi="Times New Roman" w:cs="Times New Roman"/>
        </w:rPr>
        <w:t xml:space="preserve"> como forma legítima de conhecimento</w:t>
      </w:r>
    </w:p>
    <w:p w14:paraId="6ACC8A82" w14:textId="77777777" w:rsidR="00F94AC9" w:rsidRPr="00F94AC9" w:rsidRDefault="00F94AC9" w:rsidP="003B53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  <w:b/>
          <w:bCs/>
        </w:rPr>
        <w:t>Protagonismo de sujeitos e territórios marginalizados</w:t>
      </w:r>
      <w:r w:rsidRPr="00F94AC9">
        <w:rPr>
          <w:rFonts w:ascii="Times New Roman" w:hAnsi="Times New Roman" w:cs="Times New Roman"/>
        </w:rPr>
        <w:t>, incluindo populações negras, indígenas, mulheres e periferias urbanas, bem como saberes amazônicos</w:t>
      </w:r>
    </w:p>
    <w:p w14:paraId="43EA932A" w14:textId="77777777" w:rsidR="00F94AC9" w:rsidRPr="00F94AC9" w:rsidRDefault="009D5B72" w:rsidP="003B53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21B1B9">
          <v:rect id="_x0000_i1033" style="width:0;height:1.5pt" o:hralign="center" o:hrstd="t" o:hr="t" fillcolor="#a0a0a0" stroked="f"/>
        </w:pict>
      </w:r>
    </w:p>
    <w:p w14:paraId="191C93E4" w14:textId="77777777" w:rsidR="00F94AC9" w:rsidRPr="00F94AC9" w:rsidRDefault="00F94AC9" w:rsidP="003B5359">
      <w:pPr>
        <w:jc w:val="both"/>
        <w:rPr>
          <w:rFonts w:ascii="Times New Roman" w:hAnsi="Times New Roman" w:cs="Times New Roman"/>
          <w:b/>
          <w:bCs/>
        </w:rPr>
      </w:pPr>
      <w:r w:rsidRPr="00F94AC9">
        <w:rPr>
          <w:rFonts w:ascii="Times New Roman" w:hAnsi="Times New Roman" w:cs="Times New Roman"/>
          <w:b/>
          <w:bCs/>
        </w:rPr>
        <w:t>Pergunta orientadora</w:t>
      </w:r>
    </w:p>
    <w:p w14:paraId="78625F4D" w14:textId="77777777" w:rsidR="00F94AC9" w:rsidRPr="00F94AC9" w:rsidRDefault="00F94AC9" w:rsidP="003B5359">
      <w:p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</w:rPr>
        <w:t>Se as mãos que operam a máquina são as mesmas que produzem cultura — tocando instrumentos, tecendo, cantando ou criando —, em que ponto se estabelece a distinção entre formação técnica e criação?</w:t>
      </w:r>
    </w:p>
    <w:p w14:paraId="70EF0621" w14:textId="77777777" w:rsidR="00F94AC9" w:rsidRPr="00F94AC9" w:rsidRDefault="00F94AC9" w:rsidP="003B5359">
      <w:pPr>
        <w:jc w:val="both"/>
        <w:rPr>
          <w:rFonts w:ascii="Times New Roman" w:hAnsi="Times New Roman" w:cs="Times New Roman"/>
        </w:rPr>
      </w:pPr>
      <w:r w:rsidRPr="00F94AC9">
        <w:rPr>
          <w:rFonts w:ascii="Times New Roman" w:hAnsi="Times New Roman" w:cs="Times New Roman"/>
        </w:rPr>
        <w:t>A linha do tempo não propõe uma resposta única, mas indica uma direção analítica: a criação emerge quando o trabalhador é reconhecido como sujeito pleno — histórico, técnico, cultural, territorial e político.</w:t>
      </w:r>
    </w:p>
    <w:p w14:paraId="35FB1C6E" w14:textId="162E98DD" w:rsidR="00F94AC9" w:rsidRPr="00E110E2" w:rsidRDefault="009D5B72" w:rsidP="003B535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pict w14:anchorId="15ABE778">
          <v:rect id="_x0000_i1041" style="width:0;height:1.5pt" o:hralign="center" o:hrstd="t" o:hr="t" fillcolor="#a0a0a0" stroked="f"/>
        </w:pict>
      </w:r>
      <w:r w:rsidR="00F94AC9" w:rsidRPr="00E110E2">
        <w:rPr>
          <w:rFonts w:ascii="Times New Roman" w:hAnsi="Times New Roman" w:cs="Times New Roman"/>
          <w:b/>
          <w:bCs/>
          <w:sz w:val="20"/>
          <w:szCs w:val="20"/>
        </w:rPr>
        <w:t>Figura-síntese: o técnico-artista</w:t>
      </w:r>
    </w:p>
    <w:p w14:paraId="7D7E7C2D" w14:textId="77777777" w:rsidR="00F94AC9" w:rsidRPr="00E110E2" w:rsidRDefault="00F94AC9" w:rsidP="003B5359">
      <w:pPr>
        <w:jc w:val="both"/>
        <w:rPr>
          <w:rFonts w:ascii="Times New Roman" w:hAnsi="Times New Roman" w:cs="Times New Roman"/>
          <w:sz w:val="20"/>
          <w:szCs w:val="20"/>
        </w:rPr>
      </w:pPr>
      <w:r w:rsidRPr="00E110E2">
        <w:rPr>
          <w:rFonts w:ascii="Times New Roman" w:hAnsi="Times New Roman" w:cs="Times New Roman"/>
          <w:sz w:val="20"/>
          <w:szCs w:val="20"/>
        </w:rPr>
        <w:t xml:space="preserve">Define-se como o sujeito que articula </w:t>
      </w:r>
      <w:r w:rsidRPr="00E110E2">
        <w:rPr>
          <w:rFonts w:ascii="Times New Roman" w:hAnsi="Times New Roman" w:cs="Times New Roman"/>
          <w:b/>
          <w:bCs/>
          <w:sz w:val="20"/>
          <w:szCs w:val="20"/>
        </w:rPr>
        <w:t>ciência, trabalho, cultura e território</w:t>
      </w:r>
      <w:r w:rsidRPr="00E110E2">
        <w:rPr>
          <w:rFonts w:ascii="Times New Roman" w:hAnsi="Times New Roman" w:cs="Times New Roman"/>
          <w:sz w:val="20"/>
          <w:szCs w:val="20"/>
        </w:rPr>
        <w:t>, recusando a dissociação entre formação técnica e experiência humana, seja em contextos urbanos ou em territórios tradicionais.</w:t>
      </w:r>
    </w:p>
    <w:p w14:paraId="4E4ECA1B" w14:textId="7D76F1FB" w:rsidR="00F94AC9" w:rsidRPr="00E110E2" w:rsidRDefault="009D5B72" w:rsidP="003B5359">
      <w:pPr>
        <w:jc w:val="both"/>
        <w:rPr>
          <w:rFonts w:ascii="Times New Roman" w:hAnsi="Times New Roman" w:cs="Times New Roman"/>
          <w:sz w:val="22"/>
          <w:szCs w:val="22"/>
        </w:rPr>
      </w:pPr>
      <w:r w:rsidRPr="00E110E2">
        <w:rPr>
          <w:rFonts w:ascii="Times New Roman" w:hAnsi="Times New Roman" w:cs="Times New Roman"/>
          <w:sz w:val="22"/>
          <w:szCs w:val="22"/>
        </w:rPr>
        <w:pict w14:anchorId="7EDB9139">
          <v:rect id="_x0000_i1035" style="width:0;height:1.5pt" o:hralign="center" o:hrstd="t" o:hr="t" fillcolor="#a0a0a0" stroked="f"/>
        </w:pict>
      </w:r>
      <w:r w:rsidR="00F94AC9" w:rsidRPr="00E110E2">
        <w:rPr>
          <w:rFonts w:ascii="Times New Roman" w:hAnsi="Times New Roman" w:cs="Times New Roman"/>
          <w:b/>
          <w:bCs/>
          <w:sz w:val="20"/>
          <w:szCs w:val="20"/>
        </w:rPr>
        <w:t>Boa leitura. Boa escuta. Boa travessia.</w:t>
      </w:r>
    </w:p>
    <w:sectPr w:rsidR="00F94AC9" w:rsidRPr="00E110E2" w:rsidSect="00F94AC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051AA"/>
    <w:multiLevelType w:val="multilevel"/>
    <w:tmpl w:val="7CAE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F59C0"/>
    <w:multiLevelType w:val="multilevel"/>
    <w:tmpl w:val="C0145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203258">
    <w:abstractNumId w:val="0"/>
  </w:num>
  <w:num w:numId="2" w16cid:durableId="126761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C9"/>
    <w:rsid w:val="0003258E"/>
    <w:rsid w:val="000B3EC9"/>
    <w:rsid w:val="003B5359"/>
    <w:rsid w:val="004336C7"/>
    <w:rsid w:val="00D3768A"/>
    <w:rsid w:val="00E110E2"/>
    <w:rsid w:val="00F9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06852"/>
  <w15:chartTrackingRefBased/>
  <w15:docId w15:val="{9A748EFC-BFD8-4DF6-93E0-89F25219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4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4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4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4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4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4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4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4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4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4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4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4A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4A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4A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4A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4A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4A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4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4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4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4A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4A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4A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4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4A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4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628</Words>
  <Characters>3394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França Reis</dc:creator>
  <cp:keywords/>
  <dc:description/>
  <cp:lastModifiedBy>Denise França Reis</cp:lastModifiedBy>
  <cp:revision>3</cp:revision>
  <dcterms:created xsi:type="dcterms:W3CDTF">2026-04-28T03:24:00Z</dcterms:created>
  <dcterms:modified xsi:type="dcterms:W3CDTF">2026-04-28T03:28:00Z</dcterms:modified>
</cp:coreProperties>
</file>