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9E58" w14:textId="02C0939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BLOCO</w:t>
      </w:r>
      <w:r w:rsidR="0044557E">
        <w:rPr>
          <w:rFonts w:ascii="Times New Roman" w:hAnsi="Times New Roman" w:cs="Times New Roman"/>
          <w:b/>
          <w:bCs/>
        </w:rPr>
        <w:t xml:space="preserve"> 2</w:t>
      </w:r>
      <w:r w:rsidRPr="007F7AF8">
        <w:rPr>
          <w:rFonts w:ascii="Times New Roman" w:hAnsi="Times New Roman" w:cs="Times New Roman"/>
          <w:b/>
          <w:bCs/>
        </w:rPr>
        <w:t xml:space="preserve"> — FUNDAÇÕES (1909–1930)</w:t>
      </w:r>
    </w:p>
    <w:p w14:paraId="60FE5F79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  <w:b/>
          <w:bCs/>
        </w:rPr>
        <w:t>Título do período:</w:t>
      </w:r>
      <w:r w:rsidRPr="007F7AF8">
        <w:rPr>
          <w:rFonts w:ascii="Times New Roman" w:hAnsi="Times New Roman" w:cs="Times New Roman"/>
        </w:rPr>
        <w:t xml:space="preserve"> Fundações</w:t>
      </w:r>
      <w:r w:rsidRPr="007F7AF8">
        <w:rPr>
          <w:rFonts w:ascii="Times New Roman" w:hAnsi="Times New Roman" w:cs="Times New Roman"/>
        </w:rPr>
        <w:br/>
      </w:r>
      <w:r w:rsidRPr="007F7AF8">
        <w:rPr>
          <w:rFonts w:ascii="Times New Roman" w:hAnsi="Times New Roman" w:cs="Times New Roman"/>
          <w:b/>
          <w:bCs/>
        </w:rPr>
        <w:t>Subtítulo:</w:t>
      </w:r>
      <w:r w:rsidRPr="007F7AF8">
        <w:rPr>
          <w:rFonts w:ascii="Times New Roman" w:hAnsi="Times New Roman" w:cs="Times New Roman"/>
        </w:rPr>
        <w:t xml:space="preserve"> O sujeito que opera e canta</w:t>
      </w:r>
      <w:r w:rsidRPr="007F7AF8">
        <w:rPr>
          <w:rFonts w:ascii="Times New Roman" w:hAnsi="Times New Roman" w:cs="Times New Roman"/>
        </w:rPr>
        <w:br/>
      </w:r>
      <w:r w:rsidRPr="007F7AF8">
        <w:rPr>
          <w:rFonts w:ascii="Times New Roman" w:hAnsi="Times New Roman" w:cs="Times New Roman"/>
          <w:b/>
          <w:bCs/>
        </w:rPr>
        <w:t>Recorte temporal:</w:t>
      </w:r>
      <w:r w:rsidRPr="007F7AF8">
        <w:rPr>
          <w:rFonts w:ascii="Times New Roman" w:hAnsi="Times New Roman" w:cs="Times New Roman"/>
        </w:rPr>
        <w:t xml:space="preserve"> 1909–1930</w:t>
      </w:r>
    </w:p>
    <w:p w14:paraId="19A18611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C1BBA2">
          <v:rect id="_x0000_i1025" style="width:0;height:1.5pt" o:hralign="center" o:hrstd="t" o:hr="t" fillcolor="#a0a0a0" stroked="f"/>
        </w:pict>
      </w:r>
    </w:p>
    <w:p w14:paraId="64A0FD3C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 de abertura do bloco</w:t>
      </w:r>
    </w:p>
    <w:p w14:paraId="53727941" w14:textId="3FA35EAA" w:rsidR="007F7AF8" w:rsidRPr="00FD4018" w:rsidRDefault="00FD4018" w:rsidP="007F7AF8">
      <w:pPr>
        <w:rPr>
          <w:rFonts w:ascii="Times New Roman" w:hAnsi="Times New Roman" w:cs="Times New Roman"/>
          <w:color w:val="275317" w:themeColor="accent6" w:themeShade="80"/>
        </w:rPr>
      </w:pPr>
      <w:r w:rsidRPr="00BA5332">
        <w:rPr>
          <w:rFonts w:ascii="Times" w:hAnsi="Times"/>
          <w:color w:val="275317" w:themeColor="accent6" w:themeShade="80"/>
        </w:rPr>
        <w:t>O mesmo corpo que a escola queria disciplinar é o corpo que a cultura fez criar. Entre 1909 e 1930, o Brasil estrutura as primeiras bases da educação profissional e vê consolidar-se o samba urbano. Esses dois movimentos não acontecem em mundos separados: atravessam o mesmo sujeito histórico – o trabalhador pobre, frequentemente negro, que vive entre a oficina e a roda de samba. A pergunta que atravessa o bloco é: se as mãos que operam a máquina são as mesmas que tocam o violão, onde termina o treinamento e começa a criação?</w:t>
      </w:r>
      <w:r w:rsidR="00000000">
        <w:rPr>
          <w:rFonts w:ascii="Times New Roman" w:hAnsi="Times New Roman" w:cs="Times New Roman"/>
          <w:color w:val="275317" w:themeColor="accent6" w:themeShade="80"/>
        </w:rPr>
        <w:pict w14:anchorId="2D480042">
          <v:rect id="_x0000_i1026" style="width:0;height:1.5pt" o:hralign="center" o:hrstd="t" o:hr="t" fillcolor="#a0a0a0" stroked="f"/>
        </w:pict>
      </w:r>
    </w:p>
    <w:p w14:paraId="69A28209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1 — CONTEXTO: Nasce um trabalhador e um autor de cultura</w:t>
      </w:r>
    </w:p>
    <w:p w14:paraId="1A6381CB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7676F92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Entre 1909 e 1930, o Brasil estrutura as primeiras bases da educação profissional e vê se consolidar o samba urbano. Esses dois movimentos não acontecem em mundos separados: eles atravessam o mesmo sujeito histórico.</w:t>
      </w:r>
    </w:p>
    <w:p w14:paraId="4D410DAE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jovem pobre que o Estado pretende formar para o trabalho manual é também quem participa das rodas, cria repertórios e transforma a vida urbana em expressão cultural.</w:t>
      </w:r>
    </w:p>
    <w:p w14:paraId="53B6B52F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2351B84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mesmo corpo que a escola quer disciplinar é o corpo que a cultura faz criar.</w:t>
      </w:r>
    </w:p>
    <w:p w14:paraId="111713FF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</w:t>
      </w:r>
    </w:p>
    <w:p w14:paraId="3D66EAD0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ponto de partida deste bloco é a unidade do sujeito. Em vez de separar “aluno da oficina” e “sambista da cidade”, a proposta é perceber que muitas vezes se trata da mesma pessoa. De dia, ela é enquadrada por políticas de formação produtiva; fora desse enquadramento, produz laços, memória, música e sentido coletivo.</w:t>
      </w:r>
    </w:p>
    <w:p w14:paraId="304B0AD9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49EC0624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Se as mãos que operam a máquina são as mesmas que tocam o violão, onde termina o treinamento e começa a criação?</w:t>
      </w:r>
    </w:p>
    <w:p w14:paraId="7EB46EB6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6B0841F0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Para entender esse sujeito, é preciso começar pela escola que tentou moldá-lo.</w:t>
      </w:r>
    </w:p>
    <w:p w14:paraId="36D67DEA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3EA59D">
          <v:rect id="_x0000_i1027" style="width:0;height:1.5pt" o:hralign="center" o:hrstd="t" o:hr="t" fillcolor="#a0a0a0" stroked="f"/>
        </w:pict>
      </w:r>
    </w:p>
    <w:p w14:paraId="2036EF14" w14:textId="77777777" w:rsidR="007C5B2E" w:rsidRDefault="007C5B2E" w:rsidP="007F7AF8">
      <w:pPr>
        <w:rPr>
          <w:rFonts w:ascii="Times New Roman" w:hAnsi="Times New Roman" w:cs="Times New Roman"/>
          <w:b/>
          <w:bCs/>
        </w:rPr>
      </w:pPr>
    </w:p>
    <w:p w14:paraId="5DA938DF" w14:textId="49F03BE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2 — EDUCAÇÃO: A escola nasce para formar e para controlar</w:t>
      </w:r>
    </w:p>
    <w:p w14:paraId="3FF7AC10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1B90AE9E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Em 1909, o Decreto nº 7.566 cria as Escolas de Aprendizes Artífices, voltadas aos chamados “desvalidos da fortuna”. A proposta oficial é oferecer formação manual e prevenir a “vadiagem”.</w:t>
      </w:r>
    </w:p>
    <w:p w14:paraId="18879DD8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Mas esse projeto não enxerga o aluno como sujeito pleno. Ele o reduz a um corpo a ser treinado, disciplinado e integrado de forma subordinada ao mundo do trabalho.</w:t>
      </w:r>
    </w:p>
    <w:p w14:paraId="25BF3505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3361DA95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A escola oferece formação — mas o faz sob uma lógica de contenção social.</w:t>
      </w:r>
    </w:p>
    <w:p w14:paraId="4C0B50D5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</w:t>
      </w:r>
    </w:p>
    <w:p w14:paraId="6928D8E3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A origem da educação profissional carrega uma marca estrutural: ela nasce menos como direito universal e mais como resposta assistencialista e disciplinadora para os pobres. A dualidade educativa já aparece aí: para uns, o saber de comando; para outros, o saber de execução.</w:t>
      </w:r>
    </w:p>
    <w:p w14:paraId="5F1570AD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5490927C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Quando a escola ensina um ofício, ela está ampliando horizontes — ou delimitando destinos?</w:t>
      </w:r>
    </w:p>
    <w:p w14:paraId="49507FA1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303D2280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Esse aluno “desvalido” não existe apenas no espaço escolar: ele circula pela cidade, pelo porto, pela fábrica e pelas redes populares de sociabilidade.</w:t>
      </w:r>
    </w:p>
    <w:p w14:paraId="34614844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645660">
          <v:rect id="_x0000_i1028" style="width:0;height:1.5pt" o:hralign="center" o:hrstd="t" o:hr="t" fillcolor="#a0a0a0" stroked="f"/>
        </w:pict>
      </w:r>
    </w:p>
    <w:p w14:paraId="131E2249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3 — TRABALHO: O trabalhador urbano aprende um ofício — e inventa maneiras de existir</w:t>
      </w:r>
    </w:p>
    <w:p w14:paraId="06160C3C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16E018B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No início do século XX, o trabalhador urbano ocupa oficinas, fábricas, portos e empregos precários. Em muitos casos, é um sujeito negro, pobre e marcado pelas continuidades da pós-abolição.</w:t>
      </w:r>
    </w:p>
    <w:p w14:paraId="2E21D451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Mas ele não é apenas mão de obra. Também constrói redes de solidariedade, habita territórios como a Pequena África e produz formas de vida que escapam ao olhar estreito dos currículos técnicos.</w:t>
      </w:r>
    </w:p>
    <w:p w14:paraId="62DAF01B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043A1CFF" w14:textId="77777777" w:rsid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trabalhador é tratado como força produtiva — mas vive como sujeito social, cultural e histórico muito mais complexo.</w:t>
      </w:r>
    </w:p>
    <w:p w14:paraId="62536D70" w14:textId="77777777" w:rsidR="007F7AF8" w:rsidRDefault="007F7AF8" w:rsidP="007F7AF8">
      <w:pPr>
        <w:rPr>
          <w:rFonts w:ascii="Times New Roman" w:hAnsi="Times New Roman" w:cs="Times New Roman"/>
        </w:rPr>
      </w:pPr>
    </w:p>
    <w:p w14:paraId="7C15173E" w14:textId="77777777" w:rsidR="007F7AF8" w:rsidRPr="007F7AF8" w:rsidRDefault="007F7AF8" w:rsidP="007F7AF8">
      <w:pPr>
        <w:rPr>
          <w:rFonts w:ascii="Times New Roman" w:hAnsi="Times New Roman" w:cs="Times New Roman"/>
        </w:rPr>
      </w:pPr>
    </w:p>
    <w:p w14:paraId="4477064D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 — Trabalho, cultura e as “tias baianas”</w:t>
      </w:r>
    </w:p>
    <w:p w14:paraId="2539A37F" w14:textId="50299A09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 xml:space="preserve">Mulheres conhecidas como </w:t>
      </w:r>
      <w:r w:rsidRPr="007F7AF8">
        <w:rPr>
          <w:rFonts w:ascii="Times New Roman" w:hAnsi="Times New Roman" w:cs="Times New Roman"/>
          <w:b/>
          <w:bCs/>
        </w:rPr>
        <w:t>“tias baianas”</w:t>
      </w:r>
      <w:r w:rsidRPr="007F7AF8">
        <w:rPr>
          <w:rFonts w:ascii="Times New Roman" w:hAnsi="Times New Roman" w:cs="Times New Roman"/>
        </w:rPr>
        <w:t>, Tia Ciata, Tia Amélia e Tia Perciliana, organizavam a economia das rodas de samba. Preparavam alimentos, mantinham os espaços de encontro e participavam da construção musical.</w:t>
      </w:r>
    </w:p>
    <w:p w14:paraId="2F420BB7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Nesses territórios, trabalho e cultura se articulavam: fazer música também envolvia sustento, organização coletiva e domínio de práticas rítmicas.</w:t>
      </w:r>
    </w:p>
    <w:p w14:paraId="13C83763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03018485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que a história do trabalho deixa de ver quando enxerga esse sujeito apenas como operário?</w:t>
      </w:r>
    </w:p>
    <w:p w14:paraId="6C459497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4462607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É justamente fora da lógica estreita do adestramento que a música aparece como território de expressão e cidadania.</w:t>
      </w:r>
    </w:p>
    <w:p w14:paraId="0D1C8117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2484A">
          <v:rect id="_x0000_i1029" style="width:0;height:1.5pt" o:hralign="center" o:hrstd="t" o:hr="t" fillcolor="#a0a0a0" stroked="f"/>
        </w:pict>
      </w:r>
    </w:p>
    <w:p w14:paraId="1991157E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4 — MÚSICA: O samba nasce como música — e também como afirmação de existência</w:t>
      </w:r>
    </w:p>
    <w:p w14:paraId="6DF236D9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002F05E4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samba urbano se forma no encontro entre tradições afro-brasileiras e formas musicais de circulação mais ampla. Nesse processo, desloca-se também o centro da música: do piano aristocrático ao violão do trabalhador.</w:t>
      </w:r>
    </w:p>
    <w:p w14:paraId="2701B467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Mais do que entretenimento, a música se torna espaço de invenção coletiva, reconhecimento mútuo e afirmação de uma cidadania negada pela estrutura social.</w:t>
      </w:r>
    </w:p>
    <w:p w14:paraId="07728C38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5079F611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Enquanto a ordem social marginaliza esse sujeito, a música o transforma em criador de cultura.</w:t>
      </w:r>
    </w:p>
    <w:p w14:paraId="71E1CD14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 — Técnica, trabalho e presença feminina</w:t>
      </w:r>
    </w:p>
    <w:p w14:paraId="7E856F79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Chiquinha Gonzaga foi uma das primeiras musicistas a atuar profissionalmente no Brasil. Dominava composição, arranjo e execução, além de lutar por direitos autorais.</w:t>
      </w:r>
    </w:p>
    <w:p w14:paraId="601274DC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Sua trajetória mostra que a técnica musical também envolve inserção no mercado, disputa por reconhecimento e organização do trabalho artístico.</w:t>
      </w:r>
    </w:p>
    <w:p w14:paraId="548E2DDD" w14:textId="77777777" w:rsidR="006F1515" w:rsidRDefault="006F1515" w:rsidP="007F7AF8">
      <w:pPr>
        <w:rPr>
          <w:rFonts w:ascii="Times New Roman" w:hAnsi="Times New Roman" w:cs="Times New Roman"/>
          <w:b/>
          <w:bCs/>
        </w:rPr>
      </w:pPr>
    </w:p>
    <w:p w14:paraId="3C691F0C" w14:textId="77777777" w:rsidR="006F1515" w:rsidRDefault="006F1515" w:rsidP="007F7AF8">
      <w:pPr>
        <w:rPr>
          <w:rFonts w:ascii="Times New Roman" w:hAnsi="Times New Roman" w:cs="Times New Roman"/>
          <w:b/>
          <w:bCs/>
        </w:rPr>
      </w:pPr>
    </w:p>
    <w:p w14:paraId="3F19F829" w14:textId="6D8257A4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lastRenderedPageBreak/>
        <w:t>Pergunta disparadora</w:t>
      </w:r>
    </w:p>
    <w:p w14:paraId="6252075F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que muda quando a música deixa de ser vista como folclore e passa a ser lida como produção de sujeito histórico?</w:t>
      </w:r>
    </w:p>
    <w:p w14:paraId="7FF1B67A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76F266E5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Esse processo ganha outra dimensão quando o som das ruas entra no mercado e passa a ser gravado.</w:t>
      </w:r>
    </w:p>
    <w:p w14:paraId="4C6253B4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AC0731">
          <v:rect id="_x0000_i1030" style="width:0;height:1.5pt" o:hralign="center" o:hrstd="t" o:hr="t" fillcolor="#a0a0a0" stroked="f"/>
        </w:pict>
      </w:r>
    </w:p>
    <w:p w14:paraId="73320B9C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5 — APRECIAÇÃO MUSICAL: O samba é gravado — e o trabalhador entra no mercado da escuta</w:t>
      </w:r>
    </w:p>
    <w:p w14:paraId="61F45D1A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76A48AFB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Duas gravações históricas ajudam a perceber a formação do samba urbano. A primeira marca a entrada do gênero na indústria fonográfica. A segunda já apresenta o samba mais próximo da batida coletiva das escolas.</w:t>
      </w:r>
    </w:p>
    <w:p w14:paraId="2174A58A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  <w:b/>
          <w:bCs/>
        </w:rPr>
        <w:t>Música 1 — marco do samba gravado</w:t>
      </w:r>
      <w:r w:rsidRPr="007F7AF8">
        <w:rPr>
          <w:rFonts w:ascii="Times New Roman" w:hAnsi="Times New Roman" w:cs="Times New Roman"/>
        </w:rPr>
        <w:br/>
        <w:t>“Pelo Telefone” — Donga / Mauro de Almeida (1917)</w:t>
      </w:r>
      <w:r w:rsidRPr="007F7AF8">
        <w:rPr>
          <w:rFonts w:ascii="Times New Roman" w:hAnsi="Times New Roman" w:cs="Times New Roman"/>
        </w:rPr>
        <w:br/>
        <w:t xml:space="preserve">YouTube: </w:t>
      </w:r>
      <w:hyperlink r:id="rId5" w:history="1">
        <w:r w:rsidRPr="007F7AF8">
          <w:rPr>
            <w:rStyle w:val="Hyperlink"/>
            <w:rFonts w:ascii="Times New Roman" w:hAnsi="Times New Roman" w:cs="Times New Roman"/>
          </w:rPr>
          <w:t>https://youtu.be/woLpDB4jjDU</w:t>
        </w:r>
      </w:hyperlink>
    </w:p>
    <w:p w14:paraId="12FF5768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  <w:b/>
          <w:bCs/>
        </w:rPr>
        <w:t>Música 2 — consolidação do gênero</w:t>
      </w:r>
      <w:r w:rsidRPr="007F7AF8">
        <w:rPr>
          <w:rFonts w:ascii="Times New Roman" w:hAnsi="Times New Roman" w:cs="Times New Roman"/>
        </w:rPr>
        <w:br/>
        <w:t>“Na Pavuna” — Bide (1928/29)</w:t>
      </w:r>
      <w:r w:rsidRPr="007F7AF8">
        <w:rPr>
          <w:rFonts w:ascii="Times New Roman" w:hAnsi="Times New Roman" w:cs="Times New Roman"/>
        </w:rPr>
        <w:br/>
        <w:t xml:space="preserve">YouTube: </w:t>
      </w:r>
      <w:hyperlink r:id="rId6" w:history="1">
        <w:r w:rsidRPr="007F7AF8">
          <w:rPr>
            <w:rStyle w:val="Hyperlink"/>
            <w:rFonts w:ascii="Times New Roman" w:hAnsi="Times New Roman" w:cs="Times New Roman"/>
          </w:rPr>
          <w:t>https://youtu.be/gVXIKeD4crA</w:t>
        </w:r>
      </w:hyperlink>
    </w:p>
    <w:p w14:paraId="68C8F411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00480E5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Entre a herança do maxixe e a força do surdo, a escuta revela o samba se definindo como gênero e como corpo coletivo.</w:t>
      </w:r>
    </w:p>
    <w:p w14:paraId="675BC59F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</w:t>
      </w:r>
    </w:p>
    <w:p w14:paraId="46B95BA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Em pouco mais de dez anos, o samba passa da forma intimista do violão para a força comunitária da percussão — transformação que acompanha a consolidação dos territórios negros urbanos.</w:t>
      </w:r>
    </w:p>
    <w:p w14:paraId="4FFEC7D3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7C44CA88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que acontece quando uma cultura perseguida começa a ser gravada, vendida e consumida?</w:t>
      </w:r>
    </w:p>
    <w:p w14:paraId="761ABE49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7B02F28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Essa contradição revela algo maior: escola, trabalho e música não contam histórias paralelas, mas partes de uma mesma experiência social.</w:t>
      </w:r>
    </w:p>
    <w:p w14:paraId="3B1EF032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9CA125">
          <v:rect id="_x0000_i1031" style="width:0;height:1.5pt" o:hralign="center" o:hrstd="t" o:hr="t" fillcolor="#a0a0a0" stroked="f"/>
        </w:pict>
      </w:r>
    </w:p>
    <w:p w14:paraId="6D44AD40" w14:textId="77777777" w:rsidR="00C30BCE" w:rsidRDefault="00C30BCE" w:rsidP="007F7AF8">
      <w:pPr>
        <w:rPr>
          <w:rFonts w:ascii="Times New Roman" w:hAnsi="Times New Roman" w:cs="Times New Roman"/>
          <w:b/>
          <w:bCs/>
        </w:rPr>
      </w:pPr>
    </w:p>
    <w:p w14:paraId="5EC0BF8B" w14:textId="77777777" w:rsidR="00C30BCE" w:rsidRDefault="00C30BCE" w:rsidP="007F7AF8">
      <w:pPr>
        <w:rPr>
          <w:rFonts w:ascii="Times New Roman" w:hAnsi="Times New Roman" w:cs="Times New Roman"/>
          <w:b/>
          <w:bCs/>
        </w:rPr>
      </w:pPr>
    </w:p>
    <w:p w14:paraId="2C12446E" w14:textId="77777777" w:rsidR="00C30BCE" w:rsidRDefault="00C30BCE" w:rsidP="007F7AF8">
      <w:pPr>
        <w:rPr>
          <w:rFonts w:ascii="Times New Roman" w:hAnsi="Times New Roman" w:cs="Times New Roman"/>
          <w:b/>
          <w:bCs/>
        </w:rPr>
      </w:pPr>
    </w:p>
    <w:p w14:paraId="2CF18F33" w14:textId="2381226C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6 — CONEXÃO: O aluno da oficina e o sambista da roda são o mesmo sujeito</w:t>
      </w:r>
    </w:p>
    <w:p w14:paraId="4A0F539F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4907C82A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público das primeiras escolas técnicas é o mesmo que circula por espaços como a Pedra do Sal e as rodas de samba.</w:t>
      </w:r>
    </w:p>
    <w:p w14:paraId="4A96BF1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Nesse cruzamento, o trabalhador deixa de ser apenas peça da engrenagem produtiva e se afirma como sujeito cultural.</w:t>
      </w:r>
    </w:p>
    <w:p w14:paraId="142D81F1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30DEB0F3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Estado tenta formar um trabalhador funcional; a cultura devolve a ele densidade, voz e autoria.</w:t>
      </w:r>
    </w:p>
    <w:p w14:paraId="6A372F2B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 — Espaços de aprendizagem fora da escola</w:t>
      </w:r>
    </w:p>
    <w:p w14:paraId="62197D1B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Casas e terreiros ligados às “tias baianas”, como Tia Ciata, funcionavam como espaços de transmissão de saberes.</w:t>
      </w:r>
    </w:p>
    <w:p w14:paraId="06E151A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Ali se aprendia ritmo, convivência, organização coletiva e formas de sustento — mostrando que a formação também acontece fora da escola formal.</w:t>
      </w:r>
    </w:p>
    <w:p w14:paraId="0D0602CF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3AA666D6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E se a música popular revelar mais sobre a formação do trabalhador brasileiro do que os próprios documentos da escola?</w:t>
      </w:r>
    </w:p>
    <w:p w14:paraId="1CC3FCF5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25CBF4FC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Mas essa unidade do sujeito também expõe a violência estrutural que tenta controlar seus corpos, seus sons e seus caminhos sociais.</w:t>
      </w:r>
    </w:p>
    <w:p w14:paraId="1C8220F2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DEC0B6">
          <v:rect id="_x0000_i1032" style="width:0;height:1.5pt" o:hralign="center" o:hrstd="t" o:hr="t" fillcolor="#a0a0a0" stroked="f"/>
        </w:pict>
      </w:r>
    </w:p>
    <w:p w14:paraId="47369CA2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ABA 7 — SAIBA MAIS: A técnica organiza o trabalho — o racismo organiza a exclusão</w:t>
      </w:r>
    </w:p>
    <w:p w14:paraId="1523DFF3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Texto-base</w:t>
      </w:r>
    </w:p>
    <w:p w14:paraId="1C5332B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A criação da educação profissional para os pobres e a repressão ao samba como “vadiagem” não são fenômenos isolados. Ambos revelam o funcionamento do racismo estrutural no início da República.</w:t>
      </w:r>
    </w:p>
    <w:p w14:paraId="3ECE3EBF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O mesmo Estado que oferece oficina vigia o violão. Ao mesmo tempo em que promete inclusão produtiva, controla corpos e vozes da população negra periférica.</w:t>
      </w:r>
    </w:p>
    <w:p w14:paraId="094A072C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Tensão central</w:t>
      </w:r>
    </w:p>
    <w:p w14:paraId="7801D808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lastRenderedPageBreak/>
        <w:t>A modernização do trabalho convive, desde a origem, com a tentativa de silenciar a subjetividade negra popular.</w:t>
      </w:r>
    </w:p>
    <w:p w14:paraId="79C99BD2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Pop-up de aprofundamento</w:t>
      </w:r>
    </w:p>
    <w:p w14:paraId="466BBD4D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Na educação, a população negra é direcionada ao trabalho manual por meio da dualidade escolar. Na cultura, práticas populares são criminalizadas enquanto começam a ser apropriadas e comercializadas.</w:t>
      </w:r>
    </w:p>
    <w:p w14:paraId="2E4A101C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Pergunta disparadora</w:t>
      </w:r>
    </w:p>
    <w:p w14:paraId="6A58D38B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Como um país pode querer modernizar o trabalho enquanto vigia e deslegitima a cultura de quem trabalha?</w:t>
      </w:r>
    </w:p>
    <w:p w14:paraId="6CB85F60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Conexão/gancho</w:t>
      </w:r>
    </w:p>
    <w:p w14:paraId="782FC495" w14:textId="77777777" w:rsidR="007F7AF8" w:rsidRPr="007F7AF8" w:rsidRDefault="007F7AF8" w:rsidP="007F7AF8">
      <w:pPr>
        <w:rPr>
          <w:rFonts w:ascii="Times New Roman" w:hAnsi="Times New Roman" w:cs="Times New Roman"/>
        </w:rPr>
      </w:pPr>
      <w:r w:rsidRPr="007F7AF8">
        <w:rPr>
          <w:rFonts w:ascii="Times New Roman" w:hAnsi="Times New Roman" w:cs="Times New Roman"/>
        </w:rPr>
        <w:t>Nos próximos blocos, essa tensão se transforma: o que aqui aparece como fundação da dualidade e da exclusão reaparece depois como disputa por integração, prestígio e conflito aberto.</w:t>
      </w:r>
    </w:p>
    <w:p w14:paraId="5B9578BF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93EFC5">
          <v:rect id="_x0000_i1033" style="width:0;height:1.5pt" o:hralign="center" o:hrstd="t" o:hr="t" fillcolor="#a0a0a0" stroked="f"/>
        </w:pict>
      </w:r>
    </w:p>
    <w:p w14:paraId="10461187" w14:textId="77777777" w:rsidR="007F7AF8" w:rsidRPr="007F7AF8" w:rsidRDefault="007F7AF8" w:rsidP="007F7AF8">
      <w:pPr>
        <w:rPr>
          <w:rFonts w:ascii="Times New Roman" w:hAnsi="Times New Roman" w:cs="Times New Roman"/>
          <w:b/>
          <w:bCs/>
        </w:rPr>
      </w:pPr>
      <w:r w:rsidRPr="007F7AF8">
        <w:rPr>
          <w:rFonts w:ascii="Times New Roman" w:hAnsi="Times New Roman" w:cs="Times New Roman"/>
          <w:b/>
          <w:bCs/>
        </w:rPr>
        <w:t>Fecho do bloco</w:t>
      </w:r>
    </w:p>
    <w:p w14:paraId="6B1B2F39" w14:textId="4EDF1E26" w:rsidR="007F7AF8" w:rsidRPr="007F7AF8" w:rsidRDefault="006F1515" w:rsidP="007F7AF8">
      <w:pPr>
        <w:rPr>
          <w:rFonts w:ascii="Times New Roman" w:hAnsi="Times New Roman" w:cs="Times New Roman"/>
        </w:rPr>
      </w:pPr>
      <w:r w:rsidRPr="006F1515">
        <w:rPr>
          <w:rFonts w:ascii="Times New Roman" w:hAnsi="Times New Roman" w:cs="Times New Roman"/>
          <w:i/>
          <w:iCs/>
        </w:rPr>
        <w:t>Este bloco mostra que a história da educação profissiona</w:t>
      </w:r>
      <w:r>
        <w:rPr>
          <w:rFonts w:ascii="Times New Roman" w:hAnsi="Times New Roman" w:cs="Times New Roman"/>
          <w:i/>
          <w:iCs/>
        </w:rPr>
        <w:t>l</w:t>
      </w:r>
      <w:r w:rsidR="007F7AF8" w:rsidRPr="007F7AF8">
        <w:rPr>
          <w:rFonts w:ascii="Times New Roman" w:hAnsi="Times New Roman" w:cs="Times New Roman"/>
        </w:rPr>
        <w:t xml:space="preserve"> não pode ser lida apenas pela ótica institucional, assim como a história da música popular não pode ser reduzida a repertório ou entretenimento. Nas fundações do Brasil urbano moderno, oficina e samba se cruzam no mesmo sujeito. É nessa travessia que emerge uma pergunta central para todo o percurso: quem é o trabalhador que a nação quer formar — e quem é o sujeito que insiste em cantar, criar e existir para além desse enquadramento?</w:t>
      </w:r>
    </w:p>
    <w:p w14:paraId="0CEF8CFB" w14:textId="77777777" w:rsidR="007F7AF8" w:rsidRPr="007F7AF8" w:rsidRDefault="00000000" w:rsidP="007F7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621062">
          <v:rect id="_x0000_i1034" style="width:0;height:1.5pt" o:hralign="center" o:hrstd="t" o:hr="t" fillcolor="#a0a0a0" stroked="f"/>
        </w:pict>
      </w:r>
    </w:p>
    <w:sectPr w:rsidR="007F7AF8" w:rsidRPr="007F7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AEF"/>
    <w:multiLevelType w:val="multilevel"/>
    <w:tmpl w:val="38A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D18"/>
    <w:multiLevelType w:val="multilevel"/>
    <w:tmpl w:val="4DC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1194"/>
    <w:multiLevelType w:val="multilevel"/>
    <w:tmpl w:val="2E0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C6517"/>
    <w:multiLevelType w:val="multilevel"/>
    <w:tmpl w:val="E91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A5F"/>
    <w:multiLevelType w:val="multilevel"/>
    <w:tmpl w:val="268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409BD"/>
    <w:multiLevelType w:val="multilevel"/>
    <w:tmpl w:val="B14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12052"/>
    <w:multiLevelType w:val="multilevel"/>
    <w:tmpl w:val="2AF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D1A48"/>
    <w:multiLevelType w:val="multilevel"/>
    <w:tmpl w:val="EB3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05091"/>
    <w:multiLevelType w:val="multilevel"/>
    <w:tmpl w:val="016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E60AF"/>
    <w:multiLevelType w:val="multilevel"/>
    <w:tmpl w:val="BCA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23829"/>
    <w:multiLevelType w:val="multilevel"/>
    <w:tmpl w:val="566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92AF8"/>
    <w:multiLevelType w:val="multilevel"/>
    <w:tmpl w:val="6BF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18138">
    <w:abstractNumId w:val="6"/>
  </w:num>
  <w:num w:numId="2" w16cid:durableId="1030229683">
    <w:abstractNumId w:val="11"/>
  </w:num>
  <w:num w:numId="3" w16cid:durableId="242421293">
    <w:abstractNumId w:val="4"/>
  </w:num>
  <w:num w:numId="4" w16cid:durableId="1282497976">
    <w:abstractNumId w:val="1"/>
  </w:num>
  <w:num w:numId="5" w16cid:durableId="79760738">
    <w:abstractNumId w:val="0"/>
  </w:num>
  <w:num w:numId="6" w16cid:durableId="1034039033">
    <w:abstractNumId w:val="3"/>
  </w:num>
  <w:num w:numId="7" w16cid:durableId="47188161">
    <w:abstractNumId w:val="5"/>
  </w:num>
  <w:num w:numId="8" w16cid:durableId="1881550431">
    <w:abstractNumId w:val="2"/>
  </w:num>
  <w:num w:numId="9" w16cid:durableId="1207067785">
    <w:abstractNumId w:val="9"/>
  </w:num>
  <w:num w:numId="10" w16cid:durableId="534923656">
    <w:abstractNumId w:val="10"/>
  </w:num>
  <w:num w:numId="11" w16cid:durableId="1883666655">
    <w:abstractNumId w:val="8"/>
  </w:num>
  <w:num w:numId="12" w16cid:durableId="612832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50"/>
    <w:rsid w:val="000517B9"/>
    <w:rsid w:val="000B06AC"/>
    <w:rsid w:val="001B35A7"/>
    <w:rsid w:val="00271174"/>
    <w:rsid w:val="0033777A"/>
    <w:rsid w:val="00360250"/>
    <w:rsid w:val="00374296"/>
    <w:rsid w:val="0044557E"/>
    <w:rsid w:val="005237C6"/>
    <w:rsid w:val="00611D03"/>
    <w:rsid w:val="006F1515"/>
    <w:rsid w:val="007C5B2E"/>
    <w:rsid w:val="007E0FE4"/>
    <w:rsid w:val="007E760E"/>
    <w:rsid w:val="007F7AF8"/>
    <w:rsid w:val="00840D94"/>
    <w:rsid w:val="00841E6E"/>
    <w:rsid w:val="008A00C8"/>
    <w:rsid w:val="009162B8"/>
    <w:rsid w:val="00990B3F"/>
    <w:rsid w:val="00A35135"/>
    <w:rsid w:val="00A820E4"/>
    <w:rsid w:val="00B50676"/>
    <w:rsid w:val="00C152A7"/>
    <w:rsid w:val="00C30BCE"/>
    <w:rsid w:val="00CC5EAE"/>
    <w:rsid w:val="00CE2EF8"/>
    <w:rsid w:val="00D129E2"/>
    <w:rsid w:val="00D8222E"/>
    <w:rsid w:val="00D85249"/>
    <w:rsid w:val="00D948D6"/>
    <w:rsid w:val="00E65CDB"/>
    <w:rsid w:val="00E948C6"/>
    <w:rsid w:val="00EC6581"/>
    <w:rsid w:val="00F4021F"/>
    <w:rsid w:val="00FD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5611"/>
  <w15:chartTrackingRefBased/>
  <w15:docId w15:val="{AE8635DF-2276-4680-92D2-C86DC0A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2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2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2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2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2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2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2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2B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82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82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gVXIKeD4crA" TargetMode="External"/><Relationship Id="rId5" Type="http://schemas.openxmlformats.org/officeDocument/2006/relationships/hyperlink" Target="https://youtu.be/woLpDB4jj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1455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12</cp:revision>
  <cp:lastPrinted>2026-04-15T15:19:00Z</cp:lastPrinted>
  <dcterms:created xsi:type="dcterms:W3CDTF">2026-04-14T02:46:00Z</dcterms:created>
  <dcterms:modified xsi:type="dcterms:W3CDTF">2026-04-17T19:20:00Z</dcterms:modified>
</cp:coreProperties>
</file>