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7FC8" w14:textId="3F8C613D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PROPOSTA PRÁTICA DE ADAPTAÇÃO PARA O GENIALLY</w:t>
      </w:r>
      <w:r w:rsidRPr="00BD683A">
        <w:rPr>
          <w:rFonts w:ascii="Times New Roman" w:hAnsi="Times New Roman" w:cs="Times New Roman"/>
        </w:rPr>
        <w:t xml:space="preserve">, </w:t>
      </w:r>
      <w:r w:rsidRPr="00BD683A">
        <w:rPr>
          <w:rFonts w:ascii="Times New Roman" w:hAnsi="Times New Roman" w:cs="Times New Roman"/>
        </w:rPr>
        <w:t xml:space="preserve">pensando em </w:t>
      </w:r>
      <w:r w:rsidRPr="00BD683A">
        <w:rPr>
          <w:rFonts w:ascii="Times New Roman" w:hAnsi="Times New Roman" w:cs="Times New Roman"/>
          <w:b/>
          <w:bCs/>
        </w:rPr>
        <w:t>legibilidade, navegação simples e impacto visual</w:t>
      </w:r>
      <w:r w:rsidRPr="00BD683A">
        <w:rPr>
          <w:rFonts w:ascii="Times New Roman" w:hAnsi="Times New Roman" w:cs="Times New Roman"/>
        </w:rPr>
        <w:t xml:space="preserve">. A lógica geral é: </w:t>
      </w:r>
      <w:r w:rsidRPr="00BD683A">
        <w:rPr>
          <w:rFonts w:ascii="Times New Roman" w:hAnsi="Times New Roman" w:cs="Times New Roman"/>
          <w:b/>
          <w:bCs/>
        </w:rPr>
        <w:t>tela principal enxuta</w:t>
      </w:r>
      <w:r w:rsidRPr="00BD683A">
        <w:rPr>
          <w:rFonts w:ascii="Times New Roman" w:hAnsi="Times New Roman" w:cs="Times New Roman"/>
        </w:rPr>
        <w:t xml:space="preserve">, </w:t>
      </w:r>
      <w:r w:rsidRPr="00BD683A">
        <w:rPr>
          <w:rFonts w:ascii="Times New Roman" w:hAnsi="Times New Roman" w:cs="Times New Roman"/>
          <w:b/>
          <w:bCs/>
        </w:rPr>
        <w:t>pop-ups para aprofundamento</w:t>
      </w:r>
      <w:r w:rsidRPr="00BD683A">
        <w:rPr>
          <w:rFonts w:ascii="Times New Roman" w:hAnsi="Times New Roman" w:cs="Times New Roman"/>
        </w:rPr>
        <w:t xml:space="preserve"> e </w:t>
      </w:r>
      <w:r w:rsidRPr="00BD683A">
        <w:rPr>
          <w:rFonts w:ascii="Times New Roman" w:hAnsi="Times New Roman" w:cs="Times New Roman"/>
          <w:b/>
          <w:bCs/>
        </w:rPr>
        <w:t>corte de tudo que funciona só como transição acadêmica</w:t>
      </w:r>
      <w:r w:rsidRPr="00BD683A">
        <w:rPr>
          <w:rFonts w:ascii="Times New Roman" w:hAnsi="Times New Roman" w:cs="Times New Roman"/>
        </w:rPr>
        <w:t xml:space="preserve">. O PDF, do jeito que está, tem densidade de roteiro/monografia; para </w:t>
      </w:r>
      <w:proofErr w:type="spellStart"/>
      <w:r w:rsidRPr="00BD683A">
        <w:rPr>
          <w:rFonts w:ascii="Times New Roman" w:hAnsi="Times New Roman" w:cs="Times New Roman"/>
        </w:rPr>
        <w:t>Genially</w:t>
      </w:r>
      <w:proofErr w:type="spellEnd"/>
      <w:r w:rsidRPr="00BD683A">
        <w:rPr>
          <w:rFonts w:ascii="Times New Roman" w:hAnsi="Times New Roman" w:cs="Times New Roman"/>
        </w:rPr>
        <w:t xml:space="preserve">, ele precisa virar </w:t>
      </w:r>
      <w:r w:rsidRPr="00BD683A">
        <w:rPr>
          <w:rFonts w:ascii="Times New Roman" w:hAnsi="Times New Roman" w:cs="Times New Roman"/>
          <w:b/>
          <w:bCs/>
        </w:rPr>
        <w:t>experiência visual guiada</w:t>
      </w:r>
      <w:r w:rsidRPr="00BD683A">
        <w:rPr>
          <w:rFonts w:ascii="Times New Roman" w:hAnsi="Times New Roman" w:cs="Times New Roman"/>
        </w:rPr>
        <w:t xml:space="preserve">. </w:t>
      </w:r>
    </w:p>
    <w:p w14:paraId="17CEEDEE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Estrutura-base recomendada para todos os blocos</w:t>
      </w:r>
    </w:p>
    <w:p w14:paraId="788A87DE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O que fica visível na tela</w:t>
      </w:r>
    </w:p>
    <w:p w14:paraId="758B49A1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Em cada bloco, deixe fixo na tela apenas:</w:t>
      </w:r>
    </w:p>
    <w:p w14:paraId="7B949A99" w14:textId="77777777" w:rsidR="00BD683A" w:rsidRPr="00BD683A" w:rsidRDefault="00BD683A" w:rsidP="00BD68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Título do bloco</w:t>
      </w:r>
    </w:p>
    <w:p w14:paraId="0EFBDC31" w14:textId="77777777" w:rsidR="00BD683A" w:rsidRPr="00BD683A" w:rsidRDefault="00BD683A" w:rsidP="00BD68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Subtítulo</w:t>
      </w:r>
    </w:p>
    <w:p w14:paraId="6F3AF9F9" w14:textId="77777777" w:rsidR="00BD683A" w:rsidRPr="00BD683A" w:rsidRDefault="00BD683A" w:rsidP="00BD68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Recorte temporal</w:t>
      </w:r>
    </w:p>
    <w:p w14:paraId="4494ABCF" w14:textId="77777777" w:rsidR="00BD683A" w:rsidRPr="00BD683A" w:rsidRDefault="00BD683A" w:rsidP="00BD68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1 frase de abertura forte</w:t>
      </w:r>
    </w:p>
    <w:p w14:paraId="169002D6" w14:textId="77777777" w:rsidR="00BD683A" w:rsidRPr="00BD683A" w:rsidRDefault="00BD683A" w:rsidP="00BD68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4 botões principais</w:t>
      </w:r>
      <w:r w:rsidRPr="00BD683A">
        <w:rPr>
          <w:rFonts w:ascii="Times New Roman" w:hAnsi="Times New Roman" w:cs="Times New Roman"/>
        </w:rPr>
        <w:t>: Contexto | Educação | Trabalho | Música</w:t>
      </w:r>
    </w:p>
    <w:p w14:paraId="2DC98F07" w14:textId="77777777" w:rsidR="00BD683A" w:rsidRPr="00BD683A" w:rsidRDefault="00BD683A" w:rsidP="00BD68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2 botões secundários</w:t>
      </w:r>
      <w:r w:rsidRPr="00BD683A">
        <w:rPr>
          <w:rFonts w:ascii="Times New Roman" w:hAnsi="Times New Roman" w:cs="Times New Roman"/>
        </w:rPr>
        <w:t>: Escuta | Saiba mais</w:t>
      </w:r>
    </w:p>
    <w:p w14:paraId="2880DDBB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O que vira pop-up</w:t>
      </w:r>
    </w:p>
    <w:p w14:paraId="72C70EC5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Use pop-up para:</w:t>
      </w:r>
    </w:p>
    <w:p w14:paraId="598E927A" w14:textId="77777777" w:rsidR="00BD683A" w:rsidRPr="00BD683A" w:rsidRDefault="00BD683A" w:rsidP="00BD683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explicação conceitual</w:t>
      </w:r>
    </w:p>
    <w:p w14:paraId="4D963659" w14:textId="77777777" w:rsidR="00BD683A" w:rsidRPr="00BD683A" w:rsidRDefault="00BD683A" w:rsidP="00BD683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tensão central</w:t>
      </w:r>
    </w:p>
    <w:p w14:paraId="16AFE0FB" w14:textId="77777777" w:rsidR="00BD683A" w:rsidRPr="00BD683A" w:rsidRDefault="00BD683A" w:rsidP="00BD683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pergunta disparadora</w:t>
      </w:r>
    </w:p>
    <w:p w14:paraId="7456BF31" w14:textId="77777777" w:rsidR="00BD683A" w:rsidRPr="00BD683A" w:rsidRDefault="00BD683A" w:rsidP="00BD683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escuta orientada</w:t>
      </w:r>
    </w:p>
    <w:p w14:paraId="3EF1BBFA" w14:textId="77777777" w:rsidR="00BD683A" w:rsidRPr="00BD683A" w:rsidRDefault="00BD683A" w:rsidP="00BD683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referências/autores</w:t>
      </w:r>
    </w:p>
    <w:p w14:paraId="5AC5455A" w14:textId="77777777" w:rsidR="00BD683A" w:rsidRPr="00BD683A" w:rsidRDefault="00BD683A" w:rsidP="00BD683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links externos</w:t>
      </w:r>
    </w:p>
    <w:p w14:paraId="5D027E3C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O que cortar em todos os blocos</w:t>
      </w:r>
    </w:p>
    <w:p w14:paraId="43B1BD41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Pode cortar sem prejuízo:</w:t>
      </w:r>
    </w:p>
    <w:p w14:paraId="14B65150" w14:textId="77777777" w:rsidR="00BD683A" w:rsidRPr="00BD683A" w:rsidRDefault="00BD683A" w:rsidP="00BD68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parágrafos introdutórios longos</w:t>
      </w:r>
    </w:p>
    <w:p w14:paraId="315A36B7" w14:textId="77777777" w:rsidR="00BD683A" w:rsidRPr="00BD683A" w:rsidRDefault="00BD683A" w:rsidP="00BD68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frases de “conexão/gancho” entre abas</w:t>
      </w:r>
    </w:p>
    <w:p w14:paraId="6CF1DD59" w14:textId="77777777" w:rsidR="00BD683A" w:rsidRPr="00BD683A" w:rsidRDefault="00BD683A" w:rsidP="00BD68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repetição da ideia central em mais de uma seção</w:t>
      </w:r>
    </w:p>
    <w:p w14:paraId="15C59B7E" w14:textId="77777777" w:rsidR="00BD683A" w:rsidRPr="00BD683A" w:rsidRDefault="00BD683A" w:rsidP="00BD68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referência bibliográfica completa no corpo principal</w:t>
      </w:r>
    </w:p>
    <w:p w14:paraId="58EAE380" w14:textId="77777777" w:rsidR="00BD683A" w:rsidRPr="00BD683A" w:rsidRDefault="00BD683A" w:rsidP="00BD68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explicações muito longas de contexto teórico</w:t>
      </w:r>
    </w:p>
    <w:p w14:paraId="46267E37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Essa decisão faz sentido porque o próprio documento repete uma estrutura fixa por bloco — </w:t>
      </w:r>
      <w:r w:rsidRPr="00BD683A">
        <w:rPr>
          <w:rFonts w:ascii="Times New Roman" w:hAnsi="Times New Roman" w:cs="Times New Roman"/>
          <w:b/>
          <w:bCs/>
        </w:rPr>
        <w:t>Contexto, Educação, Trabalho, Música, Apreciação, Conexão e Saiba Mais</w:t>
      </w:r>
      <w:r w:rsidRPr="00BD683A">
        <w:rPr>
          <w:rFonts w:ascii="Times New Roman" w:hAnsi="Times New Roman" w:cs="Times New Roman"/>
        </w:rPr>
        <w:t xml:space="preserve"> — </w:t>
      </w:r>
      <w:proofErr w:type="gramStart"/>
      <w:r w:rsidRPr="00BD683A">
        <w:rPr>
          <w:rFonts w:ascii="Times New Roman" w:hAnsi="Times New Roman" w:cs="Times New Roman"/>
        </w:rPr>
        <w:t>e também</w:t>
      </w:r>
      <w:proofErr w:type="gramEnd"/>
      <w:r w:rsidRPr="00BD683A">
        <w:rPr>
          <w:rFonts w:ascii="Times New Roman" w:hAnsi="Times New Roman" w:cs="Times New Roman"/>
        </w:rPr>
        <w:t xml:space="preserve"> repete internamente “texto-base”, “tensão central”, “pop-up”, “pergunta disparadora” e “conexão/gancho”. Em </w:t>
      </w:r>
      <w:proofErr w:type="spellStart"/>
      <w:r w:rsidRPr="00BD683A">
        <w:rPr>
          <w:rFonts w:ascii="Times New Roman" w:hAnsi="Times New Roman" w:cs="Times New Roman"/>
        </w:rPr>
        <w:t>Genially</w:t>
      </w:r>
      <w:proofErr w:type="spellEnd"/>
      <w:r w:rsidRPr="00BD683A">
        <w:rPr>
          <w:rFonts w:ascii="Times New Roman" w:hAnsi="Times New Roman" w:cs="Times New Roman"/>
        </w:rPr>
        <w:t xml:space="preserve">, não vale mostrar tudo isso como texto corrido; vale transformar em camadas. </w:t>
      </w:r>
      <w:hyperlink r:id="rId5" w:history="1">
        <w:proofErr w:type="spellStart"/>
        <w:r w:rsidRPr="00BD683A">
          <w:rPr>
            <w:rStyle w:val="Hyperlink"/>
            <w:rFonts w:ascii="Times New Roman" w:hAnsi="Times New Roman" w:cs="Times New Roman"/>
          </w:rPr>
          <w:t>Source</w:t>
        </w:r>
        <w:proofErr w:type="spellEnd"/>
      </w:hyperlink>
    </w:p>
    <w:p w14:paraId="4DC4E037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pict w14:anchorId="750A5090">
          <v:rect id="_x0000_i1331" style="width:0;height:1.5pt" o:hralign="center" o:hrstd="t" o:hr="t" fillcolor="#a0a0a0" stroked="f"/>
        </w:pict>
      </w:r>
    </w:p>
    <w:p w14:paraId="1B151D62" w14:textId="77777777" w:rsidR="00BD683A" w:rsidRDefault="00BD683A" w:rsidP="00BD683A">
      <w:pPr>
        <w:rPr>
          <w:rFonts w:ascii="Times New Roman" w:hAnsi="Times New Roman" w:cs="Times New Roman"/>
          <w:b/>
          <w:bCs/>
        </w:rPr>
      </w:pPr>
    </w:p>
    <w:p w14:paraId="067FD597" w14:textId="77777777" w:rsidR="00BD683A" w:rsidRDefault="00BD683A" w:rsidP="00BD683A">
      <w:pPr>
        <w:rPr>
          <w:rFonts w:ascii="Times New Roman" w:hAnsi="Times New Roman" w:cs="Times New Roman"/>
          <w:b/>
          <w:bCs/>
        </w:rPr>
      </w:pPr>
    </w:p>
    <w:p w14:paraId="14DA8ED3" w14:textId="14150C26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lastRenderedPageBreak/>
        <w:t>Antes dos blocos: abertura do projeto</w:t>
      </w:r>
    </w:p>
    <w:p w14:paraId="1FA5FD43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 xml:space="preserve">Tela inicial do </w:t>
      </w:r>
      <w:proofErr w:type="spellStart"/>
      <w:r w:rsidRPr="00BD683A">
        <w:rPr>
          <w:rFonts w:ascii="Times New Roman" w:hAnsi="Times New Roman" w:cs="Times New Roman"/>
          <w:b/>
          <w:bCs/>
        </w:rPr>
        <w:t>Genially</w:t>
      </w:r>
      <w:proofErr w:type="spellEnd"/>
    </w:p>
    <w:p w14:paraId="3DF1A731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Entra na tela</w:t>
      </w:r>
    </w:p>
    <w:p w14:paraId="7AA7D0F3" w14:textId="77777777" w:rsidR="00BD683A" w:rsidRPr="00BD683A" w:rsidRDefault="00BD683A" w:rsidP="00BD683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Título: </w:t>
      </w:r>
      <w:r w:rsidRPr="00BD683A">
        <w:rPr>
          <w:rFonts w:ascii="Times New Roman" w:hAnsi="Times New Roman" w:cs="Times New Roman"/>
          <w:b/>
          <w:bCs/>
        </w:rPr>
        <w:t>Entre Acordes e Oficinas</w:t>
      </w:r>
    </w:p>
    <w:p w14:paraId="1307E56E" w14:textId="77777777" w:rsidR="00BD683A" w:rsidRPr="00BD683A" w:rsidRDefault="00BD683A" w:rsidP="00BD683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Subtítulo: </w:t>
      </w:r>
      <w:r w:rsidRPr="00BD683A">
        <w:rPr>
          <w:rFonts w:ascii="Times New Roman" w:hAnsi="Times New Roman" w:cs="Times New Roman"/>
          <w:b/>
          <w:bCs/>
        </w:rPr>
        <w:t>Linha do tempo interativa da música brasileira popular e da educação profissional e tecnológica</w:t>
      </w:r>
    </w:p>
    <w:p w14:paraId="30F956D9" w14:textId="77777777" w:rsidR="00BD683A" w:rsidRPr="00BD683A" w:rsidRDefault="00BD683A" w:rsidP="00BD683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Frase curta: </w:t>
      </w:r>
      <w:r w:rsidRPr="00BD683A">
        <w:rPr>
          <w:rFonts w:ascii="Times New Roman" w:hAnsi="Times New Roman" w:cs="Times New Roman"/>
          <w:b/>
          <w:bCs/>
        </w:rPr>
        <w:t>“O trabalhador também canta, cria e produz cultura.”</w:t>
      </w:r>
    </w:p>
    <w:p w14:paraId="68858AE9" w14:textId="77777777" w:rsidR="00BD683A" w:rsidRPr="00BD683A" w:rsidRDefault="00BD683A" w:rsidP="00BD683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Botões: </w:t>
      </w:r>
      <w:r w:rsidRPr="00BD683A">
        <w:rPr>
          <w:rFonts w:ascii="Times New Roman" w:hAnsi="Times New Roman" w:cs="Times New Roman"/>
          <w:b/>
          <w:bCs/>
        </w:rPr>
        <w:t>Começar</w:t>
      </w:r>
      <w:r w:rsidRPr="00BD683A">
        <w:rPr>
          <w:rFonts w:ascii="Times New Roman" w:hAnsi="Times New Roman" w:cs="Times New Roman"/>
        </w:rPr>
        <w:t xml:space="preserve"> | </w:t>
      </w:r>
      <w:r w:rsidRPr="00BD683A">
        <w:rPr>
          <w:rFonts w:ascii="Times New Roman" w:hAnsi="Times New Roman" w:cs="Times New Roman"/>
          <w:b/>
          <w:bCs/>
        </w:rPr>
        <w:t>Quem somos</w:t>
      </w:r>
      <w:r w:rsidRPr="00BD683A">
        <w:rPr>
          <w:rFonts w:ascii="Times New Roman" w:hAnsi="Times New Roman" w:cs="Times New Roman"/>
        </w:rPr>
        <w:t xml:space="preserve"> | </w:t>
      </w:r>
      <w:r w:rsidRPr="00BD683A">
        <w:rPr>
          <w:rFonts w:ascii="Times New Roman" w:hAnsi="Times New Roman" w:cs="Times New Roman"/>
          <w:b/>
          <w:bCs/>
        </w:rPr>
        <w:t>Como navegar</w:t>
      </w:r>
    </w:p>
    <w:p w14:paraId="662F02CE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Pop-up “Quem somos”</w:t>
      </w:r>
    </w:p>
    <w:p w14:paraId="348B83D6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Vai para pop-up</w:t>
      </w:r>
    </w:p>
    <w:p w14:paraId="674D6AE7" w14:textId="77777777" w:rsidR="00BD683A" w:rsidRPr="00BD683A" w:rsidRDefault="00BD683A" w:rsidP="00BD683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síntese em 4–5 linhas do projeto</w:t>
      </w:r>
    </w:p>
    <w:p w14:paraId="200B08AC" w14:textId="77777777" w:rsidR="00BD683A" w:rsidRPr="00BD683A" w:rsidRDefault="00BD683A" w:rsidP="00BD683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vínculo com </w:t>
      </w:r>
      <w:proofErr w:type="spellStart"/>
      <w:r w:rsidRPr="00BD683A">
        <w:rPr>
          <w:rFonts w:ascii="Times New Roman" w:hAnsi="Times New Roman" w:cs="Times New Roman"/>
        </w:rPr>
        <w:t>ProfEPT</w:t>
      </w:r>
      <w:proofErr w:type="spellEnd"/>
      <w:r w:rsidRPr="00BD683A">
        <w:rPr>
          <w:rFonts w:ascii="Times New Roman" w:hAnsi="Times New Roman" w:cs="Times New Roman"/>
        </w:rPr>
        <w:t xml:space="preserve"> / IFRO</w:t>
      </w:r>
    </w:p>
    <w:p w14:paraId="62585F69" w14:textId="77777777" w:rsidR="00BD683A" w:rsidRPr="00BD683A" w:rsidRDefault="00BD683A" w:rsidP="00BD683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ideia central: música como conhecimento e formação integral</w:t>
      </w:r>
    </w:p>
    <w:p w14:paraId="7351306F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Cortar</w:t>
      </w:r>
    </w:p>
    <w:p w14:paraId="0CBC04BE" w14:textId="77777777" w:rsidR="00BD683A" w:rsidRPr="00BD683A" w:rsidRDefault="00BD683A" w:rsidP="00BD683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texto completo de apresentação institucional</w:t>
      </w:r>
    </w:p>
    <w:p w14:paraId="240EAE96" w14:textId="77777777" w:rsidR="00BD683A" w:rsidRPr="00BD683A" w:rsidRDefault="00BD683A" w:rsidP="00BD683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nomes completos com muitos detalhes logo na primeira tela</w:t>
      </w:r>
    </w:p>
    <w:p w14:paraId="624C87DB" w14:textId="77777777" w:rsidR="00BD683A" w:rsidRPr="00BD683A" w:rsidRDefault="00BD683A" w:rsidP="00BD683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repetição entre “Quem somos” e “Apresentação”</w:t>
      </w:r>
    </w:p>
    <w:p w14:paraId="2D04D4D2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A abertura do PDF insiste que a linha do tempo não é “cronologia convencional”, mas uma leitura crítica do Brasil a partir do encontro entre trabalho, técnica e música; isso deve aparecer em linguagem curta e visual logo na entrada, não em bloco acadêmico extenso. </w:t>
      </w:r>
      <w:hyperlink r:id="rId6" w:history="1">
        <w:proofErr w:type="spellStart"/>
        <w:r w:rsidRPr="00BD683A">
          <w:rPr>
            <w:rStyle w:val="Hyperlink"/>
            <w:rFonts w:ascii="Times New Roman" w:hAnsi="Times New Roman" w:cs="Times New Roman"/>
          </w:rPr>
          <w:t>Source</w:t>
        </w:r>
        <w:proofErr w:type="spellEnd"/>
      </w:hyperlink>
    </w:p>
    <w:p w14:paraId="2D654439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pict w14:anchorId="27C1A2B8">
          <v:rect id="_x0000_i1332" style="width:0;height:1.5pt" o:hralign="center" o:hrstd="t" o:hr="t" fillcolor="#a0a0a0" stroked="f"/>
        </w:pict>
      </w:r>
    </w:p>
    <w:p w14:paraId="20F70092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BLOCO 1 — Prelúdio Ancestral</w:t>
      </w:r>
    </w:p>
    <w:p w14:paraId="3EDDADEA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Na tela</w:t>
      </w:r>
    </w:p>
    <w:p w14:paraId="5965D1C8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Título:</w:t>
      </w:r>
      <w:r w:rsidRPr="00BD683A">
        <w:rPr>
          <w:rFonts w:ascii="Times New Roman" w:hAnsi="Times New Roman" w:cs="Times New Roman"/>
        </w:rPr>
        <w:t xml:space="preserve"> Prelúdio Ancestral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Subtítulo:</w:t>
      </w:r>
      <w:r w:rsidRPr="00BD683A">
        <w:rPr>
          <w:rFonts w:ascii="Times New Roman" w:hAnsi="Times New Roman" w:cs="Times New Roman"/>
        </w:rPr>
        <w:t xml:space="preserve"> A aldeia como orquestra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Período:</w:t>
      </w:r>
      <w:r w:rsidRPr="00BD683A">
        <w:rPr>
          <w:rFonts w:ascii="Times New Roman" w:hAnsi="Times New Roman" w:cs="Times New Roman"/>
        </w:rPr>
        <w:t xml:space="preserve"> Anterior a 1500 – presente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Frase de abertura na tela: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“Antes da escola de ofício, já existiam técnica, escuta, fabricação e transmissão de saberes nos povos indígenas.”</w:t>
      </w:r>
    </w:p>
    <w:p w14:paraId="322DD573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Botões/cards na tela</w:t>
      </w:r>
    </w:p>
    <w:p w14:paraId="236276EB" w14:textId="77777777" w:rsidR="00BD683A" w:rsidRPr="00BD683A" w:rsidRDefault="00BD683A" w:rsidP="00BD683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Contexto:</w:t>
      </w:r>
      <w:r w:rsidRPr="00BD683A">
        <w:rPr>
          <w:rFonts w:ascii="Times New Roman" w:hAnsi="Times New Roman" w:cs="Times New Roman"/>
        </w:rPr>
        <w:t xml:space="preserve"> A floresta ensina pela escuta</w:t>
      </w:r>
    </w:p>
    <w:p w14:paraId="1378DC8E" w14:textId="77777777" w:rsidR="00BD683A" w:rsidRPr="00BD683A" w:rsidRDefault="00BD683A" w:rsidP="00BD683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Educação:</w:t>
      </w:r>
      <w:r w:rsidRPr="00BD683A">
        <w:rPr>
          <w:rFonts w:ascii="Times New Roman" w:hAnsi="Times New Roman" w:cs="Times New Roman"/>
        </w:rPr>
        <w:t xml:space="preserve"> A aldeia como espaço de aprendizagem</w:t>
      </w:r>
    </w:p>
    <w:p w14:paraId="1EB1FC7E" w14:textId="77777777" w:rsidR="00BD683A" w:rsidRPr="00BD683A" w:rsidRDefault="00BD683A" w:rsidP="00BD683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Trabalho:</w:t>
      </w:r>
      <w:r w:rsidRPr="00BD683A">
        <w:rPr>
          <w:rFonts w:ascii="Times New Roman" w:hAnsi="Times New Roman" w:cs="Times New Roman"/>
        </w:rPr>
        <w:t xml:space="preserve"> fabricar, cantar e curar também é técnica</w:t>
      </w:r>
    </w:p>
    <w:p w14:paraId="2D303D80" w14:textId="77777777" w:rsidR="00BD683A" w:rsidRPr="00BD683A" w:rsidRDefault="00BD683A" w:rsidP="00BD683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Música:</w:t>
      </w:r>
      <w:r w:rsidRPr="00BD683A">
        <w:rPr>
          <w:rFonts w:ascii="Times New Roman" w:hAnsi="Times New Roman" w:cs="Times New Roman"/>
        </w:rPr>
        <w:t xml:space="preserve"> flautas, cantos e cosmologia</w:t>
      </w:r>
    </w:p>
    <w:p w14:paraId="2EB4152B" w14:textId="77777777" w:rsidR="00BD683A" w:rsidRPr="00BD683A" w:rsidRDefault="00BD683A" w:rsidP="00BD683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Escuta</w:t>
      </w:r>
    </w:p>
    <w:p w14:paraId="4D9CD8E7" w14:textId="77777777" w:rsidR="00BD683A" w:rsidRPr="00BD683A" w:rsidRDefault="00BD683A" w:rsidP="00BD683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lastRenderedPageBreak/>
        <w:t>Saiba mais</w:t>
      </w:r>
    </w:p>
    <w:p w14:paraId="1539FE4C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Vai para pop-up</w:t>
      </w:r>
    </w:p>
    <w:p w14:paraId="6CDD5E0F" w14:textId="77777777" w:rsidR="00BD683A" w:rsidRPr="00BD683A" w:rsidRDefault="00BD683A" w:rsidP="00BD683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conceito de </w:t>
      </w:r>
      <w:proofErr w:type="spellStart"/>
      <w:r w:rsidRPr="00BD683A">
        <w:rPr>
          <w:rFonts w:ascii="Times New Roman" w:hAnsi="Times New Roman" w:cs="Times New Roman"/>
          <w:b/>
          <w:bCs/>
        </w:rPr>
        <w:t>acustemologia</w:t>
      </w:r>
      <w:proofErr w:type="spellEnd"/>
    </w:p>
    <w:p w14:paraId="036E44FD" w14:textId="77777777" w:rsidR="00BD683A" w:rsidRPr="00BD683A" w:rsidRDefault="00BD683A" w:rsidP="00BD683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explicação de que a “escola” é a própria aldeia</w:t>
      </w:r>
    </w:p>
    <w:p w14:paraId="385941CD" w14:textId="77777777" w:rsidR="00BD683A" w:rsidRPr="00BD683A" w:rsidRDefault="00BD683A" w:rsidP="00BD683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relação entre canto, cura, fabricação e ritual</w:t>
      </w:r>
    </w:p>
    <w:p w14:paraId="533E2F89" w14:textId="77777777" w:rsidR="00BD683A" w:rsidRPr="00BD683A" w:rsidRDefault="00BD683A" w:rsidP="00BD683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explicação sobre flautas </w:t>
      </w:r>
      <w:proofErr w:type="spellStart"/>
      <w:r w:rsidRPr="00BD683A">
        <w:rPr>
          <w:rFonts w:ascii="Times New Roman" w:hAnsi="Times New Roman" w:cs="Times New Roman"/>
          <w:b/>
          <w:bCs/>
        </w:rPr>
        <w:t>kawoká</w:t>
      </w:r>
      <w:proofErr w:type="spellEnd"/>
      <w:r w:rsidRPr="00BD683A">
        <w:rPr>
          <w:rFonts w:ascii="Times New Roman" w:hAnsi="Times New Roman" w:cs="Times New Roman"/>
        </w:rPr>
        <w:t xml:space="preserve"> e </w:t>
      </w:r>
      <w:proofErr w:type="spellStart"/>
      <w:r w:rsidRPr="00BD683A">
        <w:rPr>
          <w:rFonts w:ascii="Times New Roman" w:hAnsi="Times New Roman" w:cs="Times New Roman"/>
          <w:b/>
          <w:bCs/>
        </w:rPr>
        <w:t>huni</w:t>
      </w:r>
      <w:proofErr w:type="spellEnd"/>
      <w:r w:rsidRPr="00BD68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683A">
        <w:rPr>
          <w:rFonts w:ascii="Times New Roman" w:hAnsi="Times New Roman" w:cs="Times New Roman"/>
          <w:b/>
          <w:bCs/>
        </w:rPr>
        <w:t>meka</w:t>
      </w:r>
      <w:proofErr w:type="spellEnd"/>
    </w:p>
    <w:p w14:paraId="13B28159" w14:textId="77777777" w:rsidR="00BD683A" w:rsidRPr="00BD683A" w:rsidRDefault="00BD683A" w:rsidP="00BD683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escuta orientada das duas faixas</w:t>
      </w:r>
    </w:p>
    <w:p w14:paraId="4219005C" w14:textId="77777777" w:rsidR="00BD683A" w:rsidRPr="00BD683A" w:rsidRDefault="00BD683A" w:rsidP="00BD683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observação sobre uso de PVC nas flautas em contextos urbanos</w:t>
      </w:r>
    </w:p>
    <w:p w14:paraId="542F98C5" w14:textId="77777777" w:rsidR="00BD683A" w:rsidRPr="00BD683A" w:rsidRDefault="00BD683A" w:rsidP="00BD683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vozes/autores: Krenak, Kopenawa, Seeger, Piedade, MAHKU</w:t>
      </w:r>
    </w:p>
    <w:p w14:paraId="4104A51E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Cortar</w:t>
      </w:r>
    </w:p>
    <w:p w14:paraId="6A3F4AC9" w14:textId="77777777" w:rsidR="00BD683A" w:rsidRPr="00BD683A" w:rsidRDefault="00BD683A" w:rsidP="00BD683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formulações muito abstratas sobre “criação cosmológica” quando repetidas</w:t>
      </w:r>
    </w:p>
    <w:p w14:paraId="1924E786" w14:textId="77777777" w:rsidR="00BD683A" w:rsidRPr="00BD683A" w:rsidRDefault="00BD683A" w:rsidP="00BD683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a maior parte das conexões textuais entre uma aba e outra</w:t>
      </w:r>
    </w:p>
    <w:p w14:paraId="37D2C5BD" w14:textId="77777777" w:rsidR="00BD683A" w:rsidRPr="00BD683A" w:rsidRDefault="00BD683A" w:rsidP="00BD683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detalhamento excessivo da escuta orientada</w:t>
      </w:r>
    </w:p>
    <w:p w14:paraId="2BF8B722" w14:textId="77777777" w:rsidR="00BD683A" w:rsidRPr="00BD683A" w:rsidRDefault="00BD683A" w:rsidP="00BD683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lista bibliográfica completa no corpo da tela</w:t>
      </w:r>
    </w:p>
    <w:p w14:paraId="7F965429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Como eu resumiria visualmente</w:t>
      </w:r>
    </w:p>
    <w:p w14:paraId="4527ADAB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Esse bloco funciona melhor como um bloco sensorial. A tela precisa defender uma ideia só: </w:t>
      </w:r>
      <w:r w:rsidRPr="00BD683A">
        <w:rPr>
          <w:rFonts w:ascii="Times New Roman" w:hAnsi="Times New Roman" w:cs="Times New Roman"/>
          <w:b/>
          <w:bCs/>
        </w:rPr>
        <w:t>técnica indígena = conhecimento legítimo</w:t>
      </w:r>
      <w:r w:rsidRPr="00BD683A">
        <w:rPr>
          <w:rFonts w:ascii="Times New Roman" w:hAnsi="Times New Roman" w:cs="Times New Roman"/>
        </w:rPr>
        <w:t xml:space="preserve">. O restante aprofunda por clique. O fecho do bloco — ampliar o conceito de técnica para além da fabricação de objetos — pode virar a frase final fixa ou uma animação de encerramento. </w:t>
      </w:r>
      <w:hyperlink r:id="rId7" w:history="1">
        <w:proofErr w:type="spellStart"/>
        <w:r w:rsidRPr="00BD683A">
          <w:rPr>
            <w:rStyle w:val="Hyperlink"/>
            <w:rFonts w:ascii="Times New Roman" w:hAnsi="Times New Roman" w:cs="Times New Roman"/>
          </w:rPr>
          <w:t>Source</w:t>
        </w:r>
        <w:proofErr w:type="spellEnd"/>
      </w:hyperlink>
    </w:p>
    <w:p w14:paraId="1E3E4DDE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pict w14:anchorId="4A8C30CE">
          <v:rect id="_x0000_i1333" style="width:0;height:1.5pt" o:hralign="center" o:hrstd="t" o:hr="t" fillcolor="#a0a0a0" stroked="f"/>
        </w:pict>
      </w:r>
    </w:p>
    <w:p w14:paraId="573E01D5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BLOCO 2 — Fundações (1909–1930)</w:t>
      </w:r>
    </w:p>
    <w:p w14:paraId="00D92D76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Na tela</w:t>
      </w:r>
    </w:p>
    <w:p w14:paraId="26B1BC9E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Título:</w:t>
      </w:r>
      <w:r w:rsidRPr="00BD683A">
        <w:rPr>
          <w:rFonts w:ascii="Times New Roman" w:hAnsi="Times New Roman" w:cs="Times New Roman"/>
        </w:rPr>
        <w:t xml:space="preserve"> Fundações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Subtítulo:</w:t>
      </w:r>
      <w:r w:rsidRPr="00BD683A">
        <w:rPr>
          <w:rFonts w:ascii="Times New Roman" w:hAnsi="Times New Roman" w:cs="Times New Roman"/>
        </w:rPr>
        <w:t xml:space="preserve"> O sujeito que opera e canta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Período:</w:t>
      </w:r>
      <w:r w:rsidRPr="00BD683A">
        <w:rPr>
          <w:rFonts w:ascii="Times New Roman" w:hAnsi="Times New Roman" w:cs="Times New Roman"/>
        </w:rPr>
        <w:t xml:space="preserve"> 1909–1930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Frase de abertura na tela: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“A escola queria disciplinar o corpo do trabalhador; a cultura fez esse mesmo corpo criar.”</w:t>
      </w:r>
    </w:p>
    <w:p w14:paraId="0B9DCE72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Botões/cards na tela</w:t>
      </w:r>
    </w:p>
    <w:p w14:paraId="4005B09C" w14:textId="77777777" w:rsidR="00BD683A" w:rsidRPr="00BD683A" w:rsidRDefault="00BD683A" w:rsidP="00BD683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Contexto:</w:t>
      </w:r>
      <w:r w:rsidRPr="00BD683A">
        <w:rPr>
          <w:rFonts w:ascii="Times New Roman" w:hAnsi="Times New Roman" w:cs="Times New Roman"/>
        </w:rPr>
        <w:t xml:space="preserve"> nasce o trabalhador urbano e o autor de cultura</w:t>
      </w:r>
    </w:p>
    <w:p w14:paraId="355533EA" w14:textId="77777777" w:rsidR="00BD683A" w:rsidRPr="00BD683A" w:rsidRDefault="00BD683A" w:rsidP="00BD683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Educação:</w:t>
      </w:r>
      <w:r w:rsidRPr="00BD683A">
        <w:rPr>
          <w:rFonts w:ascii="Times New Roman" w:hAnsi="Times New Roman" w:cs="Times New Roman"/>
        </w:rPr>
        <w:t xml:space="preserve"> Escolas de Aprendizes Artífices</w:t>
      </w:r>
    </w:p>
    <w:p w14:paraId="20B57512" w14:textId="77777777" w:rsidR="00BD683A" w:rsidRPr="00BD683A" w:rsidRDefault="00BD683A" w:rsidP="00BD683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Trabalho:</w:t>
      </w:r>
      <w:r w:rsidRPr="00BD683A">
        <w:rPr>
          <w:rFonts w:ascii="Times New Roman" w:hAnsi="Times New Roman" w:cs="Times New Roman"/>
        </w:rPr>
        <w:t xml:space="preserve"> oficina, porto, fábrica e sobrevivência</w:t>
      </w:r>
    </w:p>
    <w:p w14:paraId="6C58FDF1" w14:textId="77777777" w:rsidR="00BD683A" w:rsidRPr="00BD683A" w:rsidRDefault="00BD683A" w:rsidP="00BD683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Música:</w:t>
      </w:r>
      <w:r w:rsidRPr="00BD683A">
        <w:rPr>
          <w:rFonts w:ascii="Times New Roman" w:hAnsi="Times New Roman" w:cs="Times New Roman"/>
        </w:rPr>
        <w:t xml:space="preserve"> samba urbano e autoria popular</w:t>
      </w:r>
    </w:p>
    <w:p w14:paraId="2D12EE8D" w14:textId="77777777" w:rsidR="00BD683A" w:rsidRPr="00BD683A" w:rsidRDefault="00BD683A" w:rsidP="00BD683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Escuta</w:t>
      </w:r>
    </w:p>
    <w:p w14:paraId="4A56758F" w14:textId="77777777" w:rsidR="00BD683A" w:rsidRPr="00BD683A" w:rsidRDefault="00BD683A" w:rsidP="00BD683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Saiba mais</w:t>
      </w:r>
    </w:p>
    <w:p w14:paraId="71E8BCB9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Vai para pop-up</w:t>
      </w:r>
    </w:p>
    <w:p w14:paraId="089CF3E1" w14:textId="77777777" w:rsidR="00BD683A" w:rsidRPr="00BD683A" w:rsidRDefault="00BD683A" w:rsidP="00BD683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explicação da unidade entre aluno da oficina e sambista</w:t>
      </w:r>
    </w:p>
    <w:p w14:paraId="0844BD28" w14:textId="77777777" w:rsidR="00BD683A" w:rsidRPr="00BD683A" w:rsidRDefault="00BD683A" w:rsidP="00BD683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lastRenderedPageBreak/>
        <w:t>origem disciplinadora da educação profissional em 1909</w:t>
      </w:r>
    </w:p>
    <w:p w14:paraId="501966C5" w14:textId="77777777" w:rsidR="00BD683A" w:rsidRPr="00BD683A" w:rsidRDefault="00BD683A" w:rsidP="00BD683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aprofundamento sobre dualidade educativa</w:t>
      </w:r>
    </w:p>
    <w:p w14:paraId="79887917" w14:textId="77777777" w:rsidR="00BD683A" w:rsidRPr="00BD683A" w:rsidRDefault="00BD683A" w:rsidP="00BD683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pop-up sobre as </w:t>
      </w:r>
      <w:r w:rsidRPr="00BD683A">
        <w:rPr>
          <w:rFonts w:ascii="Times New Roman" w:hAnsi="Times New Roman" w:cs="Times New Roman"/>
          <w:b/>
          <w:bCs/>
        </w:rPr>
        <w:t>tias baianas</w:t>
      </w:r>
    </w:p>
    <w:p w14:paraId="039A6C48" w14:textId="77777777" w:rsidR="00BD683A" w:rsidRPr="00BD683A" w:rsidRDefault="00BD683A" w:rsidP="00BD683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pop-up sobre </w:t>
      </w:r>
      <w:r w:rsidRPr="00BD683A">
        <w:rPr>
          <w:rFonts w:ascii="Times New Roman" w:hAnsi="Times New Roman" w:cs="Times New Roman"/>
          <w:b/>
          <w:bCs/>
        </w:rPr>
        <w:t>Chiquinha Gonzaga</w:t>
      </w:r>
    </w:p>
    <w:p w14:paraId="5638C29F" w14:textId="77777777" w:rsidR="00BD683A" w:rsidRPr="00BD683A" w:rsidRDefault="00BD683A" w:rsidP="00BD683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escuta orientada de </w:t>
      </w:r>
      <w:r w:rsidRPr="00BD683A">
        <w:rPr>
          <w:rFonts w:ascii="Times New Roman" w:hAnsi="Times New Roman" w:cs="Times New Roman"/>
          <w:b/>
          <w:bCs/>
        </w:rPr>
        <w:t>“Pelo Telefone”</w:t>
      </w:r>
      <w:r w:rsidRPr="00BD683A">
        <w:rPr>
          <w:rFonts w:ascii="Times New Roman" w:hAnsi="Times New Roman" w:cs="Times New Roman"/>
        </w:rPr>
        <w:t xml:space="preserve"> e </w:t>
      </w:r>
      <w:r w:rsidRPr="00BD683A">
        <w:rPr>
          <w:rFonts w:ascii="Times New Roman" w:hAnsi="Times New Roman" w:cs="Times New Roman"/>
          <w:b/>
          <w:bCs/>
        </w:rPr>
        <w:t>“Na Pavuna”</w:t>
      </w:r>
    </w:p>
    <w:p w14:paraId="5A8F3E01" w14:textId="77777777" w:rsidR="00BD683A" w:rsidRPr="00BD683A" w:rsidRDefault="00BD683A" w:rsidP="00BD683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racismo estrutural, criminalização da cultura negra, Pequena África</w:t>
      </w:r>
    </w:p>
    <w:p w14:paraId="444A89F3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Cortar</w:t>
      </w:r>
    </w:p>
    <w:p w14:paraId="7A9B0418" w14:textId="77777777" w:rsidR="00BD683A" w:rsidRPr="00BD683A" w:rsidRDefault="00BD683A" w:rsidP="00BD683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frases longas repetindo que se trata do “mesmo sujeito histórico”</w:t>
      </w:r>
    </w:p>
    <w:p w14:paraId="27F8FE3D" w14:textId="77777777" w:rsidR="00BD683A" w:rsidRPr="00BD683A" w:rsidRDefault="00BD683A" w:rsidP="00BD683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transições entre cidade, escola e sociabilidade</w:t>
      </w:r>
    </w:p>
    <w:p w14:paraId="163E24D5" w14:textId="77777777" w:rsidR="00BD683A" w:rsidRPr="00BD683A" w:rsidRDefault="00BD683A" w:rsidP="00BD683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desenvolvimento teórico longo sobre pós-abolição</w:t>
      </w:r>
    </w:p>
    <w:p w14:paraId="6917BB78" w14:textId="77777777" w:rsidR="00BD683A" w:rsidRPr="00BD683A" w:rsidRDefault="00BD683A" w:rsidP="00BD683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excesso de contextualização quando bastar um card curto</w:t>
      </w:r>
    </w:p>
    <w:p w14:paraId="4E7FDE5B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Como eu deixaria a experiência</w:t>
      </w:r>
    </w:p>
    <w:p w14:paraId="1A823B40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Esse bloco deve mostrar com clareza a tese central: </w:t>
      </w:r>
      <w:r w:rsidRPr="00BD683A">
        <w:rPr>
          <w:rFonts w:ascii="Times New Roman" w:hAnsi="Times New Roman" w:cs="Times New Roman"/>
          <w:b/>
          <w:bCs/>
        </w:rPr>
        <w:t>educação profissional nascente e samba urbano atravessam a mesma população pobre e negra</w:t>
      </w:r>
      <w:r w:rsidRPr="00BD683A">
        <w:rPr>
          <w:rFonts w:ascii="Times New Roman" w:hAnsi="Times New Roman" w:cs="Times New Roman"/>
        </w:rPr>
        <w:t xml:space="preserve">. A tela principal não precisa explicar tudo; precisa só criar essa colisão entre oficina e roda de samba. </w:t>
      </w:r>
      <w:hyperlink r:id="rId8" w:history="1">
        <w:proofErr w:type="spellStart"/>
        <w:r w:rsidRPr="00BD683A">
          <w:rPr>
            <w:rStyle w:val="Hyperlink"/>
            <w:rFonts w:ascii="Times New Roman" w:hAnsi="Times New Roman" w:cs="Times New Roman"/>
          </w:rPr>
          <w:t>Source</w:t>
        </w:r>
        <w:proofErr w:type="spellEnd"/>
      </w:hyperlink>
    </w:p>
    <w:p w14:paraId="1127D933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pict w14:anchorId="7F391F01">
          <v:rect id="_x0000_i1334" style="width:0;height:1.5pt" o:hralign="center" o:hrstd="t" o:hr="t" fillcolor="#a0a0a0" stroked="f"/>
        </w:pict>
      </w:r>
    </w:p>
    <w:p w14:paraId="40C42FED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BLOCO 3 — Consolidação Nacional (1930–1945)</w:t>
      </w:r>
    </w:p>
    <w:p w14:paraId="416F6BFE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Na tela</w:t>
      </w:r>
    </w:p>
    <w:p w14:paraId="6A8EC164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Título:</w:t>
      </w:r>
      <w:r w:rsidRPr="00BD683A">
        <w:rPr>
          <w:rFonts w:ascii="Times New Roman" w:hAnsi="Times New Roman" w:cs="Times New Roman"/>
        </w:rPr>
        <w:t xml:space="preserve"> Consolidação Nacional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Subtítulo:</w:t>
      </w:r>
      <w:r w:rsidRPr="00BD683A">
        <w:rPr>
          <w:rFonts w:ascii="Times New Roman" w:hAnsi="Times New Roman" w:cs="Times New Roman"/>
        </w:rPr>
        <w:t xml:space="preserve"> Do samba marginalizado ao símbolo de brasilidade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Período:</w:t>
      </w:r>
      <w:r w:rsidRPr="00BD683A">
        <w:rPr>
          <w:rFonts w:ascii="Times New Roman" w:hAnsi="Times New Roman" w:cs="Times New Roman"/>
        </w:rPr>
        <w:t xml:space="preserve"> 1930–1945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Frase de abertura na tela: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“O Estado transforma o samba em símbolo nacional, mas sob vigilância.”</w:t>
      </w:r>
    </w:p>
    <w:p w14:paraId="019E1C88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Botões/cards na tela</w:t>
      </w:r>
    </w:p>
    <w:p w14:paraId="29B942E8" w14:textId="77777777" w:rsidR="00BD683A" w:rsidRPr="00BD683A" w:rsidRDefault="00BD683A" w:rsidP="00BD683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Contexto:</w:t>
      </w:r>
      <w:r w:rsidRPr="00BD683A">
        <w:rPr>
          <w:rFonts w:ascii="Times New Roman" w:hAnsi="Times New Roman" w:cs="Times New Roman"/>
        </w:rPr>
        <w:t xml:space="preserve"> Estado Novo e nacionalismo cultural</w:t>
      </w:r>
    </w:p>
    <w:p w14:paraId="43488C48" w14:textId="77777777" w:rsidR="00BD683A" w:rsidRPr="00BD683A" w:rsidRDefault="00BD683A" w:rsidP="00BD683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Educação:</w:t>
      </w:r>
      <w:r w:rsidRPr="00BD683A">
        <w:rPr>
          <w:rFonts w:ascii="Times New Roman" w:hAnsi="Times New Roman" w:cs="Times New Roman"/>
        </w:rPr>
        <w:t xml:space="preserve"> Reforma Capanema e SENAI</w:t>
      </w:r>
    </w:p>
    <w:p w14:paraId="513A8EDE" w14:textId="77777777" w:rsidR="00BD683A" w:rsidRPr="00BD683A" w:rsidRDefault="00BD683A" w:rsidP="00BD683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Trabalho:</w:t>
      </w:r>
      <w:r w:rsidRPr="00BD683A">
        <w:rPr>
          <w:rFonts w:ascii="Times New Roman" w:hAnsi="Times New Roman" w:cs="Times New Roman"/>
        </w:rPr>
        <w:t xml:space="preserve"> trabalhador útil e cidadania regulada</w:t>
      </w:r>
    </w:p>
    <w:p w14:paraId="4E87C199" w14:textId="77777777" w:rsidR="00BD683A" w:rsidRPr="00BD683A" w:rsidRDefault="00BD683A" w:rsidP="00BD683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Música:</w:t>
      </w:r>
      <w:r w:rsidRPr="00BD683A">
        <w:rPr>
          <w:rFonts w:ascii="Times New Roman" w:hAnsi="Times New Roman" w:cs="Times New Roman"/>
        </w:rPr>
        <w:t xml:space="preserve"> do samba crítico ao samba oficial</w:t>
      </w:r>
    </w:p>
    <w:p w14:paraId="491AFA73" w14:textId="77777777" w:rsidR="00BD683A" w:rsidRPr="00BD683A" w:rsidRDefault="00BD683A" w:rsidP="00BD683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Escuta</w:t>
      </w:r>
    </w:p>
    <w:p w14:paraId="2B06EEE3" w14:textId="77777777" w:rsidR="00BD683A" w:rsidRPr="00BD683A" w:rsidRDefault="00BD683A" w:rsidP="00BD683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Saiba mais</w:t>
      </w:r>
    </w:p>
    <w:p w14:paraId="44073D87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Vai para pop-up</w:t>
      </w:r>
    </w:p>
    <w:p w14:paraId="64D02D52" w14:textId="77777777" w:rsidR="00BD683A" w:rsidRPr="00BD683A" w:rsidRDefault="00BD683A" w:rsidP="00BD683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nacionalismo autoritário e DIP</w:t>
      </w:r>
    </w:p>
    <w:p w14:paraId="2167955B" w14:textId="77777777" w:rsidR="00BD683A" w:rsidRPr="00BD683A" w:rsidRDefault="00BD683A" w:rsidP="00BD683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dualidade educativa: dirigir x executar</w:t>
      </w:r>
    </w:p>
    <w:p w14:paraId="1DD9937C" w14:textId="77777777" w:rsidR="00BD683A" w:rsidRPr="00BD683A" w:rsidRDefault="00BD683A" w:rsidP="00BD683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tensão entre CLT e exclusão real</w:t>
      </w:r>
    </w:p>
    <w:p w14:paraId="3EFBC434" w14:textId="77777777" w:rsidR="00BD683A" w:rsidRPr="00BD683A" w:rsidRDefault="00BD683A" w:rsidP="00BD683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ideia do Estado como seletor cultural</w:t>
      </w:r>
    </w:p>
    <w:p w14:paraId="5BA2D5A8" w14:textId="77777777" w:rsidR="00BD683A" w:rsidRPr="00BD683A" w:rsidRDefault="00BD683A" w:rsidP="00BD683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lastRenderedPageBreak/>
        <w:t xml:space="preserve">comparação entre </w:t>
      </w:r>
      <w:r w:rsidRPr="00BD683A">
        <w:rPr>
          <w:rFonts w:ascii="Times New Roman" w:hAnsi="Times New Roman" w:cs="Times New Roman"/>
          <w:b/>
          <w:bCs/>
        </w:rPr>
        <w:t>“Aquarela do Brasil”</w:t>
      </w:r>
      <w:r w:rsidRPr="00BD683A">
        <w:rPr>
          <w:rFonts w:ascii="Times New Roman" w:hAnsi="Times New Roman" w:cs="Times New Roman"/>
        </w:rPr>
        <w:t xml:space="preserve"> e </w:t>
      </w:r>
      <w:r w:rsidRPr="00BD683A">
        <w:rPr>
          <w:rFonts w:ascii="Times New Roman" w:hAnsi="Times New Roman" w:cs="Times New Roman"/>
          <w:b/>
          <w:bCs/>
        </w:rPr>
        <w:t>“Rapaz Folgado”</w:t>
      </w:r>
    </w:p>
    <w:p w14:paraId="10EB74E9" w14:textId="77777777" w:rsidR="00BD683A" w:rsidRPr="00BD683A" w:rsidRDefault="00BD683A" w:rsidP="00BD683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rádio como pedagogia social</w:t>
      </w:r>
    </w:p>
    <w:p w14:paraId="33F0D12F" w14:textId="77777777" w:rsidR="00BD683A" w:rsidRPr="00BD683A" w:rsidRDefault="00BD683A" w:rsidP="00BD683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referências: DIP, CLT, Praça Onze, Pequena África</w:t>
      </w:r>
    </w:p>
    <w:p w14:paraId="3895B6F1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Cortar</w:t>
      </w:r>
    </w:p>
    <w:p w14:paraId="6297FE3C" w14:textId="77777777" w:rsidR="00BD683A" w:rsidRPr="00BD683A" w:rsidRDefault="00BD683A" w:rsidP="00BD683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explicações muito longas sobre “Brasil oficial”</w:t>
      </w:r>
    </w:p>
    <w:p w14:paraId="7C0136F5" w14:textId="77777777" w:rsidR="00BD683A" w:rsidRPr="00BD683A" w:rsidRDefault="00BD683A" w:rsidP="00BD683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texto corrido sobre institucionalidade do período</w:t>
      </w:r>
    </w:p>
    <w:p w14:paraId="55A65C2C" w14:textId="77777777" w:rsidR="00BD683A" w:rsidRPr="00BD683A" w:rsidRDefault="00BD683A" w:rsidP="00BD683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repetições sobre controle/valorização do samba</w:t>
      </w:r>
    </w:p>
    <w:p w14:paraId="6A2AF7E5" w14:textId="77777777" w:rsidR="00BD683A" w:rsidRPr="00BD683A" w:rsidRDefault="00BD683A" w:rsidP="00BD683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detalhamento excessivo da mediação radiofônica</w:t>
      </w:r>
    </w:p>
    <w:p w14:paraId="0D750C52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Leitura prática</w:t>
      </w:r>
    </w:p>
    <w:p w14:paraId="5E66707E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Aqui o </w:t>
      </w:r>
      <w:proofErr w:type="spellStart"/>
      <w:r w:rsidRPr="00BD683A">
        <w:rPr>
          <w:rFonts w:ascii="Times New Roman" w:hAnsi="Times New Roman" w:cs="Times New Roman"/>
        </w:rPr>
        <w:t>Genially</w:t>
      </w:r>
      <w:proofErr w:type="spellEnd"/>
      <w:r w:rsidRPr="00BD683A">
        <w:rPr>
          <w:rFonts w:ascii="Times New Roman" w:hAnsi="Times New Roman" w:cs="Times New Roman"/>
        </w:rPr>
        <w:t xml:space="preserve"> precisa deixar evidente a contradição: </w:t>
      </w:r>
      <w:r w:rsidRPr="00BD683A">
        <w:rPr>
          <w:rFonts w:ascii="Times New Roman" w:hAnsi="Times New Roman" w:cs="Times New Roman"/>
          <w:b/>
          <w:bCs/>
        </w:rPr>
        <w:t>o que antes era perseguido passa a ser aceito quando pode ser enquadrado</w:t>
      </w:r>
      <w:r w:rsidRPr="00BD683A">
        <w:rPr>
          <w:rFonts w:ascii="Times New Roman" w:hAnsi="Times New Roman" w:cs="Times New Roman"/>
        </w:rPr>
        <w:t xml:space="preserve">. Isso cabe em uma tela forte com dois polos: </w:t>
      </w:r>
      <w:r w:rsidRPr="00BD683A">
        <w:rPr>
          <w:rFonts w:ascii="Times New Roman" w:hAnsi="Times New Roman" w:cs="Times New Roman"/>
          <w:b/>
          <w:bCs/>
        </w:rPr>
        <w:t>oficialização</w:t>
      </w:r>
      <w:r w:rsidRPr="00BD683A">
        <w:rPr>
          <w:rFonts w:ascii="Times New Roman" w:hAnsi="Times New Roman" w:cs="Times New Roman"/>
        </w:rPr>
        <w:t xml:space="preserve"> e </w:t>
      </w:r>
      <w:r w:rsidRPr="00BD683A">
        <w:rPr>
          <w:rFonts w:ascii="Times New Roman" w:hAnsi="Times New Roman" w:cs="Times New Roman"/>
          <w:b/>
          <w:bCs/>
        </w:rPr>
        <w:t>controle</w:t>
      </w:r>
      <w:r w:rsidRPr="00BD683A">
        <w:rPr>
          <w:rFonts w:ascii="Times New Roman" w:hAnsi="Times New Roman" w:cs="Times New Roman"/>
        </w:rPr>
        <w:t xml:space="preserve">. </w:t>
      </w:r>
      <w:hyperlink r:id="rId9" w:history="1">
        <w:proofErr w:type="spellStart"/>
        <w:r w:rsidRPr="00BD683A">
          <w:rPr>
            <w:rStyle w:val="Hyperlink"/>
            <w:rFonts w:ascii="Times New Roman" w:hAnsi="Times New Roman" w:cs="Times New Roman"/>
          </w:rPr>
          <w:t>Source</w:t>
        </w:r>
        <w:proofErr w:type="spellEnd"/>
      </w:hyperlink>
    </w:p>
    <w:p w14:paraId="1AF66F49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pict w14:anchorId="4D677734">
          <v:rect id="_x0000_i1335" style="width:0;height:1.5pt" o:hralign="center" o:hrstd="t" o:hr="t" fillcolor="#a0a0a0" stroked="f"/>
        </w:pict>
      </w:r>
    </w:p>
    <w:p w14:paraId="7B18115E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BLOCO 4 — Modernização e Conflito (1946–1964)</w:t>
      </w:r>
    </w:p>
    <w:p w14:paraId="655F38C9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Na tela</w:t>
      </w:r>
    </w:p>
    <w:p w14:paraId="111257C1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Título:</w:t>
      </w:r>
      <w:r w:rsidRPr="00BD683A">
        <w:rPr>
          <w:rFonts w:ascii="Times New Roman" w:hAnsi="Times New Roman" w:cs="Times New Roman"/>
        </w:rPr>
        <w:t xml:space="preserve"> Modernização e Conflito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Subtítulo:</w:t>
      </w:r>
      <w:r w:rsidRPr="00BD683A">
        <w:rPr>
          <w:rFonts w:ascii="Times New Roman" w:hAnsi="Times New Roman" w:cs="Times New Roman"/>
        </w:rPr>
        <w:t xml:space="preserve"> Da engenharia do som à crise do projeto nacional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Período:</w:t>
      </w:r>
      <w:r w:rsidRPr="00BD683A">
        <w:rPr>
          <w:rFonts w:ascii="Times New Roman" w:hAnsi="Times New Roman" w:cs="Times New Roman"/>
        </w:rPr>
        <w:t xml:space="preserve"> 1946–1964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Frase de abertura na tela: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“O Brasil se moderniza na aparência, mas mantém desigualdades no acesso à formação e à cultura.”</w:t>
      </w:r>
    </w:p>
    <w:p w14:paraId="07BD4DB3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Botões/cards na tela</w:t>
      </w:r>
    </w:p>
    <w:p w14:paraId="045A838E" w14:textId="77777777" w:rsidR="00BD683A" w:rsidRPr="00BD683A" w:rsidRDefault="00BD683A" w:rsidP="00BD683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Contexto:</w:t>
      </w:r>
      <w:r w:rsidRPr="00BD683A">
        <w:rPr>
          <w:rFonts w:ascii="Times New Roman" w:hAnsi="Times New Roman" w:cs="Times New Roman"/>
        </w:rPr>
        <w:t xml:space="preserve"> industrialização, Brasília e modernidade</w:t>
      </w:r>
    </w:p>
    <w:p w14:paraId="1F75828E" w14:textId="77777777" w:rsidR="00BD683A" w:rsidRPr="00BD683A" w:rsidRDefault="00BD683A" w:rsidP="00BD683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Educação:</w:t>
      </w:r>
      <w:r w:rsidRPr="00BD683A">
        <w:rPr>
          <w:rFonts w:ascii="Times New Roman" w:hAnsi="Times New Roman" w:cs="Times New Roman"/>
        </w:rPr>
        <w:t xml:space="preserve"> LDB de 1961 e equivalência formal</w:t>
      </w:r>
    </w:p>
    <w:p w14:paraId="7A1E3C40" w14:textId="77777777" w:rsidR="00BD683A" w:rsidRPr="00BD683A" w:rsidRDefault="00BD683A" w:rsidP="00BD683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Trabalho:</w:t>
      </w:r>
      <w:r w:rsidRPr="00BD683A">
        <w:rPr>
          <w:rFonts w:ascii="Times New Roman" w:hAnsi="Times New Roman" w:cs="Times New Roman"/>
        </w:rPr>
        <w:t xml:space="preserve"> especialização e novos critérios de competência</w:t>
      </w:r>
    </w:p>
    <w:p w14:paraId="74FA6C11" w14:textId="77777777" w:rsidR="00BD683A" w:rsidRPr="00BD683A" w:rsidRDefault="00BD683A" w:rsidP="00BD683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Música:</w:t>
      </w:r>
      <w:r w:rsidRPr="00BD683A">
        <w:rPr>
          <w:rFonts w:ascii="Times New Roman" w:hAnsi="Times New Roman" w:cs="Times New Roman"/>
        </w:rPr>
        <w:t xml:space="preserve"> Bossa Nova e prestígio técnico</w:t>
      </w:r>
    </w:p>
    <w:p w14:paraId="4610BC17" w14:textId="77777777" w:rsidR="00BD683A" w:rsidRPr="00BD683A" w:rsidRDefault="00BD683A" w:rsidP="00BD683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Escuta</w:t>
      </w:r>
    </w:p>
    <w:p w14:paraId="0B0C9833" w14:textId="77777777" w:rsidR="00BD683A" w:rsidRPr="00BD683A" w:rsidRDefault="00BD683A" w:rsidP="00BD683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Saiba mais</w:t>
      </w:r>
    </w:p>
    <w:p w14:paraId="7D3787D5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Vai para pop-up</w:t>
      </w:r>
    </w:p>
    <w:p w14:paraId="5662F621" w14:textId="77777777" w:rsidR="00BD683A" w:rsidRPr="00BD683A" w:rsidRDefault="00BD683A" w:rsidP="00BD683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mulheres e barreiras na modernização musical</w:t>
      </w:r>
    </w:p>
    <w:p w14:paraId="2D8944A7" w14:textId="77777777" w:rsidR="00BD683A" w:rsidRPr="00BD683A" w:rsidRDefault="00BD683A" w:rsidP="00BD683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equivalência formal sem igualdade de prestígio</w:t>
      </w:r>
    </w:p>
    <w:p w14:paraId="061B8D65" w14:textId="77777777" w:rsidR="00BD683A" w:rsidRPr="00BD683A" w:rsidRDefault="00BD683A" w:rsidP="00BD683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trajetória instável de artistas que não cabem no ideal moderno</w:t>
      </w:r>
    </w:p>
    <w:p w14:paraId="6A0BFD2F" w14:textId="77777777" w:rsidR="00BD683A" w:rsidRPr="00BD683A" w:rsidRDefault="00BD683A" w:rsidP="00BD683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crítica à ideia de sofisticação neutra</w:t>
      </w:r>
    </w:p>
    <w:p w14:paraId="68FCD554" w14:textId="77777777" w:rsidR="00BD683A" w:rsidRPr="00BD683A" w:rsidRDefault="00BD683A" w:rsidP="00BD683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comparação entre </w:t>
      </w:r>
      <w:r w:rsidRPr="00BD683A">
        <w:rPr>
          <w:rFonts w:ascii="Times New Roman" w:hAnsi="Times New Roman" w:cs="Times New Roman"/>
          <w:b/>
          <w:bCs/>
        </w:rPr>
        <w:t>“Chega de Saudade”</w:t>
      </w:r>
      <w:r w:rsidRPr="00BD683A">
        <w:rPr>
          <w:rFonts w:ascii="Times New Roman" w:hAnsi="Times New Roman" w:cs="Times New Roman"/>
        </w:rPr>
        <w:t xml:space="preserve"> e </w:t>
      </w:r>
      <w:r w:rsidRPr="00BD683A">
        <w:rPr>
          <w:rFonts w:ascii="Times New Roman" w:hAnsi="Times New Roman" w:cs="Times New Roman"/>
          <w:b/>
          <w:bCs/>
        </w:rPr>
        <w:t>“Zelão”</w:t>
      </w:r>
    </w:p>
    <w:p w14:paraId="4690EEE0" w14:textId="77777777" w:rsidR="00BD683A" w:rsidRPr="00BD683A" w:rsidRDefault="00BD683A" w:rsidP="00BD683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novos filtros culturais e técnicos</w:t>
      </w:r>
    </w:p>
    <w:p w14:paraId="4128EEC7" w14:textId="77777777" w:rsidR="00BD683A" w:rsidRPr="00BD683A" w:rsidRDefault="00BD683A" w:rsidP="00BD683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referências sobre </w:t>
      </w:r>
      <w:proofErr w:type="spellStart"/>
      <w:r w:rsidRPr="00BD683A">
        <w:rPr>
          <w:rFonts w:ascii="Times New Roman" w:hAnsi="Times New Roman" w:cs="Times New Roman"/>
        </w:rPr>
        <w:t>CEFETs</w:t>
      </w:r>
      <w:proofErr w:type="spellEnd"/>
      <w:r w:rsidRPr="00BD683A">
        <w:rPr>
          <w:rFonts w:ascii="Times New Roman" w:hAnsi="Times New Roman" w:cs="Times New Roman"/>
        </w:rPr>
        <w:t xml:space="preserve"> e TV Tupi</w:t>
      </w:r>
    </w:p>
    <w:p w14:paraId="5A5D153E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lastRenderedPageBreak/>
        <w:t>Cortar</w:t>
      </w:r>
    </w:p>
    <w:p w14:paraId="4004DA45" w14:textId="77777777" w:rsidR="00BD683A" w:rsidRPr="00BD683A" w:rsidRDefault="00BD683A" w:rsidP="00BD683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trechos muito analíticos sobre “projeto nacional”</w:t>
      </w:r>
    </w:p>
    <w:p w14:paraId="15364E61" w14:textId="77777777" w:rsidR="00BD683A" w:rsidRPr="00BD683A" w:rsidRDefault="00BD683A" w:rsidP="00BD683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repetições sobre modernidade desigual</w:t>
      </w:r>
    </w:p>
    <w:p w14:paraId="5F699363" w14:textId="77777777" w:rsidR="00BD683A" w:rsidRPr="00BD683A" w:rsidRDefault="00BD683A" w:rsidP="00BD683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explicações longas sobre diferenciação social</w:t>
      </w:r>
    </w:p>
    <w:p w14:paraId="704826FC" w14:textId="77777777" w:rsidR="00BD683A" w:rsidRPr="00BD683A" w:rsidRDefault="00BD683A" w:rsidP="00BD683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partes em que a conexão apenas anuncia a próxima aba</w:t>
      </w:r>
    </w:p>
    <w:p w14:paraId="1B0C9293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Adaptação ideal</w:t>
      </w:r>
    </w:p>
    <w:p w14:paraId="4C5FE326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Esse bloco pede uma solução visual contrastiva: </w:t>
      </w:r>
      <w:r w:rsidRPr="00BD683A">
        <w:rPr>
          <w:rFonts w:ascii="Times New Roman" w:hAnsi="Times New Roman" w:cs="Times New Roman"/>
          <w:b/>
          <w:bCs/>
        </w:rPr>
        <w:t>Bossa Nova / sofisticação</w:t>
      </w:r>
      <w:r w:rsidRPr="00BD683A">
        <w:rPr>
          <w:rFonts w:ascii="Times New Roman" w:hAnsi="Times New Roman" w:cs="Times New Roman"/>
        </w:rPr>
        <w:t xml:space="preserve"> de um lado, </w:t>
      </w:r>
      <w:r w:rsidRPr="00BD683A">
        <w:rPr>
          <w:rFonts w:ascii="Times New Roman" w:hAnsi="Times New Roman" w:cs="Times New Roman"/>
          <w:b/>
          <w:bCs/>
        </w:rPr>
        <w:t>desigualdade / exclusão</w:t>
      </w:r>
      <w:r w:rsidRPr="00BD683A">
        <w:rPr>
          <w:rFonts w:ascii="Times New Roman" w:hAnsi="Times New Roman" w:cs="Times New Roman"/>
        </w:rPr>
        <w:t xml:space="preserve"> do outro. Não deixe o texto da tela ficar acadêmico. Use frases curtas e um visual mais “limpo”, coerente com a estética do próprio período. </w:t>
      </w:r>
      <w:hyperlink r:id="rId10" w:history="1">
        <w:proofErr w:type="spellStart"/>
        <w:r w:rsidRPr="00BD683A">
          <w:rPr>
            <w:rStyle w:val="Hyperlink"/>
            <w:rFonts w:ascii="Times New Roman" w:hAnsi="Times New Roman" w:cs="Times New Roman"/>
          </w:rPr>
          <w:t>Source</w:t>
        </w:r>
        <w:proofErr w:type="spellEnd"/>
      </w:hyperlink>
    </w:p>
    <w:p w14:paraId="159A092A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pict w14:anchorId="1554D9E3">
          <v:rect id="_x0000_i1336" style="width:0;height:1.5pt" o:hralign="center" o:hrstd="t" o:hr="t" fillcolor="#a0a0a0" stroked="f"/>
        </w:pict>
      </w:r>
    </w:p>
    <w:p w14:paraId="515E5A5C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BLOCO 5 — Resistência e Inovação (1964–1985)</w:t>
      </w:r>
    </w:p>
    <w:p w14:paraId="2BBD6DEA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Na tela</w:t>
      </w:r>
    </w:p>
    <w:p w14:paraId="1D2E7277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Título:</w:t>
      </w:r>
      <w:r w:rsidRPr="00BD683A">
        <w:rPr>
          <w:rFonts w:ascii="Times New Roman" w:hAnsi="Times New Roman" w:cs="Times New Roman"/>
        </w:rPr>
        <w:t xml:space="preserve"> Resistência e Inovação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Subtítulo:</w:t>
      </w:r>
      <w:r w:rsidRPr="00BD683A">
        <w:rPr>
          <w:rFonts w:ascii="Times New Roman" w:hAnsi="Times New Roman" w:cs="Times New Roman"/>
        </w:rPr>
        <w:t xml:space="preserve"> A técnica sob controle e o som como trincheira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Período:</w:t>
      </w:r>
      <w:r w:rsidRPr="00BD683A">
        <w:rPr>
          <w:rFonts w:ascii="Times New Roman" w:hAnsi="Times New Roman" w:cs="Times New Roman"/>
        </w:rPr>
        <w:t xml:space="preserve"> 1964–1985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Frase de abertura na tela: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“Sob ditadura, a técnica serve ao controle — mas a música abre frestas de resistência.”</w:t>
      </w:r>
    </w:p>
    <w:p w14:paraId="19EA0B83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Botões/cards na tela</w:t>
      </w:r>
    </w:p>
    <w:p w14:paraId="42C8509E" w14:textId="77777777" w:rsidR="00BD683A" w:rsidRPr="00BD683A" w:rsidRDefault="00BD683A" w:rsidP="00BD683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Contexto:</w:t>
      </w:r>
      <w:r w:rsidRPr="00BD683A">
        <w:rPr>
          <w:rFonts w:ascii="Times New Roman" w:hAnsi="Times New Roman" w:cs="Times New Roman"/>
        </w:rPr>
        <w:t xml:space="preserve"> repressão, AI-5 e milagre econômico</w:t>
      </w:r>
    </w:p>
    <w:p w14:paraId="19C9A7CD" w14:textId="77777777" w:rsidR="00BD683A" w:rsidRPr="00BD683A" w:rsidRDefault="00BD683A" w:rsidP="00BD683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Educação:</w:t>
      </w:r>
      <w:r w:rsidRPr="00BD683A">
        <w:rPr>
          <w:rFonts w:ascii="Times New Roman" w:hAnsi="Times New Roman" w:cs="Times New Roman"/>
        </w:rPr>
        <w:t xml:space="preserve"> Lei 5.692/1971 e formação funcional</w:t>
      </w:r>
    </w:p>
    <w:p w14:paraId="68371440" w14:textId="77777777" w:rsidR="00BD683A" w:rsidRPr="00BD683A" w:rsidRDefault="00BD683A" w:rsidP="00BD683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Trabalho:</w:t>
      </w:r>
      <w:r w:rsidRPr="00BD683A">
        <w:rPr>
          <w:rFonts w:ascii="Times New Roman" w:hAnsi="Times New Roman" w:cs="Times New Roman"/>
        </w:rPr>
        <w:t xml:space="preserve"> bastidores técnicos e indústria cultural</w:t>
      </w:r>
    </w:p>
    <w:p w14:paraId="2410BE9B" w14:textId="77777777" w:rsidR="00BD683A" w:rsidRPr="00BD683A" w:rsidRDefault="00BD683A" w:rsidP="00BD683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Música:</w:t>
      </w:r>
      <w:r w:rsidRPr="00BD683A">
        <w:rPr>
          <w:rFonts w:ascii="Times New Roman" w:hAnsi="Times New Roman" w:cs="Times New Roman"/>
        </w:rPr>
        <w:t xml:space="preserve"> festivais, metáfora e ruptura</w:t>
      </w:r>
    </w:p>
    <w:p w14:paraId="316D149B" w14:textId="77777777" w:rsidR="00BD683A" w:rsidRPr="00BD683A" w:rsidRDefault="00BD683A" w:rsidP="00BD683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Escuta</w:t>
      </w:r>
    </w:p>
    <w:p w14:paraId="40BC3F0C" w14:textId="77777777" w:rsidR="00BD683A" w:rsidRPr="00BD683A" w:rsidRDefault="00BD683A" w:rsidP="00BD683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Saiba mais</w:t>
      </w:r>
    </w:p>
    <w:p w14:paraId="10CB86CE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Vai para pop-up</w:t>
      </w:r>
    </w:p>
    <w:p w14:paraId="6AFF3F56" w14:textId="77777777" w:rsidR="00BD683A" w:rsidRPr="00BD683A" w:rsidRDefault="00BD683A" w:rsidP="00BD683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enfrentamento simbólico de artistas como Elis, Gal e Rita</w:t>
      </w:r>
    </w:p>
    <w:p w14:paraId="5D2DB06A" w14:textId="77777777" w:rsidR="00BD683A" w:rsidRPr="00BD683A" w:rsidRDefault="00BD683A" w:rsidP="00BD683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explicação da profissionalização subordinada à utilidade produtiva</w:t>
      </w:r>
    </w:p>
    <w:p w14:paraId="3CD5BB2F" w14:textId="77777777" w:rsidR="00BD683A" w:rsidRPr="00BD683A" w:rsidRDefault="00BD683A" w:rsidP="00BD683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técnicos de áudio invisibilizados</w:t>
      </w:r>
    </w:p>
    <w:p w14:paraId="6E7ACA65" w14:textId="77777777" w:rsidR="00BD683A" w:rsidRPr="00BD683A" w:rsidRDefault="00BD683A" w:rsidP="00BD683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Tropicalismo como ruptura</w:t>
      </w:r>
    </w:p>
    <w:p w14:paraId="77B37A1A" w14:textId="77777777" w:rsidR="00BD683A" w:rsidRPr="00BD683A" w:rsidRDefault="00BD683A" w:rsidP="00BD683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comparação entre </w:t>
      </w:r>
      <w:r w:rsidRPr="00BD683A">
        <w:rPr>
          <w:rFonts w:ascii="Times New Roman" w:hAnsi="Times New Roman" w:cs="Times New Roman"/>
          <w:b/>
          <w:bCs/>
        </w:rPr>
        <w:t>“Alegria, Alegria”</w:t>
      </w:r>
      <w:r w:rsidRPr="00BD683A">
        <w:rPr>
          <w:rFonts w:ascii="Times New Roman" w:hAnsi="Times New Roman" w:cs="Times New Roman"/>
        </w:rPr>
        <w:t xml:space="preserve"> e </w:t>
      </w:r>
      <w:r w:rsidRPr="00BD683A">
        <w:rPr>
          <w:rFonts w:ascii="Times New Roman" w:hAnsi="Times New Roman" w:cs="Times New Roman"/>
          <w:b/>
          <w:bCs/>
        </w:rPr>
        <w:t>“Cálice”</w:t>
      </w:r>
    </w:p>
    <w:p w14:paraId="3B602990" w14:textId="77777777" w:rsidR="00BD683A" w:rsidRPr="00BD683A" w:rsidRDefault="00BD683A" w:rsidP="00BD683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leitura do “cale-se”</w:t>
      </w:r>
    </w:p>
    <w:p w14:paraId="7327455D" w14:textId="77777777" w:rsidR="00BD683A" w:rsidRPr="00BD683A" w:rsidRDefault="00BD683A" w:rsidP="00BD683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criação dos </w:t>
      </w:r>
      <w:proofErr w:type="spellStart"/>
      <w:r w:rsidRPr="00BD683A">
        <w:rPr>
          <w:rFonts w:ascii="Times New Roman" w:hAnsi="Times New Roman" w:cs="Times New Roman"/>
        </w:rPr>
        <w:t>CEFETs</w:t>
      </w:r>
      <w:proofErr w:type="spellEnd"/>
      <w:r w:rsidRPr="00BD683A">
        <w:rPr>
          <w:rFonts w:ascii="Times New Roman" w:hAnsi="Times New Roman" w:cs="Times New Roman"/>
        </w:rPr>
        <w:t xml:space="preserve"> e censura cultural</w:t>
      </w:r>
    </w:p>
    <w:p w14:paraId="449CE8A3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Cortar</w:t>
      </w:r>
    </w:p>
    <w:p w14:paraId="529585C3" w14:textId="77777777" w:rsidR="00BD683A" w:rsidRPr="00BD683A" w:rsidRDefault="00BD683A" w:rsidP="00BD683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histórico longo da ditadura na abertura</w:t>
      </w:r>
    </w:p>
    <w:p w14:paraId="4D396DCB" w14:textId="77777777" w:rsidR="00BD683A" w:rsidRPr="00BD683A" w:rsidRDefault="00BD683A" w:rsidP="00BD683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toda conexão que apenas repete “controle” ou “vigilância”</w:t>
      </w:r>
    </w:p>
    <w:p w14:paraId="2F35EA6D" w14:textId="77777777" w:rsidR="00BD683A" w:rsidRPr="00BD683A" w:rsidRDefault="00BD683A" w:rsidP="00BD683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lastRenderedPageBreak/>
        <w:t>detalhamento excessivo do contexto legal</w:t>
      </w:r>
    </w:p>
    <w:p w14:paraId="426F1DBB" w14:textId="77777777" w:rsidR="00BD683A" w:rsidRPr="00BD683A" w:rsidRDefault="00BD683A" w:rsidP="00BD683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reforços repetidos da mesma tese em mais de uma aba</w:t>
      </w:r>
    </w:p>
    <w:p w14:paraId="3BD4695F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Solução visual</w:t>
      </w:r>
    </w:p>
    <w:p w14:paraId="5EDB4491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Esse bloco funciona muito bem com linguagem de tensão: sombreamento, contraste, ruído, censura visual. Mas o texto precisa continuar curto. A mensagem principal é: </w:t>
      </w:r>
      <w:r w:rsidRPr="00BD683A">
        <w:rPr>
          <w:rFonts w:ascii="Times New Roman" w:hAnsi="Times New Roman" w:cs="Times New Roman"/>
          <w:b/>
          <w:bCs/>
        </w:rPr>
        <w:t>mesmo controlada, a música não deixa de pensar o país</w:t>
      </w:r>
      <w:r w:rsidRPr="00BD683A">
        <w:rPr>
          <w:rFonts w:ascii="Times New Roman" w:hAnsi="Times New Roman" w:cs="Times New Roman"/>
        </w:rPr>
        <w:t xml:space="preserve">. </w:t>
      </w:r>
      <w:hyperlink r:id="rId11" w:history="1">
        <w:proofErr w:type="spellStart"/>
        <w:r w:rsidRPr="00BD683A">
          <w:rPr>
            <w:rStyle w:val="Hyperlink"/>
            <w:rFonts w:ascii="Times New Roman" w:hAnsi="Times New Roman" w:cs="Times New Roman"/>
          </w:rPr>
          <w:t>Source</w:t>
        </w:r>
        <w:proofErr w:type="spellEnd"/>
      </w:hyperlink>
    </w:p>
    <w:p w14:paraId="1CE24D76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pict w14:anchorId="7337A4B1">
          <v:rect id="_x0000_i1337" style="width:0;height:1.5pt" o:hralign="center" o:hrstd="t" o:hr="t" fillcolor="#a0a0a0" stroked="f"/>
        </w:pict>
      </w:r>
    </w:p>
    <w:p w14:paraId="30C27917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BLOCO 6 — Redemocratização e Novas Vozes (1985–2008)</w:t>
      </w:r>
    </w:p>
    <w:p w14:paraId="2FAC3D4D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Na tela</w:t>
      </w:r>
    </w:p>
    <w:p w14:paraId="7DB8738F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Título:</w:t>
      </w:r>
      <w:r w:rsidRPr="00BD683A">
        <w:rPr>
          <w:rFonts w:ascii="Times New Roman" w:hAnsi="Times New Roman" w:cs="Times New Roman"/>
        </w:rPr>
        <w:t xml:space="preserve"> Redemocratização e Novas Vozes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Subtítulo:</w:t>
      </w:r>
      <w:r w:rsidRPr="00BD683A">
        <w:rPr>
          <w:rFonts w:ascii="Times New Roman" w:hAnsi="Times New Roman" w:cs="Times New Roman"/>
        </w:rPr>
        <w:t xml:space="preserve"> Da pluralidade de estilos à criação dos Institutos Federais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Período:</w:t>
      </w:r>
      <w:r w:rsidRPr="00BD683A">
        <w:rPr>
          <w:rFonts w:ascii="Times New Roman" w:hAnsi="Times New Roman" w:cs="Times New Roman"/>
        </w:rPr>
        <w:t xml:space="preserve"> 1985–2008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Frase de abertura na tela: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“A democracia amplia vozes, mas não elimina a desigualdade nem a precarização.”</w:t>
      </w:r>
    </w:p>
    <w:p w14:paraId="283624D2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Botões/cards na tela</w:t>
      </w:r>
    </w:p>
    <w:p w14:paraId="402F471C" w14:textId="77777777" w:rsidR="00BD683A" w:rsidRPr="00BD683A" w:rsidRDefault="00BD683A" w:rsidP="00BD683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Contexto:</w:t>
      </w:r>
      <w:r w:rsidRPr="00BD683A">
        <w:rPr>
          <w:rFonts w:ascii="Times New Roman" w:hAnsi="Times New Roman" w:cs="Times New Roman"/>
        </w:rPr>
        <w:t xml:space="preserve"> direitos ampliados e contradições do período</w:t>
      </w:r>
    </w:p>
    <w:p w14:paraId="70C7C733" w14:textId="77777777" w:rsidR="00BD683A" w:rsidRPr="00BD683A" w:rsidRDefault="00BD683A" w:rsidP="00BD683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Educação:</w:t>
      </w:r>
      <w:r w:rsidRPr="00BD683A">
        <w:rPr>
          <w:rFonts w:ascii="Times New Roman" w:hAnsi="Times New Roman" w:cs="Times New Roman"/>
        </w:rPr>
        <w:t xml:space="preserve"> criação dos Institutos Federais</w:t>
      </w:r>
    </w:p>
    <w:p w14:paraId="3B31DB0D" w14:textId="77777777" w:rsidR="00BD683A" w:rsidRPr="00BD683A" w:rsidRDefault="00BD683A" w:rsidP="00BD683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Trabalho:</w:t>
      </w:r>
      <w:r w:rsidRPr="00BD683A">
        <w:rPr>
          <w:rFonts w:ascii="Times New Roman" w:hAnsi="Times New Roman" w:cs="Times New Roman"/>
        </w:rPr>
        <w:t xml:space="preserve"> digitalização e novas formas de precarização</w:t>
      </w:r>
    </w:p>
    <w:p w14:paraId="02AD4E61" w14:textId="77777777" w:rsidR="00BD683A" w:rsidRPr="00BD683A" w:rsidRDefault="00BD683A" w:rsidP="00BD683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Música:</w:t>
      </w:r>
      <w:r w:rsidRPr="00BD683A">
        <w:rPr>
          <w:rFonts w:ascii="Times New Roman" w:hAnsi="Times New Roman" w:cs="Times New Roman"/>
        </w:rPr>
        <w:t xml:space="preserve"> rock, rap, funk, sertanejo e diversidade</w:t>
      </w:r>
    </w:p>
    <w:p w14:paraId="4DA48BBF" w14:textId="77777777" w:rsidR="00BD683A" w:rsidRPr="00BD683A" w:rsidRDefault="00BD683A" w:rsidP="00BD683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Escuta</w:t>
      </w:r>
    </w:p>
    <w:p w14:paraId="3C91F42F" w14:textId="77777777" w:rsidR="00BD683A" w:rsidRPr="00BD683A" w:rsidRDefault="00BD683A" w:rsidP="00BD683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Saiba mais</w:t>
      </w:r>
    </w:p>
    <w:p w14:paraId="465178BB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Vai para pop-up</w:t>
      </w:r>
    </w:p>
    <w:p w14:paraId="3E91669D" w14:textId="77777777" w:rsidR="00BD683A" w:rsidRPr="00BD683A" w:rsidRDefault="00BD683A" w:rsidP="00BD683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tensão entre direitos formais e desigualdade persistente</w:t>
      </w:r>
    </w:p>
    <w:p w14:paraId="6B1A7637" w14:textId="77777777" w:rsidR="00BD683A" w:rsidRPr="00BD683A" w:rsidRDefault="00BD683A" w:rsidP="00BD683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discussão sobre formação integral x empregabilidade</w:t>
      </w:r>
    </w:p>
    <w:p w14:paraId="71360C5F" w14:textId="77777777" w:rsidR="00BD683A" w:rsidRPr="00BD683A" w:rsidRDefault="00BD683A" w:rsidP="00BD683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tecnologia e trabalho precário</w:t>
      </w:r>
    </w:p>
    <w:p w14:paraId="41858409" w14:textId="77777777" w:rsidR="00BD683A" w:rsidRPr="00BD683A" w:rsidRDefault="00BD683A" w:rsidP="00BD683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Manguebeat e protagonismo feminino</w:t>
      </w:r>
    </w:p>
    <w:p w14:paraId="3A2719EC" w14:textId="77777777" w:rsidR="00BD683A" w:rsidRPr="00BD683A" w:rsidRDefault="00BD683A" w:rsidP="00BD683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comparação entre </w:t>
      </w:r>
      <w:r w:rsidRPr="00BD683A">
        <w:rPr>
          <w:rFonts w:ascii="Times New Roman" w:hAnsi="Times New Roman" w:cs="Times New Roman"/>
          <w:b/>
          <w:bCs/>
        </w:rPr>
        <w:t>“Da Lama ao Caos”</w:t>
      </w:r>
      <w:r w:rsidRPr="00BD683A">
        <w:rPr>
          <w:rFonts w:ascii="Times New Roman" w:hAnsi="Times New Roman" w:cs="Times New Roman"/>
        </w:rPr>
        <w:t xml:space="preserve"> e </w:t>
      </w:r>
      <w:r w:rsidRPr="00BD683A">
        <w:rPr>
          <w:rFonts w:ascii="Times New Roman" w:hAnsi="Times New Roman" w:cs="Times New Roman"/>
          <w:b/>
          <w:bCs/>
        </w:rPr>
        <w:t>“Capítulo 4, Versículo 3”</w:t>
      </w:r>
    </w:p>
    <w:p w14:paraId="091A459C" w14:textId="77777777" w:rsidR="00BD683A" w:rsidRPr="00BD683A" w:rsidRDefault="00BD683A" w:rsidP="00BD683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cultura como parte da formação do estudante</w:t>
      </w:r>
    </w:p>
    <w:p w14:paraId="4FED211A" w14:textId="77777777" w:rsidR="00BD683A" w:rsidRPr="00BD683A" w:rsidRDefault="00BD683A" w:rsidP="00BD683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marcos legais de 2004 e 2008</w:t>
      </w:r>
    </w:p>
    <w:p w14:paraId="571BBB76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Cortar</w:t>
      </w:r>
    </w:p>
    <w:p w14:paraId="5DF36F9D" w14:textId="77777777" w:rsidR="00BD683A" w:rsidRPr="00BD683A" w:rsidRDefault="00BD683A" w:rsidP="00BD683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abertura longa sobre transição democrática</w:t>
      </w:r>
    </w:p>
    <w:p w14:paraId="5F0DBA64" w14:textId="77777777" w:rsidR="00BD683A" w:rsidRPr="00BD683A" w:rsidRDefault="00BD683A" w:rsidP="00BD683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excesso de enumeração de estilos musicais</w:t>
      </w:r>
    </w:p>
    <w:p w14:paraId="2CB47ECC" w14:textId="77777777" w:rsidR="00BD683A" w:rsidRPr="00BD683A" w:rsidRDefault="00BD683A" w:rsidP="00BD683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repetição da pergunta “a técnica emancipa ou explora?”</w:t>
      </w:r>
    </w:p>
    <w:p w14:paraId="2371243D" w14:textId="77777777" w:rsidR="00BD683A" w:rsidRPr="00BD683A" w:rsidRDefault="00BD683A" w:rsidP="00BD683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passagens muito abstratas sobre neoliberalismo se não estiverem visuais</w:t>
      </w:r>
    </w:p>
    <w:p w14:paraId="4688009E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Melhor formato</w:t>
      </w:r>
    </w:p>
    <w:p w14:paraId="6A8C79AC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lastRenderedPageBreak/>
        <w:t xml:space="preserve">Esse bloco pode ter um mapa de vozes ou mosaico de gêneros. A tela não precisa listar tudo; precisa mostrar que a escola técnica, agora, recebe estudantes que chegam com repertórios culturais muito mais diversos. </w:t>
      </w:r>
      <w:hyperlink r:id="rId12" w:history="1">
        <w:proofErr w:type="spellStart"/>
        <w:r w:rsidRPr="00BD683A">
          <w:rPr>
            <w:rStyle w:val="Hyperlink"/>
            <w:rFonts w:ascii="Times New Roman" w:hAnsi="Times New Roman" w:cs="Times New Roman"/>
          </w:rPr>
          <w:t>Source</w:t>
        </w:r>
        <w:proofErr w:type="spellEnd"/>
      </w:hyperlink>
    </w:p>
    <w:p w14:paraId="2A24B83E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pict w14:anchorId="38B6023A">
          <v:rect id="_x0000_i1338" style="width:0;height:1.5pt" o:hralign="center" o:hrstd="t" o:hr="t" fillcolor="#a0a0a0" stroked="f"/>
        </w:pict>
      </w:r>
    </w:p>
    <w:p w14:paraId="5DBCE68F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BLOCO 7 — O Nordeste Imaginado e Vivido</w:t>
      </w:r>
    </w:p>
    <w:p w14:paraId="32E5D318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Na tela</w:t>
      </w:r>
    </w:p>
    <w:p w14:paraId="35DFFCB6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Título:</w:t>
      </w:r>
      <w:r w:rsidRPr="00BD683A">
        <w:rPr>
          <w:rFonts w:ascii="Times New Roman" w:hAnsi="Times New Roman" w:cs="Times New Roman"/>
        </w:rPr>
        <w:t xml:space="preserve"> O Nordeste Imaginado e Vivido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Subtítulo:</w:t>
      </w:r>
      <w:r w:rsidRPr="00BD683A">
        <w:rPr>
          <w:rFonts w:ascii="Times New Roman" w:hAnsi="Times New Roman" w:cs="Times New Roman"/>
        </w:rPr>
        <w:t xml:space="preserve"> Vozes, técnica e tradição no território nordestino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Período:</w:t>
      </w:r>
      <w:r w:rsidRPr="00BD683A">
        <w:rPr>
          <w:rFonts w:ascii="Times New Roman" w:hAnsi="Times New Roman" w:cs="Times New Roman"/>
        </w:rPr>
        <w:t xml:space="preserve"> Século XX aos dias atuais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Frase de abertura na tela: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“O Nordeste não é só imagem construída: é território vivido, técnico, musical e político.”</w:t>
      </w:r>
    </w:p>
    <w:p w14:paraId="6CEEA669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Botões/cards na tela</w:t>
      </w:r>
    </w:p>
    <w:p w14:paraId="1A72F140" w14:textId="77777777" w:rsidR="00BD683A" w:rsidRPr="00BD683A" w:rsidRDefault="00BD683A" w:rsidP="00BD683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Contexto:</w:t>
      </w:r>
      <w:r w:rsidRPr="00BD683A">
        <w:rPr>
          <w:rFonts w:ascii="Times New Roman" w:hAnsi="Times New Roman" w:cs="Times New Roman"/>
        </w:rPr>
        <w:t xml:space="preserve"> o Nordeste entre invenção e experiência</w:t>
      </w:r>
    </w:p>
    <w:p w14:paraId="469DD554" w14:textId="77777777" w:rsidR="00BD683A" w:rsidRPr="00BD683A" w:rsidRDefault="00BD683A" w:rsidP="00BD683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Educação:</w:t>
      </w:r>
      <w:r w:rsidRPr="00BD683A">
        <w:rPr>
          <w:rFonts w:ascii="Times New Roman" w:hAnsi="Times New Roman" w:cs="Times New Roman"/>
        </w:rPr>
        <w:t xml:space="preserve"> cultura popular e EPT</w:t>
      </w:r>
    </w:p>
    <w:p w14:paraId="300DD062" w14:textId="77777777" w:rsidR="00BD683A" w:rsidRPr="00BD683A" w:rsidRDefault="00BD683A" w:rsidP="00BD683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Trabalho:</w:t>
      </w:r>
      <w:r w:rsidRPr="00BD683A">
        <w:rPr>
          <w:rFonts w:ascii="Times New Roman" w:hAnsi="Times New Roman" w:cs="Times New Roman"/>
        </w:rPr>
        <w:t xml:space="preserve"> trabalho feminino, ritmo e invisibilidade</w:t>
      </w:r>
    </w:p>
    <w:p w14:paraId="1D00036A" w14:textId="77777777" w:rsidR="00BD683A" w:rsidRPr="00BD683A" w:rsidRDefault="00BD683A" w:rsidP="00BD683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Música:</w:t>
      </w:r>
      <w:r w:rsidRPr="00BD683A">
        <w:rPr>
          <w:rFonts w:ascii="Times New Roman" w:hAnsi="Times New Roman" w:cs="Times New Roman"/>
        </w:rPr>
        <w:t xml:space="preserve"> forró, sanfona e disputa de gênero</w:t>
      </w:r>
    </w:p>
    <w:p w14:paraId="248FBBBF" w14:textId="77777777" w:rsidR="00BD683A" w:rsidRPr="00BD683A" w:rsidRDefault="00BD683A" w:rsidP="00BD683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Escuta</w:t>
      </w:r>
    </w:p>
    <w:p w14:paraId="392257BE" w14:textId="77777777" w:rsidR="00BD683A" w:rsidRPr="00BD683A" w:rsidRDefault="00BD683A" w:rsidP="00BD683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Saiba mais</w:t>
      </w:r>
    </w:p>
    <w:p w14:paraId="758CE731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Vai para pop-up</w:t>
      </w:r>
    </w:p>
    <w:p w14:paraId="398E3478" w14:textId="77777777" w:rsidR="00BD683A" w:rsidRPr="00BD683A" w:rsidRDefault="00BD683A" w:rsidP="00BD683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ideia de Nordeste como construção discursiva</w:t>
      </w:r>
    </w:p>
    <w:p w14:paraId="1F7FA834" w14:textId="77777777" w:rsidR="00BD683A" w:rsidRPr="00BD683A" w:rsidRDefault="00BD683A" w:rsidP="00BD683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aprendizagem informal e saber popular</w:t>
      </w:r>
    </w:p>
    <w:p w14:paraId="7F6486BD" w14:textId="77777777" w:rsidR="00BD683A" w:rsidRPr="00BD683A" w:rsidRDefault="00BD683A" w:rsidP="00BD683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destaque para as </w:t>
      </w:r>
      <w:proofErr w:type="spellStart"/>
      <w:r w:rsidRPr="00BD683A">
        <w:rPr>
          <w:rFonts w:ascii="Times New Roman" w:hAnsi="Times New Roman" w:cs="Times New Roman"/>
        </w:rPr>
        <w:t>destaladeiras</w:t>
      </w:r>
      <w:proofErr w:type="spellEnd"/>
      <w:r w:rsidRPr="00BD683A">
        <w:rPr>
          <w:rFonts w:ascii="Times New Roman" w:hAnsi="Times New Roman" w:cs="Times New Roman"/>
        </w:rPr>
        <w:t xml:space="preserve"> de fumo</w:t>
      </w:r>
    </w:p>
    <w:p w14:paraId="4E91F52C" w14:textId="77777777" w:rsidR="00BD683A" w:rsidRPr="00BD683A" w:rsidRDefault="00BD683A" w:rsidP="00BD683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bloqueio histórico às mulheres instrumentistas</w:t>
      </w:r>
    </w:p>
    <w:p w14:paraId="50778435" w14:textId="77777777" w:rsidR="00BD683A" w:rsidRPr="00BD683A" w:rsidRDefault="00BD683A" w:rsidP="00BD683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Marinês e Cátia de França</w:t>
      </w:r>
    </w:p>
    <w:p w14:paraId="1417BC53" w14:textId="77777777" w:rsidR="00BD683A" w:rsidRPr="00BD683A" w:rsidRDefault="00BD683A" w:rsidP="00BD683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pergunta sobre o que a sanfona ensina à EPT</w:t>
      </w:r>
    </w:p>
    <w:p w14:paraId="6DA0722C" w14:textId="77777777" w:rsidR="00BD683A" w:rsidRPr="00BD683A" w:rsidRDefault="00BD683A" w:rsidP="00BD683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projetos de extensão e grupo As </w:t>
      </w:r>
      <w:proofErr w:type="spellStart"/>
      <w:r w:rsidRPr="00BD683A">
        <w:rPr>
          <w:rFonts w:ascii="Times New Roman" w:hAnsi="Times New Roman" w:cs="Times New Roman"/>
        </w:rPr>
        <w:t>Januárias</w:t>
      </w:r>
      <w:proofErr w:type="spellEnd"/>
    </w:p>
    <w:p w14:paraId="3F4900C3" w14:textId="77777777" w:rsidR="00BD683A" w:rsidRPr="00BD683A" w:rsidRDefault="00BD683A" w:rsidP="00BD683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material complementar sobre cultura popular e patrimônio</w:t>
      </w:r>
    </w:p>
    <w:p w14:paraId="6EAF1F90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Cortar</w:t>
      </w:r>
    </w:p>
    <w:p w14:paraId="4F5AD8A3" w14:textId="77777777" w:rsidR="00BD683A" w:rsidRPr="00BD683A" w:rsidRDefault="00BD683A" w:rsidP="00BD683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formulações muito teóricas sobre “Nordeste inventado”</w:t>
      </w:r>
    </w:p>
    <w:p w14:paraId="6B35D2D5" w14:textId="77777777" w:rsidR="00BD683A" w:rsidRPr="00BD683A" w:rsidRDefault="00BD683A" w:rsidP="00BD683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repetições sobre identidade regional</w:t>
      </w:r>
    </w:p>
    <w:p w14:paraId="0AE62B9F" w14:textId="77777777" w:rsidR="00BD683A" w:rsidRPr="00BD683A" w:rsidRDefault="00BD683A" w:rsidP="00BD683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partes longas de contextualização de gênero se já estiverem diluídas nos cards</w:t>
      </w:r>
    </w:p>
    <w:p w14:paraId="3B241827" w14:textId="77777777" w:rsidR="00BD683A" w:rsidRPr="00BD683A" w:rsidRDefault="00BD683A" w:rsidP="00BD683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excesso de exemplos secundários</w:t>
      </w:r>
    </w:p>
    <w:p w14:paraId="72BF5C24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Foco do bloco</w:t>
      </w:r>
    </w:p>
    <w:p w14:paraId="323ED853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lastRenderedPageBreak/>
        <w:t xml:space="preserve">Esse bloco precisa valorizar o </w:t>
      </w:r>
      <w:r w:rsidRPr="00BD683A">
        <w:rPr>
          <w:rFonts w:ascii="Times New Roman" w:hAnsi="Times New Roman" w:cs="Times New Roman"/>
          <w:b/>
          <w:bCs/>
        </w:rPr>
        <w:t>protagonismo feminino</w:t>
      </w:r>
      <w:r w:rsidRPr="00BD683A">
        <w:rPr>
          <w:rFonts w:ascii="Times New Roman" w:hAnsi="Times New Roman" w:cs="Times New Roman"/>
        </w:rPr>
        <w:t xml:space="preserve"> e a ideia de que o território também produz técnica. O corte principal aqui é evitar transformar a tela em aula expositiva; deixe a tela trabalhar com poucas frases e muito acionamento por clique. </w:t>
      </w:r>
      <w:hyperlink r:id="rId13" w:history="1">
        <w:proofErr w:type="spellStart"/>
        <w:r w:rsidRPr="00BD683A">
          <w:rPr>
            <w:rStyle w:val="Hyperlink"/>
            <w:rFonts w:ascii="Times New Roman" w:hAnsi="Times New Roman" w:cs="Times New Roman"/>
          </w:rPr>
          <w:t>Source</w:t>
        </w:r>
        <w:proofErr w:type="spellEnd"/>
      </w:hyperlink>
    </w:p>
    <w:p w14:paraId="2FFDBCBF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pict w14:anchorId="39804283">
          <v:rect id="_x0000_i1339" style="width:0;height:1.5pt" o:hralign="center" o:hrstd="t" o:hr="t" fillcolor="#a0a0a0" stroked="f"/>
        </w:pict>
      </w:r>
    </w:p>
    <w:p w14:paraId="343EC800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BLOCO 8 — Diversidade Amazônica e Saberes Integrados</w:t>
      </w:r>
    </w:p>
    <w:p w14:paraId="678B6EF4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Na tela</w:t>
      </w:r>
    </w:p>
    <w:p w14:paraId="6B2C875D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Título:</w:t>
      </w:r>
      <w:r w:rsidRPr="00BD683A">
        <w:rPr>
          <w:rFonts w:ascii="Times New Roman" w:hAnsi="Times New Roman" w:cs="Times New Roman"/>
        </w:rPr>
        <w:t xml:space="preserve"> Diversidade Amazônica e Saberes Integrados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Subtítulo:</w:t>
      </w:r>
      <w:r w:rsidRPr="00BD683A">
        <w:rPr>
          <w:rFonts w:ascii="Times New Roman" w:hAnsi="Times New Roman" w:cs="Times New Roman"/>
        </w:rPr>
        <w:t xml:space="preserve"> A técnica na beira do rio e a antena na lama do interior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Período:</w:t>
      </w:r>
      <w:r w:rsidRPr="00BD683A">
        <w:rPr>
          <w:rFonts w:ascii="Times New Roman" w:hAnsi="Times New Roman" w:cs="Times New Roman"/>
        </w:rPr>
        <w:t xml:space="preserve"> 2008 – presente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Frase de abertura na tela: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“Na Amazônia, a técnica não chega pronta: ela é recriada no encontro entre escola, rio, floresta e comunidade.”</w:t>
      </w:r>
    </w:p>
    <w:p w14:paraId="2651FD3D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Botões/cards na tela</w:t>
      </w:r>
    </w:p>
    <w:p w14:paraId="326CC9C7" w14:textId="77777777" w:rsidR="00BD683A" w:rsidRPr="00BD683A" w:rsidRDefault="00BD683A" w:rsidP="00BD683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Contexto:</w:t>
      </w:r>
      <w:r w:rsidRPr="00BD683A">
        <w:rPr>
          <w:rFonts w:ascii="Times New Roman" w:hAnsi="Times New Roman" w:cs="Times New Roman"/>
        </w:rPr>
        <w:t xml:space="preserve"> interiorização da Rede Federal</w:t>
      </w:r>
    </w:p>
    <w:p w14:paraId="1285AF1D" w14:textId="77777777" w:rsidR="00BD683A" w:rsidRPr="00BD683A" w:rsidRDefault="00BD683A" w:rsidP="00BD683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Educação:</w:t>
      </w:r>
      <w:r w:rsidRPr="00BD683A">
        <w:rPr>
          <w:rFonts w:ascii="Times New Roman" w:hAnsi="Times New Roman" w:cs="Times New Roman"/>
        </w:rPr>
        <w:t xml:space="preserve"> currículo e repertórios locais</w:t>
      </w:r>
    </w:p>
    <w:p w14:paraId="2D9B9A84" w14:textId="77777777" w:rsidR="00BD683A" w:rsidRPr="00BD683A" w:rsidRDefault="00BD683A" w:rsidP="00BD683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Trabalho:</w:t>
      </w:r>
      <w:r w:rsidRPr="00BD683A">
        <w:rPr>
          <w:rFonts w:ascii="Times New Roman" w:hAnsi="Times New Roman" w:cs="Times New Roman"/>
        </w:rPr>
        <w:t xml:space="preserve"> ofícios do território e tecnologias sociais</w:t>
      </w:r>
    </w:p>
    <w:p w14:paraId="45838F85" w14:textId="77777777" w:rsidR="00BD683A" w:rsidRPr="00BD683A" w:rsidRDefault="00BD683A" w:rsidP="00BD683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Música:</w:t>
      </w:r>
      <w:r w:rsidRPr="00BD683A">
        <w:rPr>
          <w:rFonts w:ascii="Times New Roman" w:hAnsi="Times New Roman" w:cs="Times New Roman"/>
        </w:rPr>
        <w:t xml:space="preserve"> carimbó, beiradão e hip hop amazônico</w:t>
      </w:r>
    </w:p>
    <w:p w14:paraId="6325CBCA" w14:textId="77777777" w:rsidR="00BD683A" w:rsidRPr="00BD683A" w:rsidRDefault="00BD683A" w:rsidP="00BD683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Escuta</w:t>
      </w:r>
    </w:p>
    <w:p w14:paraId="3C07E27E" w14:textId="77777777" w:rsidR="00BD683A" w:rsidRPr="00BD683A" w:rsidRDefault="00BD683A" w:rsidP="00BD683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Saiba mais</w:t>
      </w:r>
    </w:p>
    <w:p w14:paraId="1588DB03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Vai para pop-up</w:t>
      </w:r>
    </w:p>
    <w:p w14:paraId="3E46B065" w14:textId="77777777" w:rsidR="00BD683A" w:rsidRPr="00BD683A" w:rsidRDefault="00BD683A" w:rsidP="00BD683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ideia de pensar a técnica desde a margem do rio</w:t>
      </w:r>
    </w:p>
    <w:p w14:paraId="38E9F646" w14:textId="77777777" w:rsidR="00BD683A" w:rsidRPr="00BD683A" w:rsidRDefault="00BD683A" w:rsidP="00BD683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construção de curimbó como conhecimento técnico</w:t>
      </w:r>
    </w:p>
    <w:p w14:paraId="02999E45" w14:textId="77777777" w:rsidR="00BD683A" w:rsidRPr="00BD683A" w:rsidRDefault="00BD683A" w:rsidP="00BD683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canto de trabalho como engenharia coletiva</w:t>
      </w:r>
    </w:p>
    <w:p w14:paraId="5A597171" w14:textId="77777777" w:rsidR="00BD683A" w:rsidRPr="00BD683A" w:rsidRDefault="00BD683A" w:rsidP="00BD683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Dona </w:t>
      </w:r>
      <w:proofErr w:type="spellStart"/>
      <w:r w:rsidRPr="00BD683A">
        <w:rPr>
          <w:rFonts w:ascii="Times New Roman" w:hAnsi="Times New Roman" w:cs="Times New Roman"/>
        </w:rPr>
        <w:t>Onete</w:t>
      </w:r>
      <w:proofErr w:type="spellEnd"/>
      <w:r w:rsidRPr="00BD683A">
        <w:rPr>
          <w:rFonts w:ascii="Times New Roman" w:hAnsi="Times New Roman" w:cs="Times New Roman"/>
        </w:rPr>
        <w:t xml:space="preserve"> e a modernidade amazônica</w:t>
      </w:r>
    </w:p>
    <w:p w14:paraId="3461D49F" w14:textId="77777777" w:rsidR="00BD683A" w:rsidRPr="00BD683A" w:rsidRDefault="00BD683A" w:rsidP="00BD683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comparação entre </w:t>
      </w:r>
      <w:r w:rsidRPr="00BD683A">
        <w:rPr>
          <w:rFonts w:ascii="Times New Roman" w:hAnsi="Times New Roman" w:cs="Times New Roman"/>
          <w:b/>
          <w:bCs/>
        </w:rPr>
        <w:t>“Lavadeiras”</w:t>
      </w:r>
      <w:r w:rsidRPr="00BD683A">
        <w:rPr>
          <w:rFonts w:ascii="Times New Roman" w:hAnsi="Times New Roman" w:cs="Times New Roman"/>
        </w:rPr>
        <w:t xml:space="preserve"> e </w:t>
      </w:r>
      <w:r w:rsidRPr="00BD683A">
        <w:rPr>
          <w:rFonts w:ascii="Times New Roman" w:hAnsi="Times New Roman" w:cs="Times New Roman"/>
          <w:b/>
          <w:bCs/>
        </w:rPr>
        <w:t>“Som das Matas”</w:t>
      </w:r>
    </w:p>
    <w:p w14:paraId="282696B4" w14:textId="77777777" w:rsidR="00BD683A" w:rsidRPr="00BD683A" w:rsidRDefault="00BD683A" w:rsidP="00BD683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rap amazônico como crítica anticolonial</w:t>
      </w:r>
    </w:p>
    <w:p w14:paraId="6B70410B" w14:textId="77777777" w:rsidR="00BD683A" w:rsidRPr="00BD683A" w:rsidRDefault="00BD683A" w:rsidP="00BD683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figura do </w:t>
      </w:r>
      <w:r w:rsidRPr="00BD683A">
        <w:rPr>
          <w:rFonts w:ascii="Times New Roman" w:hAnsi="Times New Roman" w:cs="Times New Roman"/>
          <w:b/>
          <w:bCs/>
        </w:rPr>
        <w:t>técnico-artista</w:t>
      </w:r>
    </w:p>
    <w:p w14:paraId="4C7C320A" w14:textId="77777777" w:rsidR="00BD683A" w:rsidRPr="00BD683A" w:rsidRDefault="00BD683A" w:rsidP="00BD683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Lei 11.892/2008 e carimbó como patrimônio</w:t>
      </w:r>
    </w:p>
    <w:p w14:paraId="53988AF7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Cortar</w:t>
      </w:r>
    </w:p>
    <w:p w14:paraId="1E17FDB3" w14:textId="77777777" w:rsidR="00BD683A" w:rsidRPr="00BD683A" w:rsidRDefault="00BD683A" w:rsidP="00BD683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explicações muito longas sobre interiorização</w:t>
      </w:r>
    </w:p>
    <w:p w14:paraId="196C78F2" w14:textId="77777777" w:rsidR="00BD683A" w:rsidRPr="00BD683A" w:rsidRDefault="00BD683A" w:rsidP="00BD683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trechos que repetem “reconhecer saberes locais” mais de uma vez</w:t>
      </w:r>
    </w:p>
    <w:p w14:paraId="7168A93D" w14:textId="77777777" w:rsidR="00BD683A" w:rsidRPr="00BD683A" w:rsidRDefault="00BD683A" w:rsidP="00BD683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conexões intermediárias</w:t>
      </w:r>
    </w:p>
    <w:p w14:paraId="57317462" w14:textId="77777777" w:rsidR="00BD683A" w:rsidRPr="00BD683A" w:rsidRDefault="00BD683A" w:rsidP="00BD683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excesso de institucionalidade legal no corpo principal</w:t>
      </w:r>
    </w:p>
    <w:p w14:paraId="1F4AAABF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Melhor leitura</w:t>
      </w:r>
    </w:p>
    <w:p w14:paraId="0E851E62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lastRenderedPageBreak/>
        <w:t xml:space="preserve">Esse bloco pede forte identidade visual territorial. A tese que precisa ficar visível é: </w:t>
      </w:r>
      <w:r w:rsidRPr="00BD683A">
        <w:rPr>
          <w:rFonts w:ascii="Times New Roman" w:hAnsi="Times New Roman" w:cs="Times New Roman"/>
          <w:b/>
          <w:bCs/>
        </w:rPr>
        <w:t>a Amazônia não é periferia da técnica; ela produz técnica própria</w:t>
      </w:r>
      <w:r w:rsidRPr="00BD683A">
        <w:rPr>
          <w:rFonts w:ascii="Times New Roman" w:hAnsi="Times New Roman" w:cs="Times New Roman"/>
        </w:rPr>
        <w:t xml:space="preserve">. O resto aprofunda em pop-up. </w:t>
      </w:r>
      <w:hyperlink r:id="rId14" w:history="1">
        <w:proofErr w:type="spellStart"/>
        <w:r w:rsidRPr="00BD683A">
          <w:rPr>
            <w:rStyle w:val="Hyperlink"/>
            <w:rFonts w:ascii="Times New Roman" w:hAnsi="Times New Roman" w:cs="Times New Roman"/>
          </w:rPr>
          <w:t>Source</w:t>
        </w:r>
        <w:proofErr w:type="spellEnd"/>
      </w:hyperlink>
    </w:p>
    <w:p w14:paraId="23EB4389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pict w14:anchorId="08847475">
          <v:rect id="_x0000_i1340" style="width:0;height:1.5pt" o:hralign="center" o:hrstd="t" o:hr="t" fillcolor="#a0a0a0" stroked="f"/>
        </w:pict>
      </w:r>
    </w:p>
    <w:p w14:paraId="138A9F83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BLOCO 9 — Epílogo / Antologia Sonora</w:t>
      </w:r>
    </w:p>
    <w:p w14:paraId="481615AB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Na tela</w:t>
      </w:r>
    </w:p>
    <w:p w14:paraId="124A19FD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Título:</w:t>
      </w:r>
      <w:r w:rsidRPr="00BD683A">
        <w:rPr>
          <w:rFonts w:ascii="Times New Roman" w:hAnsi="Times New Roman" w:cs="Times New Roman"/>
        </w:rPr>
        <w:t xml:space="preserve"> Epílogo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Subtítulo:</w:t>
      </w:r>
      <w:r w:rsidRPr="00BD683A">
        <w:rPr>
          <w:rFonts w:ascii="Times New Roman" w:hAnsi="Times New Roman" w:cs="Times New Roman"/>
        </w:rPr>
        <w:t xml:space="preserve"> Técnica, trabalho, cultura e memória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Frase de abertura na tela: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“A linha do tempo termina propondo uma síntese: o trabalhador também é autor, criador e intérprete do mundo.”</w:t>
      </w:r>
    </w:p>
    <w:p w14:paraId="3FD3C2B8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Botões/cards na tela</w:t>
      </w:r>
    </w:p>
    <w:p w14:paraId="39E1F572" w14:textId="77777777" w:rsidR="00BD683A" w:rsidRPr="00BD683A" w:rsidRDefault="00BD683A" w:rsidP="00BD683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Síntese final</w:t>
      </w:r>
    </w:p>
    <w:p w14:paraId="2C91DFC5" w14:textId="77777777" w:rsidR="00BD683A" w:rsidRPr="00BD683A" w:rsidRDefault="00BD683A" w:rsidP="00BD683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Antologia sonora</w:t>
      </w:r>
    </w:p>
    <w:p w14:paraId="73425BBC" w14:textId="77777777" w:rsidR="00BD683A" w:rsidRPr="00BD683A" w:rsidRDefault="00BD683A" w:rsidP="00BD683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Pergunta final</w:t>
      </w:r>
    </w:p>
    <w:p w14:paraId="53C62CF6" w14:textId="77777777" w:rsidR="00BD683A" w:rsidRPr="00BD683A" w:rsidRDefault="00BD683A" w:rsidP="00BD683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Créditos / referências</w:t>
      </w:r>
    </w:p>
    <w:p w14:paraId="74B7C855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Vai para pop-up</w:t>
      </w:r>
    </w:p>
    <w:p w14:paraId="498D6575" w14:textId="77777777" w:rsidR="00BD683A" w:rsidRPr="00BD683A" w:rsidRDefault="00BD683A" w:rsidP="00BD683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as 7 sínteses finais</w:t>
      </w:r>
    </w:p>
    <w:p w14:paraId="507A07A7" w14:textId="77777777" w:rsidR="00BD683A" w:rsidRPr="00BD683A" w:rsidRDefault="00BD683A" w:rsidP="00BD683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definição de </w:t>
      </w:r>
      <w:r w:rsidRPr="00BD683A">
        <w:rPr>
          <w:rFonts w:ascii="Times New Roman" w:hAnsi="Times New Roman" w:cs="Times New Roman"/>
          <w:b/>
          <w:bCs/>
        </w:rPr>
        <w:t>técnico-artista</w:t>
      </w:r>
    </w:p>
    <w:p w14:paraId="74847CD0" w14:textId="77777777" w:rsidR="00BD683A" w:rsidRPr="00BD683A" w:rsidRDefault="00BD683A" w:rsidP="00BD683A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gramStart"/>
      <w:r w:rsidRPr="00BD683A">
        <w:rPr>
          <w:rFonts w:ascii="Times New Roman" w:hAnsi="Times New Roman" w:cs="Times New Roman"/>
        </w:rPr>
        <w:t>playlist</w:t>
      </w:r>
      <w:proofErr w:type="gramEnd"/>
      <w:r w:rsidRPr="00BD683A">
        <w:rPr>
          <w:rFonts w:ascii="Times New Roman" w:hAnsi="Times New Roman" w:cs="Times New Roman"/>
        </w:rPr>
        <w:t>/antologia organizada por período ou região</w:t>
      </w:r>
    </w:p>
    <w:p w14:paraId="19B52E07" w14:textId="77777777" w:rsidR="00BD683A" w:rsidRPr="00BD683A" w:rsidRDefault="00BD683A" w:rsidP="00BD683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sugestões de uso pedagógico</w:t>
      </w:r>
    </w:p>
    <w:p w14:paraId="56B37CC3" w14:textId="77777777" w:rsidR="00BD683A" w:rsidRPr="00BD683A" w:rsidRDefault="00BD683A" w:rsidP="00BD683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referências finais</w:t>
      </w:r>
    </w:p>
    <w:p w14:paraId="3EC623D9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Cortar</w:t>
      </w:r>
    </w:p>
    <w:p w14:paraId="525A21F5" w14:textId="77777777" w:rsidR="00BD683A" w:rsidRPr="00BD683A" w:rsidRDefault="00BD683A" w:rsidP="00BD683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qualquer repetição extensa de conceitos já trabalhados nos blocos 1 a 8</w:t>
      </w:r>
    </w:p>
    <w:p w14:paraId="66D5A3F2" w14:textId="77777777" w:rsidR="00BD683A" w:rsidRPr="00BD683A" w:rsidRDefault="00BD683A" w:rsidP="00BD683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texto conclusivo muito acadêmico</w:t>
      </w:r>
    </w:p>
    <w:p w14:paraId="2CFF62FE" w14:textId="77777777" w:rsidR="00BD683A" w:rsidRPr="00BD683A" w:rsidRDefault="00BD683A" w:rsidP="00BD683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repetição de autores já citados antes</w:t>
      </w:r>
    </w:p>
    <w:p w14:paraId="5C856936" w14:textId="77777777" w:rsidR="00BD683A" w:rsidRPr="00BD683A" w:rsidRDefault="00BD683A" w:rsidP="00BD683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introdução duplicada entre Epílogo e Antologia</w:t>
      </w:r>
    </w:p>
    <w:p w14:paraId="05222CA4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Sugestão decisiva</w:t>
      </w:r>
    </w:p>
    <w:p w14:paraId="0B1731E6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No </w:t>
      </w:r>
      <w:proofErr w:type="spellStart"/>
      <w:r w:rsidRPr="00BD683A">
        <w:rPr>
          <w:rFonts w:ascii="Times New Roman" w:hAnsi="Times New Roman" w:cs="Times New Roman"/>
        </w:rPr>
        <w:t>Genially</w:t>
      </w:r>
      <w:proofErr w:type="spellEnd"/>
      <w:r w:rsidRPr="00BD683A">
        <w:rPr>
          <w:rFonts w:ascii="Times New Roman" w:hAnsi="Times New Roman" w:cs="Times New Roman"/>
        </w:rPr>
        <w:t xml:space="preserve">, o Epílogo não deve ser mais um bloco cheio de texto. Ele deve funcionar como </w:t>
      </w:r>
      <w:r w:rsidRPr="00BD683A">
        <w:rPr>
          <w:rFonts w:ascii="Times New Roman" w:hAnsi="Times New Roman" w:cs="Times New Roman"/>
          <w:b/>
          <w:bCs/>
        </w:rPr>
        <w:t>fechamento navegável</w:t>
      </w:r>
      <w:r w:rsidRPr="00BD683A">
        <w:rPr>
          <w:rFonts w:ascii="Times New Roman" w:hAnsi="Times New Roman" w:cs="Times New Roman"/>
        </w:rPr>
        <w:t xml:space="preserve">: uma síntese visual + </w:t>
      </w:r>
      <w:proofErr w:type="gramStart"/>
      <w:r w:rsidRPr="00BD683A">
        <w:rPr>
          <w:rFonts w:ascii="Times New Roman" w:hAnsi="Times New Roman" w:cs="Times New Roman"/>
        </w:rPr>
        <w:t>playlist</w:t>
      </w:r>
      <w:proofErr w:type="gramEnd"/>
      <w:r w:rsidRPr="00BD683A">
        <w:rPr>
          <w:rFonts w:ascii="Times New Roman" w:hAnsi="Times New Roman" w:cs="Times New Roman"/>
        </w:rPr>
        <w:t xml:space="preserve"> final + pergunta provocadora. O próprio documento sugere que o epílogo repete conceitos já desenvolvidos; então aqui vale condensar sem medo. </w:t>
      </w:r>
      <w:hyperlink r:id="rId15" w:history="1">
        <w:proofErr w:type="spellStart"/>
        <w:r w:rsidRPr="00BD683A">
          <w:rPr>
            <w:rStyle w:val="Hyperlink"/>
            <w:rFonts w:ascii="Times New Roman" w:hAnsi="Times New Roman" w:cs="Times New Roman"/>
          </w:rPr>
          <w:t>Source</w:t>
        </w:r>
        <w:proofErr w:type="spellEnd"/>
      </w:hyperlink>
    </w:p>
    <w:p w14:paraId="13E1FF60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pict w14:anchorId="5C747050">
          <v:rect id="_x0000_i1341" style="width:0;height:1.5pt" o:hralign="center" o:hrstd="t" o:hr="t" fillcolor="#a0a0a0" stroked="f"/>
        </w:pict>
      </w:r>
    </w:p>
    <w:p w14:paraId="600ECFE7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Regra prática de redução de texto</w:t>
      </w:r>
    </w:p>
    <w:p w14:paraId="334ABC71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Fórmula ideal por tela</w:t>
      </w:r>
    </w:p>
    <w:p w14:paraId="552C07A0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Para não sobrecarregar o </w:t>
      </w:r>
      <w:proofErr w:type="spellStart"/>
      <w:r w:rsidRPr="00BD683A">
        <w:rPr>
          <w:rFonts w:ascii="Times New Roman" w:hAnsi="Times New Roman" w:cs="Times New Roman"/>
        </w:rPr>
        <w:t>Genially</w:t>
      </w:r>
      <w:proofErr w:type="spellEnd"/>
      <w:r w:rsidRPr="00BD683A">
        <w:rPr>
          <w:rFonts w:ascii="Times New Roman" w:hAnsi="Times New Roman" w:cs="Times New Roman"/>
        </w:rPr>
        <w:t>, eu recomendo esta regra:</w:t>
      </w:r>
    </w:p>
    <w:p w14:paraId="152D7765" w14:textId="77777777" w:rsidR="00BD683A" w:rsidRPr="00BD683A" w:rsidRDefault="00BD683A" w:rsidP="00BD683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Tela principal do bloco:</w:t>
      </w:r>
      <w:r w:rsidRPr="00BD683A">
        <w:rPr>
          <w:rFonts w:ascii="Times New Roman" w:hAnsi="Times New Roman" w:cs="Times New Roman"/>
        </w:rPr>
        <w:t xml:space="preserve"> até </w:t>
      </w:r>
      <w:r w:rsidRPr="00BD683A">
        <w:rPr>
          <w:rFonts w:ascii="Times New Roman" w:hAnsi="Times New Roman" w:cs="Times New Roman"/>
          <w:b/>
          <w:bCs/>
        </w:rPr>
        <w:t>40–60 palavras</w:t>
      </w:r>
    </w:p>
    <w:p w14:paraId="0C4A113F" w14:textId="77777777" w:rsidR="00BD683A" w:rsidRPr="00BD683A" w:rsidRDefault="00BD683A" w:rsidP="00BD683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lastRenderedPageBreak/>
        <w:t>Cada card visível:</w:t>
      </w:r>
      <w:r w:rsidRPr="00BD683A">
        <w:rPr>
          <w:rFonts w:ascii="Times New Roman" w:hAnsi="Times New Roman" w:cs="Times New Roman"/>
        </w:rPr>
        <w:t xml:space="preserve"> até </w:t>
      </w:r>
      <w:r w:rsidRPr="00BD683A">
        <w:rPr>
          <w:rFonts w:ascii="Times New Roman" w:hAnsi="Times New Roman" w:cs="Times New Roman"/>
          <w:b/>
          <w:bCs/>
        </w:rPr>
        <w:t>12–18 palavras</w:t>
      </w:r>
    </w:p>
    <w:p w14:paraId="1084502B" w14:textId="77777777" w:rsidR="00BD683A" w:rsidRPr="00BD683A" w:rsidRDefault="00BD683A" w:rsidP="00BD683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Cada pop-up:</w:t>
      </w:r>
      <w:r w:rsidRPr="00BD683A">
        <w:rPr>
          <w:rFonts w:ascii="Times New Roman" w:hAnsi="Times New Roman" w:cs="Times New Roman"/>
        </w:rPr>
        <w:t xml:space="preserve"> até </w:t>
      </w:r>
      <w:r w:rsidRPr="00BD683A">
        <w:rPr>
          <w:rFonts w:ascii="Times New Roman" w:hAnsi="Times New Roman" w:cs="Times New Roman"/>
          <w:b/>
          <w:bCs/>
        </w:rPr>
        <w:t>80–120 palavras</w:t>
      </w:r>
    </w:p>
    <w:p w14:paraId="3F043087" w14:textId="77777777" w:rsidR="00BD683A" w:rsidRPr="00BD683A" w:rsidRDefault="00BD683A" w:rsidP="00BD683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Escuta orientada:</w:t>
      </w:r>
      <w:r w:rsidRPr="00BD683A">
        <w:rPr>
          <w:rFonts w:ascii="Times New Roman" w:hAnsi="Times New Roman" w:cs="Times New Roman"/>
        </w:rPr>
        <w:t xml:space="preserve"> até </w:t>
      </w:r>
      <w:r w:rsidRPr="00BD683A">
        <w:rPr>
          <w:rFonts w:ascii="Times New Roman" w:hAnsi="Times New Roman" w:cs="Times New Roman"/>
          <w:b/>
          <w:bCs/>
        </w:rPr>
        <w:t xml:space="preserve">3 </w:t>
      </w:r>
      <w:proofErr w:type="spellStart"/>
      <w:r w:rsidRPr="00BD683A">
        <w:rPr>
          <w:rFonts w:ascii="Times New Roman" w:hAnsi="Times New Roman" w:cs="Times New Roman"/>
          <w:b/>
          <w:bCs/>
        </w:rPr>
        <w:t>bullets</w:t>
      </w:r>
      <w:proofErr w:type="spellEnd"/>
      <w:r w:rsidRPr="00BD683A">
        <w:rPr>
          <w:rFonts w:ascii="Times New Roman" w:hAnsi="Times New Roman" w:cs="Times New Roman"/>
          <w:b/>
          <w:bCs/>
        </w:rPr>
        <w:t xml:space="preserve"> curtos</w:t>
      </w:r>
    </w:p>
    <w:p w14:paraId="1EC679A5" w14:textId="77777777" w:rsidR="00BD683A" w:rsidRPr="00BD683A" w:rsidRDefault="00BD683A" w:rsidP="00BD683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Saiba mais:</w:t>
      </w:r>
      <w:r w:rsidRPr="00BD683A">
        <w:rPr>
          <w:rFonts w:ascii="Times New Roman" w:hAnsi="Times New Roman" w:cs="Times New Roman"/>
        </w:rPr>
        <w:t xml:space="preserve"> links + 3 referências no máximo</w:t>
      </w:r>
    </w:p>
    <w:p w14:paraId="3F35772C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O que manter sempre visível</w:t>
      </w:r>
    </w:p>
    <w:p w14:paraId="0129B0B9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Se tiver que priorizar, mantenha sempre:</w:t>
      </w:r>
    </w:p>
    <w:p w14:paraId="376D659A" w14:textId="77777777" w:rsidR="00BD683A" w:rsidRPr="00BD683A" w:rsidRDefault="00BD683A" w:rsidP="00BD683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título do bloco</w:t>
      </w:r>
    </w:p>
    <w:p w14:paraId="7ADF87DB" w14:textId="77777777" w:rsidR="00BD683A" w:rsidRPr="00BD683A" w:rsidRDefault="00BD683A" w:rsidP="00BD683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período</w:t>
      </w:r>
    </w:p>
    <w:p w14:paraId="6C6BC9BA" w14:textId="77777777" w:rsidR="00BD683A" w:rsidRPr="00BD683A" w:rsidRDefault="00BD683A" w:rsidP="00BD683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1 tese forte</w:t>
      </w:r>
    </w:p>
    <w:p w14:paraId="7E26D76F" w14:textId="77777777" w:rsidR="00BD683A" w:rsidRPr="00BD683A" w:rsidRDefault="00BD683A" w:rsidP="00BD683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4 eixos: contexto / educação / trabalho / música</w:t>
      </w:r>
    </w:p>
    <w:p w14:paraId="3323A8B3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O que sempre esconder por clique</w:t>
      </w:r>
    </w:p>
    <w:p w14:paraId="7A0B99BD" w14:textId="77777777" w:rsidR="00BD683A" w:rsidRPr="00BD683A" w:rsidRDefault="00BD683A" w:rsidP="00BD683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pergunta disparadora</w:t>
      </w:r>
    </w:p>
    <w:p w14:paraId="2A15E923" w14:textId="77777777" w:rsidR="00BD683A" w:rsidRPr="00BD683A" w:rsidRDefault="00BD683A" w:rsidP="00BD683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tensão central</w:t>
      </w:r>
    </w:p>
    <w:p w14:paraId="259DB8C3" w14:textId="77777777" w:rsidR="00BD683A" w:rsidRPr="00BD683A" w:rsidRDefault="00BD683A" w:rsidP="00BD683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aprofundamento conceitual</w:t>
      </w:r>
    </w:p>
    <w:p w14:paraId="2EC5CA89" w14:textId="77777777" w:rsidR="00BD683A" w:rsidRPr="00BD683A" w:rsidRDefault="00BD683A" w:rsidP="00BD683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bibliografia</w:t>
      </w:r>
    </w:p>
    <w:p w14:paraId="74F7BE5C" w14:textId="77777777" w:rsidR="00BD683A" w:rsidRPr="00BD683A" w:rsidRDefault="00BD683A" w:rsidP="00BD683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links externos</w:t>
      </w:r>
    </w:p>
    <w:p w14:paraId="5F4ED265" w14:textId="77777777" w:rsidR="00BD683A" w:rsidRPr="00BD683A" w:rsidRDefault="00BD683A" w:rsidP="00BD683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comentários de escuta</w:t>
      </w:r>
    </w:p>
    <w:p w14:paraId="6DEA5A02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Isso respeita a natureza interativa do material e evita que o usuário “leia um PDF dentro do </w:t>
      </w:r>
      <w:proofErr w:type="spellStart"/>
      <w:r w:rsidRPr="00BD683A">
        <w:rPr>
          <w:rFonts w:ascii="Times New Roman" w:hAnsi="Times New Roman" w:cs="Times New Roman"/>
        </w:rPr>
        <w:t>Genially</w:t>
      </w:r>
      <w:proofErr w:type="spellEnd"/>
      <w:r w:rsidRPr="00BD683A">
        <w:rPr>
          <w:rFonts w:ascii="Times New Roman" w:hAnsi="Times New Roman" w:cs="Times New Roman"/>
        </w:rPr>
        <w:t xml:space="preserve">”. </w:t>
      </w:r>
      <w:hyperlink r:id="rId16" w:history="1">
        <w:proofErr w:type="spellStart"/>
        <w:r w:rsidRPr="00BD683A">
          <w:rPr>
            <w:rStyle w:val="Hyperlink"/>
            <w:rFonts w:ascii="Times New Roman" w:hAnsi="Times New Roman" w:cs="Times New Roman"/>
          </w:rPr>
          <w:t>Source</w:t>
        </w:r>
        <w:proofErr w:type="spellEnd"/>
      </w:hyperlink>
    </w:p>
    <w:p w14:paraId="528BFF74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pict w14:anchorId="7A0595A9">
          <v:rect id="_x0000_i1342" style="width:0;height:1.5pt" o:hralign="center" o:hrstd="t" o:hr="t" fillcolor="#a0a0a0" stroked="f"/>
        </w:pict>
      </w:r>
    </w:p>
    <w:p w14:paraId="5FD3E160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Modelo pronto de tela para você repetir em todos os blocos</w:t>
      </w:r>
    </w:p>
    <w:p w14:paraId="5E7A10B7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Tela do bloco</w:t>
      </w:r>
    </w:p>
    <w:p w14:paraId="0BE02B74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Título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Subtítulo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Período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Frase-eixo do bloco</w:t>
      </w:r>
    </w:p>
    <w:p w14:paraId="31EFB4FE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Botões:</w:t>
      </w:r>
      <w:r w:rsidRPr="00BD683A">
        <w:rPr>
          <w:rFonts w:ascii="Times New Roman" w:hAnsi="Times New Roman" w:cs="Times New Roman"/>
        </w:rPr>
        <w:br/>
        <w:t>Contexto | Educação | Trabalho | Música | Escuta | Saiba mais</w:t>
      </w:r>
    </w:p>
    <w:p w14:paraId="53FF426C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Estrutura do pop-up de cada botão</w:t>
      </w:r>
    </w:p>
    <w:p w14:paraId="02A41463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Resumo em 2 linhas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1 ideia-chave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1 pergunta disparadora</w:t>
      </w:r>
      <w:r w:rsidRPr="00BD683A">
        <w:rPr>
          <w:rFonts w:ascii="Times New Roman" w:hAnsi="Times New Roman" w:cs="Times New Roman"/>
        </w:rPr>
        <w:br/>
      </w:r>
      <w:r w:rsidRPr="00BD683A">
        <w:rPr>
          <w:rFonts w:ascii="Times New Roman" w:hAnsi="Times New Roman" w:cs="Times New Roman"/>
          <w:b/>
          <w:bCs/>
        </w:rPr>
        <w:t>1 botão “saiba mais”</w:t>
      </w:r>
      <w:r w:rsidRPr="00BD683A">
        <w:rPr>
          <w:rFonts w:ascii="Times New Roman" w:hAnsi="Times New Roman" w:cs="Times New Roman"/>
        </w:rPr>
        <w:t>, se necessário</w:t>
      </w:r>
    </w:p>
    <w:p w14:paraId="6BAEC3B3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pict w14:anchorId="434B641D">
          <v:rect id="_x0000_i1343" style="width:0;height:1.5pt" o:hralign="center" o:hrstd="t" o:hr="t" fillcolor="#a0a0a0" stroked="f"/>
        </w:pict>
      </w:r>
    </w:p>
    <w:p w14:paraId="2A968A8A" w14:textId="77777777" w:rsidR="00BD683A" w:rsidRPr="00BD683A" w:rsidRDefault="00BD683A" w:rsidP="00BD683A">
      <w:pPr>
        <w:rPr>
          <w:rFonts w:ascii="Times New Roman" w:hAnsi="Times New Roman" w:cs="Times New Roman"/>
          <w:b/>
          <w:bCs/>
        </w:rPr>
      </w:pPr>
      <w:r w:rsidRPr="00BD683A">
        <w:rPr>
          <w:rFonts w:ascii="Times New Roman" w:hAnsi="Times New Roman" w:cs="Times New Roman"/>
          <w:b/>
          <w:bCs/>
        </w:rPr>
        <w:t>Minha recomendação final</w:t>
      </w:r>
    </w:p>
    <w:p w14:paraId="6C4D98E3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Se você quiser um </w:t>
      </w:r>
      <w:proofErr w:type="spellStart"/>
      <w:r w:rsidRPr="00BD683A">
        <w:rPr>
          <w:rFonts w:ascii="Times New Roman" w:hAnsi="Times New Roman" w:cs="Times New Roman"/>
        </w:rPr>
        <w:t>Genially</w:t>
      </w:r>
      <w:proofErr w:type="spellEnd"/>
      <w:r w:rsidRPr="00BD683A">
        <w:rPr>
          <w:rFonts w:ascii="Times New Roman" w:hAnsi="Times New Roman" w:cs="Times New Roman"/>
        </w:rPr>
        <w:t xml:space="preserve"> que funcione bem, a melhor adaptação é esta:</w:t>
      </w:r>
    </w:p>
    <w:p w14:paraId="77EF249D" w14:textId="77777777" w:rsidR="00BD683A" w:rsidRPr="00BD683A" w:rsidRDefault="00BD683A" w:rsidP="00BD683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lastRenderedPageBreak/>
        <w:t xml:space="preserve">o PDF vira </w:t>
      </w:r>
      <w:r w:rsidRPr="00BD683A">
        <w:rPr>
          <w:rFonts w:ascii="Times New Roman" w:hAnsi="Times New Roman" w:cs="Times New Roman"/>
          <w:b/>
          <w:bCs/>
        </w:rPr>
        <w:t>roteiro de conteúdo</w:t>
      </w:r>
    </w:p>
    <w:p w14:paraId="2C5C8775" w14:textId="77777777" w:rsidR="00BD683A" w:rsidRPr="00BD683A" w:rsidRDefault="00BD683A" w:rsidP="00BD683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o </w:t>
      </w:r>
      <w:proofErr w:type="spellStart"/>
      <w:r w:rsidRPr="00BD683A">
        <w:rPr>
          <w:rFonts w:ascii="Times New Roman" w:hAnsi="Times New Roman" w:cs="Times New Roman"/>
        </w:rPr>
        <w:t>Genially</w:t>
      </w:r>
      <w:proofErr w:type="spellEnd"/>
      <w:r w:rsidRPr="00BD683A">
        <w:rPr>
          <w:rFonts w:ascii="Times New Roman" w:hAnsi="Times New Roman" w:cs="Times New Roman"/>
        </w:rPr>
        <w:t xml:space="preserve"> vira </w:t>
      </w:r>
      <w:r w:rsidRPr="00BD683A">
        <w:rPr>
          <w:rFonts w:ascii="Times New Roman" w:hAnsi="Times New Roman" w:cs="Times New Roman"/>
          <w:b/>
          <w:bCs/>
        </w:rPr>
        <w:t>camada de experiência</w:t>
      </w:r>
    </w:p>
    <w:p w14:paraId="74C5670C" w14:textId="77777777" w:rsidR="00BD683A" w:rsidRPr="00BD683A" w:rsidRDefault="00BD683A" w:rsidP="00BD683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a tela mostra </w:t>
      </w:r>
      <w:r w:rsidRPr="00BD683A">
        <w:rPr>
          <w:rFonts w:ascii="Times New Roman" w:hAnsi="Times New Roman" w:cs="Times New Roman"/>
          <w:b/>
          <w:bCs/>
        </w:rPr>
        <w:t>ideia-força</w:t>
      </w:r>
    </w:p>
    <w:p w14:paraId="540F2581" w14:textId="77777777" w:rsidR="00BD683A" w:rsidRPr="00BD683A" w:rsidRDefault="00BD683A" w:rsidP="00BD683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o pop-up mostra </w:t>
      </w:r>
      <w:r w:rsidRPr="00BD683A">
        <w:rPr>
          <w:rFonts w:ascii="Times New Roman" w:hAnsi="Times New Roman" w:cs="Times New Roman"/>
          <w:b/>
          <w:bCs/>
        </w:rPr>
        <w:t>explicação</w:t>
      </w:r>
    </w:p>
    <w:p w14:paraId="641EA04D" w14:textId="77777777" w:rsidR="00BD683A" w:rsidRPr="00BD683A" w:rsidRDefault="00BD683A" w:rsidP="00BD683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o link externo mostra </w:t>
      </w:r>
      <w:r w:rsidRPr="00BD683A">
        <w:rPr>
          <w:rFonts w:ascii="Times New Roman" w:hAnsi="Times New Roman" w:cs="Times New Roman"/>
          <w:b/>
          <w:bCs/>
        </w:rPr>
        <w:t>escuta/referência</w:t>
      </w:r>
    </w:p>
    <w:p w14:paraId="05F88D08" w14:textId="77777777" w:rsidR="00BD683A" w:rsidRPr="00BD683A" w:rsidRDefault="00BD683A" w:rsidP="00BD683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 xml:space="preserve">o texto acadêmico completo fica </w:t>
      </w:r>
      <w:r w:rsidRPr="00BD683A">
        <w:rPr>
          <w:rFonts w:ascii="Times New Roman" w:hAnsi="Times New Roman" w:cs="Times New Roman"/>
          <w:b/>
          <w:bCs/>
        </w:rPr>
        <w:t>fora da navegação principal</w:t>
      </w:r>
    </w:p>
    <w:p w14:paraId="2B472454" w14:textId="77777777" w:rsidR="00BD683A" w:rsidRPr="00BD683A" w:rsidRDefault="00BD683A" w:rsidP="00BD683A">
      <w:p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</w:rPr>
        <w:t>Se quiser, no próximo passo eu posso fazer uma destas duas coisas:</w:t>
      </w:r>
    </w:p>
    <w:p w14:paraId="63497BBC" w14:textId="77777777" w:rsidR="00BD683A" w:rsidRPr="00BD683A" w:rsidRDefault="00BD683A" w:rsidP="00BD683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 xml:space="preserve">transformar isso em um roteiro técnico de montagem do </w:t>
      </w:r>
      <w:proofErr w:type="spellStart"/>
      <w:r w:rsidRPr="00BD683A">
        <w:rPr>
          <w:rFonts w:ascii="Times New Roman" w:hAnsi="Times New Roman" w:cs="Times New Roman"/>
          <w:b/>
          <w:bCs/>
        </w:rPr>
        <w:t>Genially</w:t>
      </w:r>
      <w:proofErr w:type="spellEnd"/>
      <w:r w:rsidRPr="00BD683A">
        <w:rPr>
          <w:rFonts w:ascii="Times New Roman" w:hAnsi="Times New Roman" w:cs="Times New Roman"/>
        </w:rPr>
        <w:t>, já em formato de slides/telas e botões;</w:t>
      </w:r>
    </w:p>
    <w:p w14:paraId="151CD79B" w14:textId="77777777" w:rsidR="00BD683A" w:rsidRPr="00BD683A" w:rsidRDefault="00BD683A" w:rsidP="00BD683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D683A">
        <w:rPr>
          <w:rFonts w:ascii="Times New Roman" w:hAnsi="Times New Roman" w:cs="Times New Roman"/>
          <w:b/>
          <w:bCs/>
        </w:rPr>
        <w:t>reescrever bloco por bloco com o texto exato já enxugado</w:t>
      </w:r>
      <w:r w:rsidRPr="00BD683A">
        <w:rPr>
          <w:rFonts w:ascii="Times New Roman" w:hAnsi="Times New Roman" w:cs="Times New Roman"/>
        </w:rPr>
        <w:t xml:space="preserve">, pronto para copiar e colar no </w:t>
      </w:r>
      <w:proofErr w:type="spellStart"/>
      <w:r w:rsidRPr="00BD683A">
        <w:rPr>
          <w:rFonts w:ascii="Times New Roman" w:hAnsi="Times New Roman" w:cs="Times New Roman"/>
        </w:rPr>
        <w:t>Genially</w:t>
      </w:r>
      <w:proofErr w:type="spellEnd"/>
      <w:r w:rsidRPr="00BD683A">
        <w:rPr>
          <w:rFonts w:ascii="Times New Roman" w:hAnsi="Times New Roman" w:cs="Times New Roman"/>
        </w:rPr>
        <w:t>.</w:t>
      </w:r>
    </w:p>
    <w:p w14:paraId="2ACBC32D" w14:textId="77777777" w:rsidR="00745249" w:rsidRPr="00BD683A" w:rsidRDefault="00745249" w:rsidP="00BD683A">
      <w:pPr>
        <w:rPr>
          <w:rFonts w:ascii="Times New Roman" w:hAnsi="Times New Roman" w:cs="Times New Roman"/>
        </w:rPr>
      </w:pPr>
    </w:p>
    <w:sectPr w:rsidR="00745249" w:rsidRPr="00BD683A" w:rsidSect="00E40E7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781"/>
    <w:multiLevelType w:val="multilevel"/>
    <w:tmpl w:val="D4F4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B5EDE"/>
    <w:multiLevelType w:val="multilevel"/>
    <w:tmpl w:val="615C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C19BE"/>
    <w:multiLevelType w:val="multilevel"/>
    <w:tmpl w:val="6A0A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D350C"/>
    <w:multiLevelType w:val="multilevel"/>
    <w:tmpl w:val="A3D0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9280E"/>
    <w:multiLevelType w:val="multilevel"/>
    <w:tmpl w:val="A85E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B0244"/>
    <w:multiLevelType w:val="multilevel"/>
    <w:tmpl w:val="2BA8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265AD"/>
    <w:multiLevelType w:val="multilevel"/>
    <w:tmpl w:val="F1FA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B6600"/>
    <w:multiLevelType w:val="multilevel"/>
    <w:tmpl w:val="CB14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763BA"/>
    <w:multiLevelType w:val="multilevel"/>
    <w:tmpl w:val="3742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31CA3"/>
    <w:multiLevelType w:val="multilevel"/>
    <w:tmpl w:val="BA96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F4737"/>
    <w:multiLevelType w:val="multilevel"/>
    <w:tmpl w:val="B566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6622F"/>
    <w:multiLevelType w:val="multilevel"/>
    <w:tmpl w:val="DB92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42EF0"/>
    <w:multiLevelType w:val="multilevel"/>
    <w:tmpl w:val="E30C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05803"/>
    <w:multiLevelType w:val="multilevel"/>
    <w:tmpl w:val="4BF4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03C54"/>
    <w:multiLevelType w:val="multilevel"/>
    <w:tmpl w:val="64C2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87F48"/>
    <w:multiLevelType w:val="multilevel"/>
    <w:tmpl w:val="9718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82550"/>
    <w:multiLevelType w:val="multilevel"/>
    <w:tmpl w:val="2B44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42001"/>
    <w:multiLevelType w:val="multilevel"/>
    <w:tmpl w:val="E8DE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632DD"/>
    <w:multiLevelType w:val="multilevel"/>
    <w:tmpl w:val="FA88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017CD"/>
    <w:multiLevelType w:val="multilevel"/>
    <w:tmpl w:val="A9AC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D7ADC"/>
    <w:multiLevelType w:val="multilevel"/>
    <w:tmpl w:val="2A2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934DC"/>
    <w:multiLevelType w:val="multilevel"/>
    <w:tmpl w:val="285C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47452"/>
    <w:multiLevelType w:val="multilevel"/>
    <w:tmpl w:val="6946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F22F2"/>
    <w:multiLevelType w:val="multilevel"/>
    <w:tmpl w:val="9480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FB5E66"/>
    <w:multiLevelType w:val="multilevel"/>
    <w:tmpl w:val="90F4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F53DEB"/>
    <w:multiLevelType w:val="multilevel"/>
    <w:tmpl w:val="4B3C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360DA"/>
    <w:multiLevelType w:val="multilevel"/>
    <w:tmpl w:val="9408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3418C"/>
    <w:multiLevelType w:val="multilevel"/>
    <w:tmpl w:val="9C58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90EF8"/>
    <w:multiLevelType w:val="multilevel"/>
    <w:tmpl w:val="E852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01193C"/>
    <w:multiLevelType w:val="multilevel"/>
    <w:tmpl w:val="AB3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8536A"/>
    <w:multiLevelType w:val="multilevel"/>
    <w:tmpl w:val="ABFA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83AB8"/>
    <w:multiLevelType w:val="multilevel"/>
    <w:tmpl w:val="C4BA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534EA6"/>
    <w:multiLevelType w:val="multilevel"/>
    <w:tmpl w:val="056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8C1EF4"/>
    <w:multiLevelType w:val="multilevel"/>
    <w:tmpl w:val="5674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FD7AE0"/>
    <w:multiLevelType w:val="multilevel"/>
    <w:tmpl w:val="75F2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0C48BA"/>
    <w:multiLevelType w:val="multilevel"/>
    <w:tmpl w:val="B172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4E058F"/>
    <w:multiLevelType w:val="multilevel"/>
    <w:tmpl w:val="C916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252361"/>
    <w:multiLevelType w:val="multilevel"/>
    <w:tmpl w:val="DED6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3342EB"/>
    <w:multiLevelType w:val="multilevel"/>
    <w:tmpl w:val="D3D41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5D4966"/>
    <w:multiLevelType w:val="multilevel"/>
    <w:tmpl w:val="0010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AC24F0"/>
    <w:multiLevelType w:val="multilevel"/>
    <w:tmpl w:val="A270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964204">
    <w:abstractNumId w:val="17"/>
  </w:num>
  <w:num w:numId="2" w16cid:durableId="1886479206">
    <w:abstractNumId w:val="13"/>
  </w:num>
  <w:num w:numId="3" w16cid:durableId="1526015210">
    <w:abstractNumId w:val="3"/>
  </w:num>
  <w:num w:numId="4" w16cid:durableId="1596551882">
    <w:abstractNumId w:val="15"/>
  </w:num>
  <w:num w:numId="5" w16cid:durableId="1608805049">
    <w:abstractNumId w:val="2"/>
  </w:num>
  <w:num w:numId="6" w16cid:durableId="741946295">
    <w:abstractNumId w:val="0"/>
  </w:num>
  <w:num w:numId="7" w16cid:durableId="1712265494">
    <w:abstractNumId w:val="14"/>
  </w:num>
  <w:num w:numId="8" w16cid:durableId="1912882979">
    <w:abstractNumId w:val="7"/>
  </w:num>
  <w:num w:numId="9" w16cid:durableId="273171628">
    <w:abstractNumId w:val="19"/>
  </w:num>
  <w:num w:numId="10" w16cid:durableId="1648507930">
    <w:abstractNumId w:val="22"/>
  </w:num>
  <w:num w:numId="11" w16cid:durableId="1098259442">
    <w:abstractNumId w:val="37"/>
  </w:num>
  <w:num w:numId="12" w16cid:durableId="1835991850">
    <w:abstractNumId w:val="28"/>
  </w:num>
  <w:num w:numId="13" w16cid:durableId="750737542">
    <w:abstractNumId w:val="9"/>
  </w:num>
  <w:num w:numId="14" w16cid:durableId="1857697817">
    <w:abstractNumId w:val="25"/>
  </w:num>
  <w:num w:numId="15" w16cid:durableId="1559439620">
    <w:abstractNumId w:val="27"/>
  </w:num>
  <w:num w:numId="16" w16cid:durableId="818694731">
    <w:abstractNumId w:val="16"/>
  </w:num>
  <w:num w:numId="17" w16cid:durableId="1374766802">
    <w:abstractNumId w:val="26"/>
  </w:num>
  <w:num w:numId="18" w16cid:durableId="2086219637">
    <w:abstractNumId w:val="10"/>
  </w:num>
  <w:num w:numId="19" w16cid:durableId="806513909">
    <w:abstractNumId w:val="20"/>
  </w:num>
  <w:num w:numId="20" w16cid:durableId="1702314361">
    <w:abstractNumId w:val="18"/>
  </w:num>
  <w:num w:numId="21" w16cid:durableId="1778792470">
    <w:abstractNumId w:val="5"/>
  </w:num>
  <w:num w:numId="22" w16cid:durableId="11803122">
    <w:abstractNumId w:val="30"/>
  </w:num>
  <w:num w:numId="23" w16cid:durableId="366374932">
    <w:abstractNumId w:val="8"/>
  </w:num>
  <w:num w:numId="24" w16cid:durableId="1464541394">
    <w:abstractNumId w:val="4"/>
  </w:num>
  <w:num w:numId="25" w16cid:durableId="950553613">
    <w:abstractNumId w:val="31"/>
  </w:num>
  <w:num w:numId="26" w16cid:durableId="15737536">
    <w:abstractNumId w:val="23"/>
  </w:num>
  <w:num w:numId="27" w16cid:durableId="1596208136">
    <w:abstractNumId w:val="32"/>
  </w:num>
  <w:num w:numId="28" w16cid:durableId="1314530666">
    <w:abstractNumId w:val="29"/>
  </w:num>
  <w:num w:numId="29" w16cid:durableId="1916739944">
    <w:abstractNumId w:val="6"/>
  </w:num>
  <w:num w:numId="30" w16cid:durableId="1670596298">
    <w:abstractNumId w:val="21"/>
  </w:num>
  <w:num w:numId="31" w16cid:durableId="911499436">
    <w:abstractNumId w:val="36"/>
  </w:num>
  <w:num w:numId="32" w16cid:durableId="615914006">
    <w:abstractNumId w:val="34"/>
  </w:num>
  <w:num w:numId="33" w16cid:durableId="789664967">
    <w:abstractNumId w:val="1"/>
  </w:num>
  <w:num w:numId="34" w16cid:durableId="950668180">
    <w:abstractNumId w:val="11"/>
  </w:num>
  <w:num w:numId="35" w16cid:durableId="235865360">
    <w:abstractNumId w:val="24"/>
  </w:num>
  <w:num w:numId="36" w16cid:durableId="543366621">
    <w:abstractNumId w:val="33"/>
  </w:num>
  <w:num w:numId="37" w16cid:durableId="1062824389">
    <w:abstractNumId w:val="35"/>
  </w:num>
  <w:num w:numId="38" w16cid:durableId="1176192491">
    <w:abstractNumId w:val="39"/>
  </w:num>
  <w:num w:numId="39" w16cid:durableId="273443457">
    <w:abstractNumId w:val="40"/>
  </w:num>
  <w:num w:numId="40" w16cid:durableId="274875298">
    <w:abstractNumId w:val="12"/>
  </w:num>
  <w:num w:numId="41" w16cid:durableId="10161301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7D"/>
    <w:rsid w:val="001307BF"/>
    <w:rsid w:val="00147553"/>
    <w:rsid w:val="002D4875"/>
    <w:rsid w:val="0068657B"/>
    <w:rsid w:val="00745249"/>
    <w:rsid w:val="00856DF6"/>
    <w:rsid w:val="00BD683A"/>
    <w:rsid w:val="00CA2FAD"/>
    <w:rsid w:val="00D26E11"/>
    <w:rsid w:val="00E40E7D"/>
    <w:rsid w:val="00F5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CF4E1"/>
  <w15:chartTrackingRefBased/>
  <w15:docId w15:val="{1BF3025C-459D-4AEF-B189-A9992464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0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0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0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0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0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0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0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0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0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0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0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0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0E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0E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0E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0E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0E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0E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0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0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0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0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0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0E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0E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0E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0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0E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0E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D683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D6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nspark.ai/api/files/s/8Af7wY16" TargetMode="External"/><Relationship Id="rId13" Type="http://schemas.openxmlformats.org/officeDocument/2006/relationships/hyperlink" Target="https://www.genspark.ai/api/files/s/8Af7wY1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enspark.ai/api/files/s/8Af7wY16" TargetMode="External"/><Relationship Id="rId12" Type="http://schemas.openxmlformats.org/officeDocument/2006/relationships/hyperlink" Target="https://www.genspark.ai/api/files/s/8Af7wY16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enspark.ai/api/files/s/8Af7wY1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nspark.ai/api/files/s/8Af7wY16" TargetMode="External"/><Relationship Id="rId11" Type="http://schemas.openxmlformats.org/officeDocument/2006/relationships/hyperlink" Target="https://www.genspark.ai/api/files/s/8Af7wY16" TargetMode="External"/><Relationship Id="rId5" Type="http://schemas.openxmlformats.org/officeDocument/2006/relationships/hyperlink" Target="https://www.genspark.ai/api/files/s/8Af7wY16" TargetMode="External"/><Relationship Id="rId15" Type="http://schemas.openxmlformats.org/officeDocument/2006/relationships/hyperlink" Target="https://www.genspark.ai/api/files/s/8Af7wY16" TargetMode="External"/><Relationship Id="rId10" Type="http://schemas.openxmlformats.org/officeDocument/2006/relationships/hyperlink" Target="https://www.genspark.ai/api/files/s/8Af7wY1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nspark.ai/api/files/s/8Af7wY16" TargetMode="External"/><Relationship Id="rId14" Type="http://schemas.openxmlformats.org/officeDocument/2006/relationships/hyperlink" Target="https://www.genspark.ai/api/files/s/8Af7wY16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2528</Words>
  <Characters>13652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França Reis</dc:creator>
  <cp:keywords/>
  <dc:description/>
  <cp:lastModifiedBy>Denise França Reis</cp:lastModifiedBy>
  <cp:revision>2</cp:revision>
  <dcterms:created xsi:type="dcterms:W3CDTF">2026-04-28T05:21:00Z</dcterms:created>
  <dcterms:modified xsi:type="dcterms:W3CDTF">2026-04-28T05:21:00Z</dcterms:modified>
</cp:coreProperties>
</file>