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A1654" w:rsidRDefault="008A1654" w:rsidP="008A1654">
      <w:pPr>
        <w:rPr>
          <w:rFonts w:eastAsiaTheme="majorEastAsia" w:cstheme="majorBidi"/>
          <w:sz w:val="28"/>
          <w:szCs w:val="28"/>
          <w:lang w:val="es-419"/>
        </w:rPr>
      </w:pPr>
      <w:r>
        <w:rPr>
          <w:lang w:val="es-419"/>
        </w:rPr>
        <w:br w:type="page"/>
      </w:r>
    </w:p>
    <w:p w:rsidR="00F72559" w:rsidRPr="008A1654" w:rsidRDefault="00F72559" w:rsidP="008A1654">
      <w:pPr>
        <w:pStyle w:val="Ttulo3"/>
        <w:rPr>
          <w:b/>
          <w:bCs/>
          <w:color w:val="auto"/>
          <w:lang w:val="es-419"/>
        </w:rPr>
      </w:pPr>
      <w:r w:rsidRPr="008A1654">
        <w:rPr>
          <w:b/>
          <w:bCs/>
          <w:color w:val="auto"/>
          <w:lang w:val="es-419"/>
        </w:rPr>
        <w:lastRenderedPageBreak/>
        <w:t>Filtración en la Secretaría de la Función Pública</w:t>
      </w:r>
    </w:p>
    <w:p w:rsidR="001D1344" w:rsidRDefault="001E6593" w:rsidP="008A1654">
      <w:pPr>
        <w:jc w:val="both"/>
        <w:rPr>
          <w:lang w:val="es-419"/>
        </w:rPr>
      </w:pPr>
      <w:r>
        <w:rPr>
          <w:lang w:val="es-419"/>
        </w:rPr>
        <w:t>E</w:t>
      </w:r>
      <w:r w:rsidR="005C07FE">
        <w:rPr>
          <w:lang w:val="es-419"/>
        </w:rPr>
        <w:t xml:space="preserve">ntre los meses de </w:t>
      </w:r>
      <w:r w:rsidR="005C07FE" w:rsidRPr="005C07FE">
        <w:rPr>
          <w:lang w:val="es-419"/>
        </w:rPr>
        <w:t>mayo y junio de 2020</w:t>
      </w:r>
      <w:r>
        <w:rPr>
          <w:lang w:val="es-419"/>
        </w:rPr>
        <w:t>, la INAI recibe un aviso de parte de la</w:t>
      </w:r>
      <w:r w:rsidRPr="001E6593">
        <w:rPr>
          <w:lang w:val="es-419"/>
        </w:rPr>
        <w:t xml:space="preserve"> Secretaría de la Función Pública</w:t>
      </w:r>
      <w:r w:rsidR="005C07FE">
        <w:rPr>
          <w:lang w:val="es-419"/>
        </w:rPr>
        <w:t xml:space="preserve"> (SFP)</w:t>
      </w:r>
      <w:r w:rsidRPr="001E6593">
        <w:rPr>
          <w:lang w:val="es-419"/>
        </w:rPr>
        <w:t xml:space="preserve"> </w:t>
      </w:r>
      <w:r>
        <w:rPr>
          <w:lang w:val="es-419"/>
        </w:rPr>
        <w:t xml:space="preserve">de un hackeo que había sufrido. </w:t>
      </w:r>
      <w:r w:rsidR="0032728B">
        <w:rPr>
          <w:lang w:val="es-419"/>
        </w:rPr>
        <w:t xml:space="preserve">Esto afectó a 830,000 personas que trabajan el gobierno dice Galindo (2020) en El economista. La información que se filtró, contenía datos de las declaraciones de patrimonio de los </w:t>
      </w:r>
      <w:r w:rsidR="008A1654">
        <w:rPr>
          <w:lang w:val="es-419"/>
        </w:rPr>
        <w:t>funcionarios,</w:t>
      </w:r>
      <w:r w:rsidR="0032728B">
        <w:rPr>
          <w:lang w:val="es-419"/>
        </w:rPr>
        <w:t xml:space="preserve"> aunque la </w:t>
      </w:r>
      <w:r w:rsidR="005C07FE">
        <w:rPr>
          <w:lang w:val="es-419"/>
        </w:rPr>
        <w:t>SFP</w:t>
      </w:r>
      <w:r w:rsidR="0032728B">
        <w:rPr>
          <w:lang w:val="es-419"/>
        </w:rPr>
        <w:t xml:space="preserve"> solo declaró que los datos que estaban e</w:t>
      </w:r>
      <w:r w:rsidR="008A1654">
        <w:rPr>
          <w:lang w:val="es-419"/>
        </w:rPr>
        <w:t>n</w:t>
      </w:r>
      <w:r w:rsidR="0032728B">
        <w:rPr>
          <w:lang w:val="es-419"/>
        </w:rPr>
        <w:t xml:space="preserve"> riesgo fueron la CURP, RFC y el sexo de </w:t>
      </w:r>
      <w:r w:rsidR="008A1654">
        <w:rPr>
          <w:lang w:val="es-419"/>
        </w:rPr>
        <w:t xml:space="preserve">las personas, </w:t>
      </w:r>
      <w:r w:rsidR="00EF771D">
        <w:rPr>
          <w:lang w:val="es-419"/>
        </w:rPr>
        <w:t>de</w:t>
      </w:r>
      <w:r w:rsidR="0032728B">
        <w:rPr>
          <w:lang w:val="es-419"/>
        </w:rPr>
        <w:t xml:space="preserve"> acuerdo con Galindo (2021)</w:t>
      </w:r>
      <w:r w:rsidR="008A1654">
        <w:rPr>
          <w:lang w:val="es-419"/>
        </w:rPr>
        <w:t>.</w:t>
      </w:r>
      <w:r w:rsidR="00611153">
        <w:rPr>
          <w:lang w:val="es-419"/>
        </w:rPr>
        <w:t xml:space="preserve"> Este ataque fue posible por la negligencia de la SFP, pues mas de un año antes de la notificación del ataque, esta dejo sin ninguna medida de seguridad al servidor que contenía la información ya mencionada y continuo con la misma actitud solo mandando un correo de aviso a las personas afectadas</w:t>
      </w:r>
      <w:r w:rsidR="00EF771D">
        <w:rPr>
          <w:lang w:val="es-419"/>
        </w:rPr>
        <w:t xml:space="preserve"> veinte días después a sabiendas de que la ley dicta que se debe hacer lo más pronto posible</w:t>
      </w:r>
      <w:r w:rsidR="00216F13">
        <w:rPr>
          <w:lang w:val="es-419"/>
        </w:rPr>
        <w:t xml:space="preserve"> y haciendo caso omiso a cualquier pregunta o petición</w:t>
      </w:r>
      <w:r w:rsidR="00611153">
        <w:rPr>
          <w:lang w:val="es-419"/>
        </w:rPr>
        <w:t>.</w:t>
      </w:r>
      <w:r w:rsidR="001D1344">
        <w:rPr>
          <w:lang w:val="es-419"/>
        </w:rPr>
        <w:t xml:space="preserve"> La secretaria se justifico diciendo que esos datos no representaban un riesgo muy grande pues al fin y al cabo eran públicos</w:t>
      </w:r>
      <w:r w:rsidR="00EF771D">
        <w:rPr>
          <w:lang w:val="es-419"/>
        </w:rPr>
        <w:t>.</w:t>
      </w:r>
    </w:p>
    <w:p w:rsidR="001D1344" w:rsidRDefault="00EF771D" w:rsidP="008A1654">
      <w:pPr>
        <w:jc w:val="both"/>
        <w:rPr>
          <w:lang w:val="es-419"/>
        </w:rPr>
      </w:pPr>
      <w:r>
        <w:rPr>
          <w:lang w:val="es-419"/>
        </w:rPr>
        <w:t xml:space="preserve">La decisión del INAI fue ordenar a la SFP que tomara las medidas necesarias para la protección de datos. </w:t>
      </w:r>
      <w:r w:rsidR="00216F13">
        <w:rPr>
          <w:lang w:val="es-419"/>
        </w:rPr>
        <w:t xml:space="preserve">La SFP incumplió el artículo 31 de la </w:t>
      </w:r>
      <w:r w:rsidR="00216F13" w:rsidRPr="00216F13">
        <w:rPr>
          <w:lang w:val="es-419"/>
        </w:rPr>
        <w:t>Ley General De Protección De Datos Personales En Posesión De Sujetos</w:t>
      </w:r>
      <w:r w:rsidR="00216F13">
        <w:rPr>
          <w:lang w:val="es-419"/>
        </w:rPr>
        <w:t xml:space="preserve"> Obligados, pues este dice que en caso de identificar una vulnerabilidad </w:t>
      </w:r>
      <w:r w:rsidR="00ED0BF4">
        <w:rPr>
          <w:lang w:val="es-419"/>
        </w:rPr>
        <w:t xml:space="preserve">debe implementar las correcciones necesarias para que no vuelva a pasar. El articulo 3 punto XI, dice que se tiene derecho en </w:t>
      </w:r>
      <w:r w:rsidR="001D1344">
        <w:rPr>
          <w:lang w:val="es-419"/>
        </w:rPr>
        <w:t>cómo</w:t>
      </w:r>
      <w:r w:rsidR="00ED0BF4">
        <w:rPr>
          <w:lang w:val="es-419"/>
        </w:rPr>
        <w:t xml:space="preserve"> se manejan los datos, esto se refuerza en al </w:t>
      </w:r>
      <w:r w:rsidR="001D1344">
        <w:rPr>
          <w:lang w:val="es-419"/>
        </w:rPr>
        <w:t>artículo</w:t>
      </w:r>
      <w:r w:rsidR="00ED0BF4">
        <w:rPr>
          <w:lang w:val="es-419"/>
        </w:rPr>
        <w:t xml:space="preserve"> 41 </w:t>
      </w:r>
      <w:r w:rsidR="001D1344">
        <w:rPr>
          <w:lang w:val="es-419"/>
        </w:rPr>
        <w:t>donde se menciona que las personas pueden pedir para el tratamiento de sus datos o retirarlos, en este caso la secretaria responsable negó todo cuestionamiento y petición respecto a la filtración.</w:t>
      </w:r>
    </w:p>
    <w:p w:rsidR="00F72559" w:rsidRPr="00EF771D" w:rsidRDefault="00F72559" w:rsidP="00EF771D">
      <w:pPr>
        <w:pStyle w:val="Ttulo3"/>
        <w:rPr>
          <w:b/>
          <w:bCs/>
          <w:color w:val="auto"/>
          <w:lang w:val="es-419"/>
        </w:rPr>
      </w:pPr>
      <w:r w:rsidRPr="00EF771D">
        <w:rPr>
          <w:b/>
          <w:bCs/>
          <w:color w:val="auto"/>
          <w:lang w:val="es-419"/>
        </w:rPr>
        <w:t>Hackeo a la Lotería Nacional</w:t>
      </w:r>
    </w:p>
    <w:p w:rsidR="00EF771D" w:rsidRPr="0065418D" w:rsidRDefault="005C07FE" w:rsidP="008A1654">
      <w:pPr>
        <w:jc w:val="both"/>
        <w:rPr>
          <w:lang w:val="es-419"/>
        </w:rPr>
      </w:pPr>
      <w:r>
        <w:rPr>
          <w:lang w:val="es-419"/>
        </w:rPr>
        <w:t xml:space="preserve">En </w:t>
      </w:r>
      <w:r w:rsidR="0065418D">
        <w:rPr>
          <w:lang w:val="es-419"/>
        </w:rPr>
        <w:t xml:space="preserve">mayo del año 2020, </w:t>
      </w:r>
      <w:r w:rsidR="0065418D" w:rsidRPr="0065418D">
        <w:rPr>
          <w:lang w:val="es-419"/>
        </w:rPr>
        <w:t>la Lotería Nacional (LOTENAL)</w:t>
      </w:r>
      <w:r w:rsidR="0065418D">
        <w:rPr>
          <w:lang w:val="es-419"/>
        </w:rPr>
        <w:t xml:space="preserve"> fue víctima de un ciberataque a sus servidores</w:t>
      </w:r>
    </w:p>
    <w:p w:rsidR="00F72559" w:rsidRDefault="00F72559" w:rsidP="008A1654">
      <w:pPr>
        <w:jc w:val="both"/>
        <w:rPr>
          <w:lang w:val="es-419"/>
        </w:rPr>
      </w:pPr>
      <w:r w:rsidRPr="00F72559">
        <w:rPr>
          <w:lang w:val="es-419"/>
        </w:rPr>
        <w:t>Sanción a AT&amp;T México</w:t>
      </w:r>
    </w:p>
    <w:p w:rsidR="00F72559" w:rsidRDefault="00F72559" w:rsidP="008A1654">
      <w:pPr>
        <w:jc w:val="both"/>
        <w:rPr>
          <w:lang w:val="es-419"/>
        </w:rPr>
      </w:pPr>
    </w:p>
    <w:p w:rsidR="0032728B" w:rsidRDefault="0032728B" w:rsidP="008A1654">
      <w:pPr>
        <w:jc w:val="both"/>
        <w:rPr>
          <w:lang w:val="es-419"/>
        </w:rPr>
      </w:pPr>
    </w:p>
    <w:p w:rsidR="0032728B" w:rsidRDefault="0032728B" w:rsidP="008A1654">
      <w:pPr>
        <w:jc w:val="both"/>
        <w:rPr>
          <w:lang w:val="es-419"/>
        </w:rPr>
      </w:pPr>
      <w:r>
        <w:rPr>
          <w:lang w:val="es-419"/>
        </w:rPr>
        <w:br w:type="page"/>
      </w:r>
    </w:p>
    <w:p w:rsidR="0032728B" w:rsidRPr="008A1654" w:rsidRDefault="0032728B" w:rsidP="008A1654">
      <w:pPr>
        <w:pStyle w:val="Ttulo2"/>
        <w:rPr>
          <w:b/>
          <w:bCs/>
          <w:color w:val="auto"/>
          <w:sz w:val="28"/>
          <w:szCs w:val="28"/>
          <w:lang w:val="es-419"/>
        </w:rPr>
      </w:pPr>
      <w:r w:rsidRPr="008A1654">
        <w:rPr>
          <w:b/>
          <w:bCs/>
          <w:color w:val="auto"/>
          <w:sz w:val="28"/>
          <w:szCs w:val="28"/>
          <w:lang w:val="es-419"/>
        </w:rPr>
        <w:lastRenderedPageBreak/>
        <w:t>Referencias:</w:t>
      </w:r>
    </w:p>
    <w:p w:rsidR="005C07FE" w:rsidRDefault="005C07FE" w:rsidP="005C07FE">
      <w:pPr>
        <w:ind w:left="720" w:hanging="720"/>
        <w:rPr>
          <w:lang w:val="es-419"/>
        </w:rPr>
      </w:pPr>
      <w:r w:rsidRPr="00305B51">
        <w:rPr>
          <w:lang w:val="es-419"/>
        </w:rPr>
        <w:t xml:space="preserve">Galindo, J. S. (2020, November 25). Función Pública incumplió con la ley por fuga de datos personales: Inai. El Economista. </w:t>
      </w:r>
      <w:hyperlink r:id="rId4" w:history="1">
        <w:r w:rsidRPr="00264534">
          <w:rPr>
            <w:rStyle w:val="Hipervnculo"/>
            <w:lang w:val="es-419"/>
          </w:rPr>
          <w:t>https://www.eleconomista.com.mx/politica/Funcion-Publica-incumplio-con-la-ley-por-fuga-de-datos-personales-Inai-20201124-0082.html</w:t>
        </w:r>
      </w:hyperlink>
    </w:p>
    <w:p w:rsidR="0032728B" w:rsidRDefault="0032728B" w:rsidP="0032728B">
      <w:pPr>
        <w:ind w:left="720" w:hanging="720"/>
        <w:rPr>
          <w:lang w:val="es-419"/>
        </w:rPr>
      </w:pPr>
      <w:r w:rsidRPr="0032728B">
        <w:rPr>
          <w:lang w:val="es-419"/>
        </w:rPr>
        <w:t xml:space="preserve">Galindo, J. S. (2020, December 5). Inai alerta de posible robo de datos personales tras “hackeo” a Función Pública. El Economista. </w:t>
      </w:r>
      <w:hyperlink r:id="rId5" w:history="1">
        <w:r w:rsidRPr="00264534">
          <w:rPr>
            <w:rStyle w:val="Hipervnculo"/>
            <w:lang w:val="es-419"/>
          </w:rPr>
          <w:t>https://www.eleconomista.com.mx/politica/Inai-alerta-de-posible-robo-de-datos-personales-tras-hackeo-a-Funcion-Publica-20201204-0048.html</w:t>
        </w:r>
      </w:hyperlink>
    </w:p>
    <w:p w:rsidR="00611153" w:rsidRDefault="00611153" w:rsidP="00611153">
      <w:pPr>
        <w:ind w:left="720" w:hanging="720"/>
        <w:rPr>
          <w:lang w:val="es-419"/>
        </w:rPr>
      </w:pPr>
      <w:r w:rsidRPr="00611153">
        <w:rPr>
          <w:lang w:val="es-419"/>
        </w:rPr>
        <w:t xml:space="preserve">Galindo, J. S. (2021, August 8). Función Pública no ha encontrado responsables de la filtración de datos personales de 2020. El Economista. </w:t>
      </w:r>
      <w:hyperlink r:id="rId6" w:history="1">
        <w:r w:rsidRPr="00264534">
          <w:rPr>
            <w:rStyle w:val="Hipervnculo"/>
            <w:lang w:val="es-419"/>
          </w:rPr>
          <w:t>https://www.eleconomista.com.mx/opinion/Funcion-Publica-no-ha-encontrado-responsables-de-la-filtracion-de-datos-personales-de-2020-20210808-0007.html</w:t>
        </w:r>
      </w:hyperlink>
    </w:p>
    <w:p w:rsidR="0032728B" w:rsidRDefault="008A1654" w:rsidP="008A1654">
      <w:pPr>
        <w:ind w:left="720" w:hanging="720"/>
        <w:rPr>
          <w:lang w:val="es-419"/>
        </w:rPr>
      </w:pPr>
      <w:r w:rsidRPr="008A1654">
        <w:rPr>
          <w:lang w:val="es-419"/>
        </w:rPr>
        <w:t xml:space="preserve">Galindo, J. S. (2021, August 22). Secretaría de la Función Pública: poner el ejemplo. El Economista. </w:t>
      </w:r>
      <w:hyperlink r:id="rId7" w:history="1">
        <w:r w:rsidRPr="00264534">
          <w:rPr>
            <w:rStyle w:val="Hipervnculo"/>
            <w:lang w:val="es-419"/>
          </w:rPr>
          <w:t>https://www.eleconomista.com.mx/opinion/Secretaria-de-la-Funcion-Publica-poner-el-ejemplo-20210822-0006.html</w:t>
        </w:r>
      </w:hyperlink>
    </w:p>
    <w:p w:rsidR="00305B51" w:rsidRPr="00F72559" w:rsidRDefault="0065418D" w:rsidP="0065418D">
      <w:pPr>
        <w:ind w:left="720" w:hanging="720"/>
        <w:rPr>
          <w:lang w:val="es-419"/>
        </w:rPr>
      </w:pPr>
      <w:r w:rsidRPr="0065418D">
        <w:rPr>
          <w:lang w:val="es-419"/>
        </w:rPr>
        <w:t>Olvera, D. (2022, July). El ciberataque a Lotenal de 2021 fue por no actualizar sus parches de seguridad: ASF | SinEmbargo MX. SinEmbargo MX | Periodismo Digital Con Rigor. https://www.sinembargo.mx/4213029/el-ciberataque-a-lotenal-de-2021-fue-por-no-actualizar-sus-parches-de-seguridad-asf/</w:t>
      </w:r>
    </w:p>
    <w:sectPr w:rsidR="00305B51" w:rsidRPr="00F725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59"/>
    <w:rsid w:val="001D1344"/>
    <w:rsid w:val="001E6593"/>
    <w:rsid w:val="00207C66"/>
    <w:rsid w:val="00216F13"/>
    <w:rsid w:val="00305B51"/>
    <w:rsid w:val="0032728B"/>
    <w:rsid w:val="003A25D3"/>
    <w:rsid w:val="00505DBB"/>
    <w:rsid w:val="00557CF1"/>
    <w:rsid w:val="005C07FE"/>
    <w:rsid w:val="00611153"/>
    <w:rsid w:val="0065418D"/>
    <w:rsid w:val="008A1654"/>
    <w:rsid w:val="00ED0BF4"/>
    <w:rsid w:val="00EF771D"/>
    <w:rsid w:val="00F7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AF4B"/>
  <w15:chartTrackingRefBased/>
  <w15:docId w15:val="{F07F7E5B-DBA9-4E74-BC24-9DE241820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25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725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F7255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7255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7255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7255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255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255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255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255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F7255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F7255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7255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7255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7255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255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255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2559"/>
    <w:rPr>
      <w:rFonts w:eastAsiaTheme="majorEastAsia" w:cstheme="majorBidi"/>
      <w:color w:val="272727" w:themeColor="text1" w:themeTint="D8"/>
    </w:rPr>
  </w:style>
  <w:style w:type="paragraph" w:styleId="Ttulo">
    <w:name w:val="Title"/>
    <w:basedOn w:val="Normal"/>
    <w:next w:val="Normal"/>
    <w:link w:val="TtuloCar"/>
    <w:uiPriority w:val="10"/>
    <w:qFormat/>
    <w:rsid w:val="00F725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255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255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255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2559"/>
    <w:pPr>
      <w:spacing w:before="160"/>
      <w:jc w:val="center"/>
    </w:pPr>
    <w:rPr>
      <w:i/>
      <w:iCs/>
      <w:color w:val="404040" w:themeColor="text1" w:themeTint="BF"/>
    </w:rPr>
  </w:style>
  <w:style w:type="character" w:customStyle="1" w:styleId="CitaCar">
    <w:name w:val="Cita Car"/>
    <w:basedOn w:val="Fuentedeprrafopredeter"/>
    <w:link w:val="Cita"/>
    <w:uiPriority w:val="29"/>
    <w:rsid w:val="00F72559"/>
    <w:rPr>
      <w:i/>
      <w:iCs/>
      <w:color w:val="404040" w:themeColor="text1" w:themeTint="BF"/>
    </w:rPr>
  </w:style>
  <w:style w:type="paragraph" w:styleId="Prrafodelista">
    <w:name w:val="List Paragraph"/>
    <w:basedOn w:val="Normal"/>
    <w:uiPriority w:val="34"/>
    <w:qFormat/>
    <w:rsid w:val="00F72559"/>
    <w:pPr>
      <w:ind w:left="720"/>
      <w:contextualSpacing/>
    </w:pPr>
  </w:style>
  <w:style w:type="character" w:styleId="nfasisintenso">
    <w:name w:val="Intense Emphasis"/>
    <w:basedOn w:val="Fuentedeprrafopredeter"/>
    <w:uiPriority w:val="21"/>
    <w:qFormat/>
    <w:rsid w:val="00F72559"/>
    <w:rPr>
      <w:i/>
      <w:iCs/>
      <w:color w:val="2F5496" w:themeColor="accent1" w:themeShade="BF"/>
    </w:rPr>
  </w:style>
  <w:style w:type="paragraph" w:styleId="Citadestacada">
    <w:name w:val="Intense Quote"/>
    <w:basedOn w:val="Normal"/>
    <w:next w:val="Normal"/>
    <w:link w:val="CitadestacadaCar"/>
    <w:uiPriority w:val="30"/>
    <w:qFormat/>
    <w:rsid w:val="00F725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72559"/>
    <w:rPr>
      <w:i/>
      <w:iCs/>
      <w:color w:val="2F5496" w:themeColor="accent1" w:themeShade="BF"/>
    </w:rPr>
  </w:style>
  <w:style w:type="character" w:styleId="Referenciaintensa">
    <w:name w:val="Intense Reference"/>
    <w:basedOn w:val="Fuentedeprrafopredeter"/>
    <w:uiPriority w:val="32"/>
    <w:qFormat/>
    <w:rsid w:val="00F72559"/>
    <w:rPr>
      <w:b/>
      <w:bCs/>
      <w:smallCaps/>
      <w:color w:val="2F5496" w:themeColor="accent1" w:themeShade="BF"/>
      <w:spacing w:val="5"/>
    </w:rPr>
  </w:style>
  <w:style w:type="character" w:styleId="Hipervnculo">
    <w:name w:val="Hyperlink"/>
    <w:basedOn w:val="Fuentedeprrafopredeter"/>
    <w:uiPriority w:val="99"/>
    <w:unhideWhenUsed/>
    <w:rsid w:val="0032728B"/>
    <w:rPr>
      <w:color w:val="0563C1" w:themeColor="hyperlink"/>
      <w:u w:val="single"/>
    </w:rPr>
  </w:style>
  <w:style w:type="character" w:styleId="Mencinsinresolver">
    <w:name w:val="Unresolved Mention"/>
    <w:basedOn w:val="Fuentedeprrafopredeter"/>
    <w:uiPriority w:val="99"/>
    <w:semiHidden/>
    <w:unhideWhenUsed/>
    <w:rsid w:val="0032728B"/>
    <w:rPr>
      <w:color w:val="605E5C"/>
      <w:shd w:val="clear" w:color="auto" w:fill="E1DFDD"/>
    </w:rPr>
  </w:style>
  <w:style w:type="character" w:styleId="Hipervnculovisitado">
    <w:name w:val="FollowedHyperlink"/>
    <w:basedOn w:val="Fuentedeprrafopredeter"/>
    <w:uiPriority w:val="99"/>
    <w:semiHidden/>
    <w:unhideWhenUsed/>
    <w:rsid w:val="005C07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102977">
      <w:bodyDiv w:val="1"/>
      <w:marLeft w:val="0"/>
      <w:marRight w:val="0"/>
      <w:marTop w:val="0"/>
      <w:marBottom w:val="0"/>
      <w:divBdr>
        <w:top w:val="none" w:sz="0" w:space="0" w:color="auto"/>
        <w:left w:val="none" w:sz="0" w:space="0" w:color="auto"/>
        <w:bottom w:val="none" w:sz="0" w:space="0" w:color="auto"/>
        <w:right w:val="none" w:sz="0" w:space="0" w:color="auto"/>
      </w:divBdr>
    </w:div>
    <w:div w:id="511066786">
      <w:bodyDiv w:val="1"/>
      <w:marLeft w:val="0"/>
      <w:marRight w:val="0"/>
      <w:marTop w:val="0"/>
      <w:marBottom w:val="0"/>
      <w:divBdr>
        <w:top w:val="none" w:sz="0" w:space="0" w:color="auto"/>
        <w:left w:val="none" w:sz="0" w:space="0" w:color="auto"/>
        <w:bottom w:val="none" w:sz="0" w:space="0" w:color="auto"/>
        <w:right w:val="none" w:sz="0" w:space="0" w:color="auto"/>
      </w:divBdr>
    </w:div>
    <w:div w:id="649754803">
      <w:bodyDiv w:val="1"/>
      <w:marLeft w:val="0"/>
      <w:marRight w:val="0"/>
      <w:marTop w:val="0"/>
      <w:marBottom w:val="0"/>
      <w:divBdr>
        <w:top w:val="none" w:sz="0" w:space="0" w:color="auto"/>
        <w:left w:val="none" w:sz="0" w:space="0" w:color="auto"/>
        <w:bottom w:val="none" w:sz="0" w:space="0" w:color="auto"/>
        <w:right w:val="none" w:sz="0" w:space="0" w:color="auto"/>
      </w:divBdr>
    </w:div>
    <w:div w:id="917252073">
      <w:bodyDiv w:val="1"/>
      <w:marLeft w:val="0"/>
      <w:marRight w:val="0"/>
      <w:marTop w:val="0"/>
      <w:marBottom w:val="0"/>
      <w:divBdr>
        <w:top w:val="none" w:sz="0" w:space="0" w:color="auto"/>
        <w:left w:val="none" w:sz="0" w:space="0" w:color="auto"/>
        <w:bottom w:val="none" w:sz="0" w:space="0" w:color="auto"/>
        <w:right w:val="none" w:sz="0" w:space="0" w:color="auto"/>
      </w:divBdr>
    </w:div>
    <w:div w:id="1455368858">
      <w:bodyDiv w:val="1"/>
      <w:marLeft w:val="0"/>
      <w:marRight w:val="0"/>
      <w:marTop w:val="0"/>
      <w:marBottom w:val="0"/>
      <w:divBdr>
        <w:top w:val="none" w:sz="0" w:space="0" w:color="auto"/>
        <w:left w:val="none" w:sz="0" w:space="0" w:color="auto"/>
        <w:bottom w:val="none" w:sz="0" w:space="0" w:color="auto"/>
        <w:right w:val="none" w:sz="0" w:space="0" w:color="auto"/>
      </w:divBdr>
    </w:div>
    <w:div w:id="168843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leconomista.com.mx/opinion/Secretaria-de-la-Funcion-Publica-poner-el-ejemplo-20210822-000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leconomista.com.mx/opinion/Funcion-Publica-no-ha-encontrado-responsables-de-la-filtracion-de-datos-personales-de-2020-20210808-0007.html" TargetMode="External"/><Relationship Id="rId5" Type="http://schemas.openxmlformats.org/officeDocument/2006/relationships/hyperlink" Target="https://www.eleconomista.com.mx/politica/Inai-alerta-de-posible-robo-de-datos-personales-tras-hackeo-a-Funcion-Publica-20201204-0048.html" TargetMode="External"/><Relationship Id="rId4" Type="http://schemas.openxmlformats.org/officeDocument/2006/relationships/hyperlink" Target="https://www.eleconomista.com.mx/politica/Funcion-Publica-incumplio-con-la-ley-por-fuga-de-datos-personales-Inai-20201124-0082.html"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3</Pages>
  <Words>506</Words>
  <Characters>3338</Characters>
  <Application>Microsoft Office Word</Application>
  <DocSecurity>0</DocSecurity>
  <Lines>74</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Moisés Martínez</dc:creator>
  <cp:keywords/>
  <dc:description/>
  <cp:lastModifiedBy>José Moisés Martínez</cp:lastModifiedBy>
  <cp:revision>3</cp:revision>
  <dcterms:created xsi:type="dcterms:W3CDTF">2025-04-07T22:31:00Z</dcterms:created>
  <dcterms:modified xsi:type="dcterms:W3CDTF">2025-04-08T13:32:00Z</dcterms:modified>
</cp:coreProperties>
</file>