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1:20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rPr>
          <w:sz w:val="24"/>
          <w:szCs w:val="24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continuó trabajando con el </w:t>
      </w:r>
      <w:r w:rsidDel="00000000" w:rsidR="00000000" w:rsidRPr="00000000">
        <w:rPr>
          <w:sz w:val="24"/>
          <w:szCs w:val="24"/>
          <w:rtl w:val="0"/>
        </w:rPr>
        <w:t xml:space="preserve">ES.RE.</w:t>
      </w:r>
      <w:r w:rsidDel="00000000" w:rsidR="00000000" w:rsidRPr="00000000">
        <w:rPr>
          <w:sz w:val="24"/>
          <w:szCs w:val="24"/>
          <w:rtl w:val="0"/>
        </w:rPr>
        <w:t xml:space="preserve"> Comienza la redacción de los documentos de factibilidades.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con el logo de la empresa “AIO”.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analizó la ubicación de las oficinas de “Albisoft”. Se determinaron dos posibles ubicaciones y queda en discusión una conclusión.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comenzó a hacer el diagrama de navegabilidad de la aplicación web de “AIO”.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avanzar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determinar una localización para la empresa “Albisoft”.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17/6/2024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logo de AIO.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24/6/2024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ha sido positivo. Se determinaron dos posibles ubicaciones pa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Charlo se retiró por asuntos familiares.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21/6/2024 a las 11:15 A.M.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otk3wasb2km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spacing w:line="360" w:lineRule="auto"/>
        <w:rPr/>
      </w:pPr>
      <w:bookmarkStart w:colFirst="0" w:colLast="0" w:name="_o0cxni5sijlz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°5</w:t>
      <w:tab/>
      <w:tab/>
      <w:tab/>
      <w:tab/>
      <w:tab/>
      <w:tab/>
      <w:tab/>
      <w:tab/>
      <w:tab/>
      <w:t xml:space="preserve">            14/6/2024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2709863</wp:posOffset>
          </wp:positionH>
          <wp:positionV relativeFrom="paragraph">
            <wp:posOffset>-171449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