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784"/>
      </w:tblGrid>
      <w:tr>
        <w:tc>
          <w:tcPr>
            <w:tcW w:type="dxa" w:w="8640"/>
            <w:shd w:val="clear" w:color="auto" w:fill="1A376C"/>
          </w:tcPr>
          <w:p>
            <w:pPr>
              <w:spacing w:before="440"/>
              <w:jc w:val="center"/>
            </w:pPr>
            <w:r>
              <w:rPr>
                <w:rFonts w:ascii="Calibri Light" w:hAnsi="Calibri Light"/>
                <w:b/>
                <w:color w:val="FFFFFF"/>
                <w:sz w:val="56"/>
              </w:rPr>
              <w:t>GESTALT LAWS</w:t>
            </w:r>
          </w:p>
          <w:p>
            <w:pPr>
              <w:jc w:val="center"/>
            </w:pPr>
            <w:r>
              <w:rPr>
                <w:rFonts w:ascii="Calibri Light" w:hAnsi="Calibri Light"/>
                <w:b/>
                <w:color w:val="BDD7EE"/>
                <w:sz w:val="36"/>
              </w:rPr>
              <w:t>OF PERCEPTUAL ORGANIZATION</w:t>
            </w:r>
          </w:p>
          <w:p>
            <w:pPr>
              <w:spacing w:before="200"/>
              <w:jc w:val="center"/>
            </w:pPr>
            <w:r>
              <w:rPr>
                <w:rFonts w:ascii="Calibri" w:hAnsi="Calibri"/>
                <w:i/>
                <w:color w:val="D6E4F7"/>
                <w:sz w:val="24"/>
              </w:rPr>
              <w:t>A Comprehensive Study in Gestalt Psychology</w:t>
            </w:r>
          </w:p>
          <w:p>
            <w:pPr>
              <w:spacing w:after="440"/>
            </w:pPr>
          </w:p>
        </w:tc>
      </w:tr>
    </w:tbl>
    <w:tbl>
      <w:tblPr>
        <w:tblStyle w:val="TableGrid"/>
        <w:tblW w:type="auto" w:w="0"/>
        <w:tblLook w:firstColumn="1" w:firstRow="1" w:lastColumn="0" w:lastRow="0" w:noHBand="0" w:noVBand="1" w:val="04A0"/>
      </w:tblPr>
      <w:tblGrid>
        <w:gridCol w:w="8784"/>
      </w:tblGrid>
      <w:tr>
        <w:tc>
          <w:tcPr>
            <w:tcW w:type="dxa" w:w="8784"/>
            <w:shd w:val="clear" w:color="auto" w:fill="2E74B5"/>
          </w:tcPr>
          <w:p>
            <w:pPr>
              <w:spacing w:before="60" w:after="60"/>
            </w:pPr>
          </w:p>
        </w:tc>
      </w:tr>
    </w:tbl>
    <w:p/>
    <w:tbl>
      <w:tblPr>
        <w:tblStyle w:val="TableGrid"/>
        <w:tblW w:type="auto" w:w="0"/>
        <w:tblLook w:firstColumn="1" w:firstRow="1" w:lastColumn="0" w:lastRow="0" w:noHBand="0" w:noVBand="1" w:val="04A0"/>
      </w:tblPr>
      <w:tblGrid>
        <w:gridCol w:w="4392"/>
        <w:gridCol w:w="4392"/>
      </w:tblGrid>
      <w:tr>
        <w:tc>
          <w:tcPr>
            <w:tcW w:type="dxa" w:w="4392"/>
            <w:shd w:val="clear" w:color="auto" w:fill="1A376C"/>
          </w:tcPr>
          <w:p>
            <w:pPr>
              <w:spacing w:before="80" w:after="80"/>
            </w:pPr>
            <w:r>
              <w:rPr>
                <w:rFonts w:ascii="Calibri Light" w:hAnsi="Calibri Light"/>
                <w:b/>
                <w:color w:val="FFFFFF"/>
                <w:sz w:val="20"/>
              </w:rPr>
              <w:t>SUBJECT</w:t>
            </w:r>
          </w:p>
        </w:tc>
        <w:tc>
          <w:tcPr>
            <w:tcW w:type="dxa" w:w="4392"/>
            <w:shd w:val="clear" w:color="auto" w:fill="EBF3FB"/>
          </w:tcPr>
          <w:p>
            <w:pPr>
              <w:spacing w:before="80" w:after="80"/>
            </w:pPr>
            <w:r>
              <w:rPr>
                <w:rFonts w:ascii="Calibri" w:hAnsi="Calibri"/>
                <w:color w:val="1A376C"/>
                <w:sz w:val="20"/>
              </w:rPr>
              <w:t>General Psychology</w:t>
            </w:r>
          </w:p>
        </w:tc>
      </w:tr>
      <w:tr>
        <w:tc>
          <w:tcPr>
            <w:tcW w:type="dxa" w:w="4392"/>
            <w:shd w:val="clear" w:color="auto" w:fill="1A376C"/>
          </w:tcPr>
          <w:p>
            <w:pPr>
              <w:spacing w:before="80" w:after="80"/>
            </w:pPr>
            <w:r>
              <w:rPr>
                <w:rFonts w:ascii="Calibri Light" w:hAnsi="Calibri Light"/>
                <w:b/>
                <w:color w:val="FFFFFF"/>
                <w:sz w:val="20"/>
              </w:rPr>
              <w:t>TOPIC</w:t>
            </w:r>
          </w:p>
        </w:tc>
        <w:tc>
          <w:tcPr>
            <w:tcW w:type="dxa" w:w="4392"/>
            <w:shd w:val="clear" w:color="auto" w:fill="EBF3FB"/>
          </w:tcPr>
          <w:p>
            <w:pPr>
              <w:spacing w:before="80" w:after="80"/>
            </w:pPr>
            <w:r>
              <w:rPr>
                <w:rFonts w:ascii="Calibri" w:hAnsi="Calibri"/>
                <w:color w:val="1A376C"/>
                <w:sz w:val="20"/>
              </w:rPr>
              <w:t>Gestalt Laws of Perceptual Organization</w:t>
            </w:r>
          </w:p>
        </w:tc>
      </w:tr>
      <w:tr>
        <w:tc>
          <w:tcPr>
            <w:tcW w:type="dxa" w:w="4392"/>
            <w:shd w:val="clear" w:color="auto" w:fill="1A376C"/>
          </w:tcPr>
          <w:p>
            <w:pPr>
              <w:spacing w:before="80" w:after="80"/>
            </w:pPr>
            <w:r>
              <w:rPr>
                <w:rFonts w:ascii="Calibri Light" w:hAnsi="Calibri Light"/>
                <w:b/>
                <w:color w:val="FFFFFF"/>
                <w:sz w:val="20"/>
              </w:rPr>
              <w:t>SUBMITTED BY</w:t>
            </w:r>
          </w:p>
        </w:tc>
        <w:tc>
          <w:tcPr>
            <w:tcW w:type="dxa" w:w="4392"/>
            <w:shd w:val="clear" w:color="auto" w:fill="EBF3FB"/>
          </w:tcPr>
          <w:p>
            <w:pPr>
              <w:spacing w:before="80" w:after="80"/>
            </w:pPr>
            <w:r>
              <w:rPr>
                <w:rFonts w:ascii="Calibri" w:hAnsi="Calibri"/>
                <w:color w:val="1A376C"/>
                <w:sz w:val="20"/>
              </w:rPr>
              <w:t>________________________</w:t>
            </w:r>
          </w:p>
        </w:tc>
      </w:tr>
      <w:tr>
        <w:tc>
          <w:tcPr>
            <w:tcW w:type="dxa" w:w="4392"/>
            <w:shd w:val="clear" w:color="auto" w:fill="1A376C"/>
          </w:tcPr>
          <w:p>
            <w:pPr>
              <w:spacing w:before="80" w:after="80"/>
            </w:pPr>
            <w:r>
              <w:rPr>
                <w:rFonts w:ascii="Calibri Light" w:hAnsi="Calibri Light"/>
                <w:b/>
                <w:color w:val="FFFFFF"/>
                <w:sz w:val="20"/>
              </w:rPr>
              <w:t>ROLL NO.</w:t>
            </w:r>
          </w:p>
        </w:tc>
        <w:tc>
          <w:tcPr>
            <w:tcW w:type="dxa" w:w="4392"/>
            <w:shd w:val="clear" w:color="auto" w:fill="EBF3FB"/>
          </w:tcPr>
          <w:p>
            <w:pPr>
              <w:spacing w:before="80" w:after="80"/>
            </w:pPr>
            <w:r>
              <w:rPr>
                <w:rFonts w:ascii="Calibri" w:hAnsi="Calibri"/>
                <w:color w:val="1A376C"/>
                <w:sz w:val="20"/>
              </w:rPr>
              <w:t>________________________</w:t>
            </w:r>
          </w:p>
        </w:tc>
      </w:tr>
      <w:tr>
        <w:tc>
          <w:tcPr>
            <w:tcW w:type="dxa" w:w="4392"/>
            <w:shd w:val="clear" w:color="auto" w:fill="1A376C"/>
          </w:tcPr>
          <w:p>
            <w:pPr>
              <w:spacing w:before="80" w:after="80"/>
            </w:pPr>
            <w:r>
              <w:rPr>
                <w:rFonts w:ascii="Calibri Light" w:hAnsi="Calibri Light"/>
                <w:b/>
                <w:color w:val="FFFFFF"/>
                <w:sz w:val="20"/>
              </w:rPr>
              <w:t>CLASS / SECTION</w:t>
            </w:r>
          </w:p>
        </w:tc>
        <w:tc>
          <w:tcPr>
            <w:tcW w:type="dxa" w:w="4392"/>
            <w:shd w:val="clear" w:color="auto" w:fill="EBF3FB"/>
          </w:tcPr>
          <w:p>
            <w:pPr>
              <w:spacing w:before="80" w:after="80"/>
            </w:pPr>
            <w:r>
              <w:rPr>
                <w:rFonts w:ascii="Calibri" w:hAnsi="Calibri"/>
                <w:color w:val="1A376C"/>
                <w:sz w:val="20"/>
              </w:rPr>
              <w:t>________________________</w:t>
            </w:r>
          </w:p>
        </w:tc>
      </w:tr>
      <w:tr>
        <w:tc>
          <w:tcPr>
            <w:tcW w:type="dxa" w:w="4392"/>
            <w:shd w:val="clear" w:color="auto" w:fill="1A376C"/>
          </w:tcPr>
          <w:p>
            <w:pPr>
              <w:spacing w:before="80" w:after="80"/>
            </w:pPr>
            <w:r>
              <w:rPr>
                <w:rFonts w:ascii="Calibri Light" w:hAnsi="Calibri Light"/>
                <w:b/>
                <w:color w:val="FFFFFF"/>
                <w:sz w:val="20"/>
              </w:rPr>
              <w:t>SUBMITTED TO</w:t>
            </w:r>
          </w:p>
        </w:tc>
        <w:tc>
          <w:tcPr>
            <w:tcW w:type="dxa" w:w="4392"/>
            <w:shd w:val="clear" w:color="auto" w:fill="EBF3FB"/>
          </w:tcPr>
          <w:p>
            <w:pPr>
              <w:spacing w:before="80" w:after="80"/>
            </w:pPr>
            <w:r>
              <w:rPr>
                <w:rFonts w:ascii="Calibri" w:hAnsi="Calibri"/>
                <w:color w:val="1A376C"/>
                <w:sz w:val="20"/>
              </w:rPr>
              <w:t>________________________</w:t>
            </w:r>
          </w:p>
        </w:tc>
      </w:tr>
      <w:tr>
        <w:tc>
          <w:tcPr>
            <w:tcW w:type="dxa" w:w="4392"/>
            <w:shd w:val="clear" w:color="auto" w:fill="1A376C"/>
          </w:tcPr>
          <w:p>
            <w:pPr>
              <w:spacing w:before="80" w:after="80"/>
            </w:pPr>
            <w:r>
              <w:rPr>
                <w:rFonts w:ascii="Calibri Light" w:hAnsi="Calibri Light"/>
                <w:b/>
                <w:color w:val="FFFFFF"/>
                <w:sz w:val="20"/>
              </w:rPr>
              <w:t>DATE</w:t>
            </w:r>
          </w:p>
        </w:tc>
        <w:tc>
          <w:tcPr>
            <w:tcW w:type="dxa" w:w="4392"/>
            <w:shd w:val="clear" w:color="auto" w:fill="EBF3FB"/>
          </w:tcPr>
          <w:p>
            <w:pPr>
              <w:spacing w:before="80" w:after="80"/>
            </w:pPr>
            <w:r>
              <w:rPr>
                <w:rFonts w:ascii="Calibri" w:hAnsi="Calibri"/>
                <w:color w:val="1A376C"/>
                <w:sz w:val="20"/>
              </w:rPr>
              <w:t>March 11, 2026</w:t>
            </w:r>
          </w:p>
        </w:tc>
      </w:tr>
    </w:tbl>
    <w:p>
      <w:r>
        <w:br w:type="page"/>
      </w:r>
    </w:p>
    <w:p>
      <w:pPr>
        <w:spacing w:before="280" w:after="80"/>
        <w:pBdr>
          <w:bottom w:val="single" w:sz="12" w:space="4" w:color="2E74B5"/>
        </w:pBdr>
      </w:pPr>
      <w:r>
        <w:rPr>
          <w:rFonts w:ascii="Calibri Light" w:hAnsi="Calibri Light"/>
          <w:b/>
          <w:color w:val="1A376C"/>
          <w:sz w:val="26"/>
        </w:rPr>
        <w:t>ABSTRACT</w:t>
      </w:r>
    </w:p>
    <w:p>
      <w:pPr>
        <w:spacing w:after="100" w:before="40"/>
        <w:jc w:val="both"/>
      </w:pPr>
      <w:r>
        <w:rPr>
          <w:rFonts w:ascii="Calibri" w:hAnsi="Calibri"/>
          <w:i/>
          <w:color w:val="000000"/>
          <w:sz w:val="22"/>
        </w:rPr>
        <w:t>This assignment examines the Gestalt Laws of Perceptual Organization — a set of principles formulated by German psychologists Koffka, Köhler, and Wertheimer to explain how the human mind structures sensory data into coherent wholes. The paper discusses the theoretical background of Gestalt psychology, reviews each major perceptual law with illustrative examples, and evaluates their relevance to contemporary fields such as design, education, and clinical psychology. The central thesis — that the whole is greater than the sum of its parts — is explored across cognitive, developmental, and applied dimensions.</w:t>
      </w:r>
    </w:p>
    <w:p>
      <w:pPr>
        <w:spacing w:before="280" w:after="80"/>
        <w:pBdr>
          <w:bottom w:val="single" w:sz="12" w:space="4" w:color="2E74B5"/>
        </w:pBdr>
      </w:pPr>
      <w:r>
        <w:rPr>
          <w:rFonts w:ascii="Calibri Light" w:hAnsi="Calibri Light"/>
          <w:b/>
          <w:color w:val="1A376C"/>
          <w:sz w:val="26"/>
        </w:rPr>
        <w:t>BACKGROUND: THE GESTALT MOVEMENT</w:t>
      </w:r>
    </w:p>
    <w:p>
      <w:pPr>
        <w:spacing w:after="100" w:before="40"/>
        <w:jc w:val="both"/>
      </w:pPr>
      <w:r>
        <w:rPr>
          <w:rFonts w:ascii="Calibri" w:hAnsi="Calibri"/>
          <w:i w:val="0"/>
          <w:color w:val="000000"/>
          <w:sz w:val="22"/>
        </w:rPr>
        <w:t>Gestalt psychology emerged in Germany in the early twentieth century as a direct reaction against the structuralist approach of Wilhelm Wundt, which sought to reduce mental experience into elementary sensory components. The founders — Max Wertheimer (1880–1943), Kurt Koffka (1886–1941), and Wolfgang Köhler (1887–1967) — argued that such reductionism misrepresented how the mind actually works. The word 'Gestalt' (German: form, shape, whole) encapsulates their belief that perception is inherently holistic: the mind does not passively receive isolated bits of data but actively organises them into structured, meaningful patterns.</w:t>
      </w:r>
    </w:p>
    <w:p>
      <w:pPr>
        <w:spacing w:after="100" w:before="40"/>
        <w:jc w:val="both"/>
      </w:pPr>
      <w:r>
        <w:rPr>
          <w:rFonts w:ascii="Calibri" w:hAnsi="Calibri"/>
          <w:i w:val="0"/>
          <w:color w:val="000000"/>
          <w:sz w:val="22"/>
        </w:rPr>
        <w:t>Wertheimer's 1912 experiments on apparent motion (the phi phenomenon) demonstrated that a sequence of still images could produce the perception of motion — a phenomenon irreducible to its individual frames. This became the empirical cornerstone of Gestalt theory. Koffka later systematised the perceptual laws in 'Principles of Gestalt Psychology' (1935), and Köhler contributed insights from animal learning that reinforced the holistic view of cognition.</w:t>
      </w:r>
    </w:p>
    <w:p>
      <w:pPr>
        <w:spacing w:before="280" w:after="80"/>
        <w:pBdr>
          <w:bottom w:val="single" w:sz="12" w:space="4" w:color="2E74B5"/>
        </w:pBdr>
      </w:pPr>
      <w:r>
        <w:rPr>
          <w:rFonts w:ascii="Calibri Light" w:hAnsi="Calibri Light"/>
          <w:b/>
          <w:color w:val="2E74B5"/>
          <w:sz w:val="26"/>
        </w:rPr>
        <w:t xml:space="preserve">1.  </w:t>
      </w:r>
      <w:r>
        <w:rPr>
          <w:rFonts w:ascii="Calibri Light" w:hAnsi="Calibri Light"/>
          <w:b/>
          <w:color w:val="1A376C"/>
          <w:sz w:val="26"/>
        </w:rPr>
        <w:t>PERCEPTION: FIGURE AND GROUND</w:t>
      </w:r>
    </w:p>
    <w:p>
      <w:pPr>
        <w:spacing w:after="100" w:before="40"/>
        <w:jc w:val="both"/>
      </w:pPr>
      <w:r>
        <w:rPr>
          <w:rFonts w:ascii="Calibri" w:hAnsi="Calibri"/>
          <w:i w:val="0"/>
          <w:color w:val="000000"/>
          <w:sz w:val="22"/>
        </w:rPr>
        <w:t>The most fundamental distinction in perceptual organisation is between figure and ground. In any visual scene, certain elements stand out as distinct objects (the figure) while others recede as a background context (the ground). The figure is perceived as closer, better defined, and more memorable; the ground is perceived as further away, less defined, and continuous.</w:t>
      </w:r>
    </w:p>
    <w:p>
      <w:pPr>
        <w:spacing w:after="100" w:before="40"/>
        <w:jc w:val="both"/>
      </w:pPr>
      <w:r>
        <w:rPr>
          <w:rFonts w:ascii="Calibri" w:hAnsi="Calibri"/>
          <w:i w:val="0"/>
          <w:color w:val="000000"/>
          <w:sz w:val="22"/>
        </w:rPr>
        <w:t>This distinction is not fixed and can fluctuate depending on attention and context. The classic Rubin's Vase demonstrates this reversibility: the same image can be perceived either as a white vase (figure) on a black ground, or as two black faces (figure) on a white ground. The oscillation highlights that perception is constructive — the brain imposes interpretation rather than passively recording input.</w:t>
      </w:r>
    </w:p>
    <w:tbl>
      <w:tblPr>
        <w:tblStyle w:val="TableGrid"/>
        <w:tblW w:type="auto" w:w="0"/>
        <w:tblLook w:firstColumn="1" w:firstRow="1" w:lastColumn="0" w:lastRow="0" w:noHBand="0" w:noVBand="1" w:val="04A0"/>
      </w:tblPr>
      <w:tblGrid>
        <w:gridCol w:w="8784"/>
      </w:tblGrid>
      <w:tr>
        <w:tc>
          <w:tcPr>
            <w:tcW w:type="dxa" w:w="8784"/>
            <w:shd w:val="clear" w:color="auto" w:fill="EBF3FB"/>
          </w:tcPr>
          <w:p>
            <w:pPr>
              <w:spacing w:before="120" w:after="120"/>
              <w:jc w:val="center"/>
            </w:pPr>
            <w:r>
              <w:rPr>
                <w:rFonts w:ascii="Calibri" w:hAnsi="Calibri"/>
                <w:i/>
                <w:color w:val="1A376C"/>
                <w:sz w:val="22"/>
              </w:rPr>
              <w:t>"Just as the focus of consciousness fluctuates, in the same way various stimuli keep oscillating between figure and ground."</w:t>
            </w:r>
          </w:p>
        </w:tc>
      </w:tr>
    </w:tbl>
    <w:p/>
    <w:p>
      <w:pPr>
        <w:spacing w:before="280" w:after="80"/>
        <w:pBdr>
          <w:bottom w:val="single" w:sz="12" w:space="4" w:color="2E74B5"/>
        </w:pBdr>
      </w:pPr>
      <w:r>
        <w:rPr>
          <w:rFonts w:ascii="Calibri Light" w:hAnsi="Calibri Light"/>
          <w:b/>
          <w:color w:val="2E74B5"/>
          <w:sz w:val="26"/>
        </w:rPr>
        <w:t xml:space="preserve">2.  </w:t>
      </w:r>
      <w:r>
        <w:rPr>
          <w:rFonts w:ascii="Calibri Light" w:hAnsi="Calibri Light"/>
          <w:b/>
          <w:color w:val="1A376C"/>
          <w:sz w:val="26"/>
        </w:rPr>
        <w:t>LAW OF PROXIMITY</w:t>
      </w:r>
    </w:p>
    <w:tbl>
      <w:tblPr>
        <w:tblStyle w:val="TableGrid"/>
        <w:tblW w:type="auto" w:w="0"/>
        <w:tblLook w:firstColumn="1" w:firstRow="1" w:lastColumn="0" w:lastRow="0" w:noHBand="0" w:noVBand="1" w:val="04A0"/>
      </w:tblPr>
      <w:tblGrid>
        <w:gridCol w:w="4392"/>
        <w:gridCol w:w="4392"/>
      </w:tblGrid>
      <w:tr>
        <w:tc>
          <w:tcPr>
            <w:tcW w:type="dxa" w:w="4392"/>
            <w:shd w:val="clear" w:color="auto" w:fill="2E74B5"/>
          </w:tcPr>
          <w:p>
            <w:pPr>
              <w:spacing w:before="60" w:after="60"/>
            </w:pPr>
            <w:r>
              <w:rPr>
                <w:rFonts w:ascii="Calibri Light" w:hAnsi="Calibri Light"/>
                <w:b/>
                <w:color w:val="FFFFFF"/>
                <w:sz w:val="20"/>
              </w:rPr>
              <w:t>DEFINITION</w:t>
            </w:r>
          </w:p>
        </w:tc>
        <w:tc>
          <w:tcPr>
            <w:tcW w:type="dxa" w:w="4392"/>
            <w:shd w:val="clear" w:color="auto" w:fill="2E74B5"/>
          </w:tcPr>
          <w:p>
            <w:pPr>
              <w:spacing w:before="60" w:after="60"/>
            </w:pPr>
            <w:r>
              <w:rPr>
                <w:rFonts w:ascii="Calibri Light" w:hAnsi="Calibri Light"/>
                <w:b/>
                <w:color w:val="FFFFFF"/>
                <w:sz w:val="20"/>
              </w:rPr>
              <w:t>EXAMPLE / APPLICATION</w:t>
            </w:r>
          </w:p>
        </w:tc>
      </w:tr>
      <w:tr>
        <w:tc>
          <w:tcPr>
            <w:tcW w:type="dxa" w:w="4392"/>
            <w:shd w:val="clear" w:color="auto" w:fill="F2F9FF"/>
          </w:tcPr>
          <w:p>
            <w:pPr>
              <w:spacing w:before="100" w:after="100"/>
            </w:pPr>
            <w:r>
              <w:rPr>
                <w:rFonts w:ascii="Calibri" w:hAnsi="Calibri"/>
                <w:color w:val="000000"/>
                <w:sz w:val="20"/>
              </w:rPr>
              <w:t>Elements that are spatially close to one another tend to be grouped together and perceived as a single unit.</w:t>
            </w:r>
          </w:p>
        </w:tc>
        <w:tc>
          <w:tcPr>
            <w:tcW w:type="dxa" w:w="4392"/>
            <w:shd w:val="clear" w:color="auto" w:fill="FAFAFA"/>
          </w:tcPr>
          <w:p>
            <w:pPr>
              <w:spacing w:before="100" w:after="100"/>
            </w:pPr>
            <w:r>
              <w:rPr>
                <w:rFonts w:ascii="Calibri" w:hAnsi="Calibri"/>
                <w:color w:val="000000"/>
                <w:sz w:val="20"/>
              </w:rPr>
              <w:t>In typography, words (closely spaced letters) are read as units rather than individual characters. In UI design, related buttons are placed near each other so users understand they share a function. Even when proximity conflicts with similarity, proximity often wins as the dominant grouping cue.</w:t>
            </w:r>
          </w:p>
        </w:tc>
      </w:tr>
    </w:tbl>
    <w:p/>
    <w:p>
      <w:pPr>
        <w:spacing w:before="280" w:after="80"/>
        <w:pBdr>
          <w:bottom w:val="single" w:sz="12" w:space="4" w:color="2E74B5"/>
        </w:pBdr>
      </w:pPr>
      <w:r>
        <w:rPr>
          <w:rFonts w:ascii="Calibri Light" w:hAnsi="Calibri Light"/>
          <w:b/>
          <w:color w:val="2E74B5"/>
          <w:sz w:val="26"/>
        </w:rPr>
        <w:t xml:space="preserve">3.  </w:t>
      </w:r>
      <w:r>
        <w:rPr>
          <w:rFonts w:ascii="Calibri Light" w:hAnsi="Calibri Light"/>
          <w:b/>
          <w:color w:val="1A376C"/>
          <w:sz w:val="26"/>
        </w:rPr>
        <w:t>LAW OF SIMILARITY</w:t>
      </w:r>
    </w:p>
    <w:tbl>
      <w:tblPr>
        <w:tblStyle w:val="TableGrid"/>
        <w:tblW w:type="auto" w:w="0"/>
        <w:tblLook w:firstColumn="1" w:firstRow="1" w:lastColumn="0" w:lastRow="0" w:noHBand="0" w:noVBand="1" w:val="04A0"/>
      </w:tblPr>
      <w:tblGrid>
        <w:gridCol w:w="4392"/>
        <w:gridCol w:w="4392"/>
      </w:tblGrid>
      <w:tr>
        <w:tc>
          <w:tcPr>
            <w:tcW w:type="dxa" w:w="4392"/>
            <w:shd w:val="clear" w:color="auto" w:fill="2E74B5"/>
          </w:tcPr>
          <w:p>
            <w:pPr>
              <w:spacing w:before="60" w:after="60"/>
            </w:pPr>
            <w:r>
              <w:rPr>
                <w:rFonts w:ascii="Calibri Light" w:hAnsi="Calibri Light"/>
                <w:b/>
                <w:color w:val="FFFFFF"/>
                <w:sz w:val="20"/>
              </w:rPr>
              <w:t>DEFINITION</w:t>
            </w:r>
          </w:p>
        </w:tc>
        <w:tc>
          <w:tcPr>
            <w:tcW w:type="dxa" w:w="4392"/>
            <w:shd w:val="clear" w:color="auto" w:fill="2E74B5"/>
          </w:tcPr>
          <w:p>
            <w:pPr>
              <w:spacing w:before="60" w:after="60"/>
            </w:pPr>
            <w:r>
              <w:rPr>
                <w:rFonts w:ascii="Calibri Light" w:hAnsi="Calibri Light"/>
                <w:b/>
                <w:color w:val="FFFFFF"/>
                <w:sz w:val="20"/>
              </w:rPr>
              <w:t>EXAMPLE / APPLICATION</w:t>
            </w:r>
          </w:p>
        </w:tc>
      </w:tr>
      <w:tr>
        <w:tc>
          <w:tcPr>
            <w:tcW w:type="dxa" w:w="4392"/>
            <w:shd w:val="clear" w:color="auto" w:fill="F2F9FF"/>
          </w:tcPr>
          <w:p>
            <w:pPr>
              <w:spacing w:before="100" w:after="100"/>
            </w:pPr>
            <w:r>
              <w:rPr>
                <w:rFonts w:ascii="Calibri" w:hAnsi="Calibri"/>
                <w:color w:val="000000"/>
                <w:sz w:val="20"/>
              </w:rPr>
              <w:t>Elements that share visual properties — shape, size, colour, texture, or orientation — are perceived as belonging to the same group.</w:t>
            </w:r>
          </w:p>
        </w:tc>
        <w:tc>
          <w:tcPr>
            <w:tcW w:type="dxa" w:w="4392"/>
            <w:shd w:val="clear" w:color="auto" w:fill="FAFAFA"/>
          </w:tcPr>
          <w:p>
            <w:pPr>
              <w:spacing w:before="100" w:after="100"/>
            </w:pPr>
            <w:r>
              <w:rPr>
                <w:rFonts w:ascii="Calibri" w:hAnsi="Calibri"/>
                <w:color w:val="000000"/>
                <w:sz w:val="20"/>
              </w:rPr>
              <w:t>A grid of alternating circles and squares is perceived as rows of circles and rows of squares. Marketers exploit similarity by giving a product line consistent packaging so consumers mentally group the products together.</w:t>
            </w:r>
          </w:p>
        </w:tc>
      </w:tr>
    </w:tbl>
    <w:p/>
    <w:p>
      <w:pPr>
        <w:spacing w:before="280" w:after="80"/>
        <w:pBdr>
          <w:bottom w:val="single" w:sz="12" w:space="4" w:color="2E74B5"/>
        </w:pBdr>
      </w:pPr>
      <w:r>
        <w:rPr>
          <w:rFonts w:ascii="Calibri Light" w:hAnsi="Calibri Light"/>
          <w:b/>
          <w:color w:val="2E74B5"/>
          <w:sz w:val="26"/>
        </w:rPr>
        <w:t xml:space="preserve">4.  </w:t>
      </w:r>
      <w:r>
        <w:rPr>
          <w:rFonts w:ascii="Calibri Light" w:hAnsi="Calibri Light"/>
          <w:b/>
          <w:color w:val="1A376C"/>
          <w:sz w:val="26"/>
        </w:rPr>
        <w:t>LAW OF CONTINUITY</w:t>
      </w:r>
    </w:p>
    <w:tbl>
      <w:tblPr>
        <w:tblStyle w:val="TableGrid"/>
        <w:tblW w:type="auto" w:w="0"/>
        <w:tblLook w:firstColumn="1" w:firstRow="1" w:lastColumn="0" w:lastRow="0" w:noHBand="0" w:noVBand="1" w:val="04A0"/>
      </w:tblPr>
      <w:tblGrid>
        <w:gridCol w:w="4392"/>
        <w:gridCol w:w="4392"/>
      </w:tblGrid>
      <w:tr>
        <w:tc>
          <w:tcPr>
            <w:tcW w:type="dxa" w:w="4392"/>
            <w:shd w:val="clear" w:color="auto" w:fill="2E74B5"/>
          </w:tcPr>
          <w:p>
            <w:pPr>
              <w:spacing w:before="60" w:after="60"/>
            </w:pPr>
            <w:r>
              <w:rPr>
                <w:rFonts w:ascii="Calibri Light" w:hAnsi="Calibri Light"/>
                <w:b/>
                <w:color w:val="FFFFFF"/>
                <w:sz w:val="20"/>
              </w:rPr>
              <w:t>DEFINITION</w:t>
            </w:r>
          </w:p>
        </w:tc>
        <w:tc>
          <w:tcPr>
            <w:tcW w:type="dxa" w:w="4392"/>
            <w:shd w:val="clear" w:color="auto" w:fill="2E74B5"/>
          </w:tcPr>
          <w:p>
            <w:pPr>
              <w:spacing w:before="60" w:after="60"/>
            </w:pPr>
            <w:r>
              <w:rPr>
                <w:rFonts w:ascii="Calibri Light" w:hAnsi="Calibri Light"/>
                <w:b/>
                <w:color w:val="FFFFFF"/>
                <w:sz w:val="20"/>
              </w:rPr>
              <w:t>EXAMPLE / APPLICATION</w:t>
            </w:r>
          </w:p>
        </w:tc>
      </w:tr>
      <w:tr>
        <w:tc>
          <w:tcPr>
            <w:tcW w:type="dxa" w:w="4392"/>
            <w:shd w:val="clear" w:color="auto" w:fill="F2F9FF"/>
          </w:tcPr>
          <w:p>
            <w:pPr>
              <w:spacing w:before="100" w:after="100"/>
            </w:pPr>
            <w:r>
              <w:rPr>
                <w:rFonts w:ascii="Calibri" w:hAnsi="Calibri"/>
                <w:color w:val="000000"/>
                <w:sz w:val="20"/>
              </w:rPr>
              <w:t>The perceptual system prefers smooth, continuous paths over abrupt changes in direction. Elements arranged along a smooth curve or line are perceived as belonging together.</w:t>
            </w:r>
          </w:p>
        </w:tc>
        <w:tc>
          <w:tcPr>
            <w:tcW w:type="dxa" w:w="4392"/>
            <w:shd w:val="clear" w:color="auto" w:fill="FAFAFA"/>
          </w:tcPr>
          <w:p>
            <w:pPr>
              <w:spacing w:before="100" w:after="100"/>
            </w:pPr>
            <w:r>
              <w:rPr>
                <w:rFonts w:ascii="Calibri" w:hAnsi="Calibri"/>
                <w:color w:val="000000"/>
                <w:sz w:val="20"/>
              </w:rPr>
              <w:t>When two curved lines cross, we perceive two intact crossing curves rather than four separate segments joining at a point. Road designers and animators use continuity to create natural-feeling trajectories.</w:t>
            </w:r>
          </w:p>
        </w:tc>
      </w:tr>
    </w:tbl>
    <w:p/>
    <w:p>
      <w:pPr>
        <w:spacing w:before="280" w:after="80"/>
        <w:pBdr>
          <w:bottom w:val="single" w:sz="12" w:space="4" w:color="2E74B5"/>
        </w:pBdr>
      </w:pPr>
      <w:r>
        <w:rPr>
          <w:rFonts w:ascii="Calibri Light" w:hAnsi="Calibri Light"/>
          <w:b/>
          <w:color w:val="2E74B5"/>
          <w:sz w:val="26"/>
        </w:rPr>
        <w:t xml:space="preserve">5.  </w:t>
      </w:r>
      <w:r>
        <w:rPr>
          <w:rFonts w:ascii="Calibri Light" w:hAnsi="Calibri Light"/>
          <w:b/>
          <w:color w:val="1A376C"/>
          <w:sz w:val="26"/>
        </w:rPr>
        <w:t>LAW OF CLOSURE</w:t>
      </w:r>
    </w:p>
    <w:tbl>
      <w:tblPr>
        <w:tblStyle w:val="TableGrid"/>
        <w:tblW w:type="auto" w:w="0"/>
        <w:tblLook w:firstColumn="1" w:firstRow="1" w:lastColumn="0" w:lastRow="0" w:noHBand="0" w:noVBand="1" w:val="04A0"/>
      </w:tblPr>
      <w:tblGrid>
        <w:gridCol w:w="4392"/>
        <w:gridCol w:w="4392"/>
      </w:tblGrid>
      <w:tr>
        <w:tc>
          <w:tcPr>
            <w:tcW w:type="dxa" w:w="4392"/>
            <w:shd w:val="clear" w:color="auto" w:fill="2E74B5"/>
          </w:tcPr>
          <w:p>
            <w:pPr>
              <w:spacing w:before="60" w:after="60"/>
            </w:pPr>
            <w:r>
              <w:rPr>
                <w:rFonts w:ascii="Calibri Light" w:hAnsi="Calibri Light"/>
                <w:b/>
                <w:color w:val="FFFFFF"/>
                <w:sz w:val="20"/>
              </w:rPr>
              <w:t>DEFINITION</w:t>
            </w:r>
          </w:p>
        </w:tc>
        <w:tc>
          <w:tcPr>
            <w:tcW w:type="dxa" w:w="4392"/>
            <w:shd w:val="clear" w:color="auto" w:fill="2E74B5"/>
          </w:tcPr>
          <w:p>
            <w:pPr>
              <w:spacing w:before="60" w:after="60"/>
            </w:pPr>
            <w:r>
              <w:rPr>
                <w:rFonts w:ascii="Calibri Light" w:hAnsi="Calibri Light"/>
                <w:b/>
                <w:color w:val="FFFFFF"/>
                <w:sz w:val="20"/>
              </w:rPr>
              <w:t>EXAMPLE / APPLICATION</w:t>
            </w:r>
          </w:p>
        </w:tc>
      </w:tr>
      <w:tr>
        <w:tc>
          <w:tcPr>
            <w:tcW w:type="dxa" w:w="4392"/>
            <w:shd w:val="clear" w:color="auto" w:fill="F2F9FF"/>
          </w:tcPr>
          <w:p>
            <w:pPr>
              <w:spacing w:before="100" w:after="100"/>
            </w:pPr>
            <w:r>
              <w:rPr>
                <w:rFonts w:ascii="Calibri" w:hAnsi="Calibri"/>
                <w:color w:val="000000"/>
                <w:sz w:val="20"/>
              </w:rPr>
              <w:t>The mind fills in missing information to perceive incomplete shapes as complete figures. Perception 'closes' gaps automatically.</w:t>
            </w:r>
          </w:p>
        </w:tc>
        <w:tc>
          <w:tcPr>
            <w:tcW w:type="dxa" w:w="4392"/>
            <w:shd w:val="clear" w:color="auto" w:fill="FAFAFA"/>
          </w:tcPr>
          <w:p>
            <w:pPr>
              <w:spacing w:before="100" w:after="100"/>
            </w:pPr>
            <w:r>
              <w:rPr>
                <w:rFonts w:ascii="Calibri" w:hAnsi="Calibri"/>
                <w:color w:val="000000"/>
                <w:sz w:val="20"/>
              </w:rPr>
              <w:t>A circle drawn with a small gap is still perceived as a circle. The WWF panda logo uses closure — the outline is incomplete yet perceived as a whole panda. Closure enables object recognition even under partial occlusion.</w:t>
            </w:r>
          </w:p>
        </w:tc>
      </w:tr>
    </w:tbl>
    <w:p/>
    <w:p>
      <w:pPr>
        <w:spacing w:before="280" w:after="80"/>
        <w:pBdr>
          <w:bottom w:val="single" w:sz="12" w:space="4" w:color="2E74B5"/>
        </w:pBdr>
      </w:pPr>
      <w:r>
        <w:rPr>
          <w:rFonts w:ascii="Calibri Light" w:hAnsi="Calibri Light"/>
          <w:b/>
          <w:color w:val="2E74B5"/>
          <w:sz w:val="26"/>
        </w:rPr>
        <w:t xml:space="preserve">6.  </w:t>
      </w:r>
      <w:r>
        <w:rPr>
          <w:rFonts w:ascii="Calibri Light" w:hAnsi="Calibri Light"/>
          <w:b/>
          <w:color w:val="1A376C"/>
          <w:sz w:val="26"/>
        </w:rPr>
        <w:t>LAW OF SYMMETRY</w:t>
      </w:r>
    </w:p>
    <w:tbl>
      <w:tblPr>
        <w:tblStyle w:val="TableGrid"/>
        <w:tblW w:type="auto" w:w="0"/>
        <w:tblLook w:firstColumn="1" w:firstRow="1" w:lastColumn="0" w:lastRow="0" w:noHBand="0" w:noVBand="1" w:val="04A0"/>
      </w:tblPr>
      <w:tblGrid>
        <w:gridCol w:w="4392"/>
        <w:gridCol w:w="4392"/>
      </w:tblGrid>
      <w:tr>
        <w:tc>
          <w:tcPr>
            <w:tcW w:type="dxa" w:w="4392"/>
            <w:shd w:val="clear" w:color="auto" w:fill="2E74B5"/>
          </w:tcPr>
          <w:p>
            <w:pPr>
              <w:spacing w:before="60" w:after="60"/>
            </w:pPr>
            <w:r>
              <w:rPr>
                <w:rFonts w:ascii="Calibri Light" w:hAnsi="Calibri Light"/>
                <w:b/>
                <w:color w:val="FFFFFF"/>
                <w:sz w:val="20"/>
              </w:rPr>
              <w:t>DEFINITION</w:t>
            </w:r>
          </w:p>
        </w:tc>
        <w:tc>
          <w:tcPr>
            <w:tcW w:type="dxa" w:w="4392"/>
            <w:shd w:val="clear" w:color="auto" w:fill="2E74B5"/>
          </w:tcPr>
          <w:p>
            <w:pPr>
              <w:spacing w:before="60" w:after="60"/>
            </w:pPr>
            <w:r>
              <w:rPr>
                <w:rFonts w:ascii="Calibri Light" w:hAnsi="Calibri Light"/>
                <w:b/>
                <w:color w:val="FFFFFF"/>
                <w:sz w:val="20"/>
              </w:rPr>
              <w:t>EXAMPLE / APPLICATION</w:t>
            </w:r>
          </w:p>
        </w:tc>
      </w:tr>
      <w:tr>
        <w:tc>
          <w:tcPr>
            <w:tcW w:type="dxa" w:w="4392"/>
            <w:shd w:val="clear" w:color="auto" w:fill="F2F9FF"/>
          </w:tcPr>
          <w:p>
            <w:pPr>
              <w:spacing w:before="100" w:after="100"/>
            </w:pPr>
            <w:r>
              <w:rPr>
                <w:rFonts w:ascii="Calibri" w:hAnsi="Calibri"/>
                <w:color w:val="000000"/>
                <w:sz w:val="20"/>
              </w:rPr>
              <w:t>Symmetrical elements are grouped together and perceived as a single cohesive figure, even across empty space, because symmetry implies a common origin.</w:t>
            </w:r>
          </w:p>
        </w:tc>
        <w:tc>
          <w:tcPr>
            <w:tcW w:type="dxa" w:w="4392"/>
            <w:shd w:val="clear" w:color="auto" w:fill="FAFAFA"/>
          </w:tcPr>
          <w:p>
            <w:pPr>
              <w:spacing w:before="100" w:after="100"/>
            </w:pPr>
            <w:r>
              <w:rPr>
                <w:rFonts w:ascii="Calibri" w:hAnsi="Calibri"/>
                <w:color w:val="000000"/>
                <w:sz w:val="20"/>
              </w:rPr>
              <w:t>The brackets in '[  ]' are perceived as enclosing one region rather than two independent marks. Symmetry contributes to the aesthetic quality of logos, architecture, and faces.</w:t>
            </w:r>
          </w:p>
        </w:tc>
      </w:tr>
    </w:tbl>
    <w:p/>
    <w:p>
      <w:pPr>
        <w:spacing w:before="280" w:after="80"/>
        <w:pBdr>
          <w:bottom w:val="single" w:sz="12" w:space="4" w:color="2E74B5"/>
        </w:pBdr>
      </w:pPr>
      <w:r>
        <w:rPr>
          <w:rFonts w:ascii="Calibri Light" w:hAnsi="Calibri Light"/>
          <w:b/>
          <w:color w:val="2E74B5"/>
          <w:sz w:val="26"/>
        </w:rPr>
        <w:t xml:space="preserve">7.  </w:t>
      </w:r>
      <w:r>
        <w:rPr>
          <w:rFonts w:ascii="Calibri Light" w:hAnsi="Calibri Light"/>
          <w:b/>
          <w:color w:val="1A376C"/>
          <w:sz w:val="26"/>
        </w:rPr>
        <w:t>LAW OF PRÄGNANZ (GOOD FORM)</w:t>
      </w:r>
    </w:p>
    <w:tbl>
      <w:tblPr>
        <w:tblStyle w:val="TableGrid"/>
        <w:tblW w:type="auto" w:w="0"/>
        <w:tblLook w:firstColumn="1" w:firstRow="1" w:lastColumn="0" w:lastRow="0" w:noHBand="0" w:noVBand="1" w:val="04A0"/>
      </w:tblPr>
      <w:tblGrid>
        <w:gridCol w:w="4392"/>
        <w:gridCol w:w="4392"/>
      </w:tblGrid>
      <w:tr>
        <w:tc>
          <w:tcPr>
            <w:tcW w:type="dxa" w:w="4392"/>
            <w:shd w:val="clear" w:color="auto" w:fill="2E74B5"/>
          </w:tcPr>
          <w:p>
            <w:pPr>
              <w:spacing w:before="60" w:after="60"/>
            </w:pPr>
            <w:r>
              <w:rPr>
                <w:rFonts w:ascii="Calibri Light" w:hAnsi="Calibri Light"/>
                <w:b/>
                <w:color w:val="FFFFFF"/>
                <w:sz w:val="20"/>
              </w:rPr>
              <w:t>DEFINITION</w:t>
            </w:r>
          </w:p>
        </w:tc>
        <w:tc>
          <w:tcPr>
            <w:tcW w:type="dxa" w:w="4392"/>
            <w:shd w:val="clear" w:color="auto" w:fill="2E74B5"/>
          </w:tcPr>
          <w:p>
            <w:pPr>
              <w:spacing w:before="60" w:after="60"/>
            </w:pPr>
            <w:r>
              <w:rPr>
                <w:rFonts w:ascii="Calibri Light" w:hAnsi="Calibri Light"/>
                <w:b/>
                <w:color w:val="FFFFFF"/>
                <w:sz w:val="20"/>
              </w:rPr>
              <w:t>EXAMPLE / APPLICATION</w:t>
            </w:r>
          </w:p>
        </w:tc>
      </w:tr>
      <w:tr>
        <w:tc>
          <w:tcPr>
            <w:tcW w:type="dxa" w:w="4392"/>
            <w:shd w:val="clear" w:color="auto" w:fill="F2F9FF"/>
          </w:tcPr>
          <w:p>
            <w:pPr>
              <w:spacing w:before="100" w:after="100"/>
            </w:pPr>
            <w:r>
              <w:rPr>
                <w:rFonts w:ascii="Calibri" w:hAnsi="Calibri"/>
                <w:color w:val="000000"/>
                <w:sz w:val="20"/>
              </w:rPr>
              <w:t>The overarching Gestalt law: the mind always resolves ambiguous stimuli into the simplest, most regular, and most stable interpretation possible. 'Prägnanz' (German: precision) captures this drive toward economy.</w:t>
            </w:r>
          </w:p>
        </w:tc>
        <w:tc>
          <w:tcPr>
            <w:tcW w:type="dxa" w:w="4392"/>
            <w:shd w:val="clear" w:color="auto" w:fill="FAFAFA"/>
          </w:tcPr>
          <w:p>
            <w:pPr>
              <w:spacing w:before="100" w:after="100"/>
            </w:pPr>
            <w:r>
              <w:rPr>
                <w:rFonts w:ascii="Calibri" w:hAnsi="Calibri"/>
                <w:color w:val="000000"/>
                <w:sz w:val="20"/>
              </w:rPr>
              <w:t>An Olympic-rings-style arrangement of overlapping circles is perceived as complete overlapping circles, not as a complex irregular polygon. Minimalist corporate logos leverage Prägnanz for instant recognition.</w:t>
            </w:r>
          </w:p>
        </w:tc>
      </w:tr>
    </w:tbl>
    <w:p/>
    <w:p>
      <w:pPr>
        <w:spacing w:before="280" w:after="80"/>
        <w:pBdr>
          <w:bottom w:val="single" w:sz="12" w:space="4" w:color="2E74B5"/>
        </w:pBdr>
      </w:pPr>
      <w:r>
        <w:rPr>
          <w:rFonts w:ascii="Calibri Light" w:hAnsi="Calibri Light"/>
          <w:b/>
          <w:color w:val="2E74B5"/>
          <w:sz w:val="26"/>
        </w:rPr>
        <w:t xml:space="preserve">8.  </w:t>
      </w:r>
      <w:r>
        <w:rPr>
          <w:rFonts w:ascii="Calibri Light" w:hAnsi="Calibri Light"/>
          <w:b/>
          <w:color w:val="1A376C"/>
          <w:sz w:val="26"/>
        </w:rPr>
        <w:t>LAW OF COMMON FATE</w:t>
      </w:r>
    </w:p>
    <w:tbl>
      <w:tblPr>
        <w:tblStyle w:val="TableGrid"/>
        <w:tblW w:type="auto" w:w="0"/>
        <w:tblLook w:firstColumn="1" w:firstRow="1" w:lastColumn="0" w:lastRow="0" w:noHBand="0" w:noVBand="1" w:val="04A0"/>
      </w:tblPr>
      <w:tblGrid>
        <w:gridCol w:w="4392"/>
        <w:gridCol w:w="4392"/>
      </w:tblGrid>
      <w:tr>
        <w:tc>
          <w:tcPr>
            <w:tcW w:type="dxa" w:w="4392"/>
            <w:shd w:val="clear" w:color="auto" w:fill="2E74B5"/>
          </w:tcPr>
          <w:p>
            <w:pPr>
              <w:spacing w:before="60" w:after="60"/>
            </w:pPr>
            <w:r>
              <w:rPr>
                <w:rFonts w:ascii="Calibri Light" w:hAnsi="Calibri Light"/>
                <w:b/>
                <w:color w:val="FFFFFF"/>
                <w:sz w:val="20"/>
              </w:rPr>
              <w:t>DEFINITION</w:t>
            </w:r>
          </w:p>
        </w:tc>
        <w:tc>
          <w:tcPr>
            <w:tcW w:type="dxa" w:w="4392"/>
            <w:shd w:val="clear" w:color="auto" w:fill="2E74B5"/>
          </w:tcPr>
          <w:p>
            <w:pPr>
              <w:spacing w:before="60" w:after="60"/>
            </w:pPr>
            <w:r>
              <w:rPr>
                <w:rFonts w:ascii="Calibri Light" w:hAnsi="Calibri Light"/>
                <w:b/>
                <w:color w:val="FFFFFF"/>
                <w:sz w:val="20"/>
              </w:rPr>
              <w:t>EXAMPLE / APPLICATION</w:t>
            </w:r>
          </w:p>
        </w:tc>
      </w:tr>
      <w:tr>
        <w:tc>
          <w:tcPr>
            <w:tcW w:type="dxa" w:w="4392"/>
            <w:shd w:val="clear" w:color="auto" w:fill="F2F9FF"/>
          </w:tcPr>
          <w:p>
            <w:pPr>
              <w:spacing w:before="100" w:after="100"/>
            </w:pPr>
            <w:r>
              <w:rPr>
                <w:rFonts w:ascii="Calibri" w:hAnsi="Calibri"/>
                <w:color w:val="000000"/>
                <w:sz w:val="20"/>
              </w:rPr>
              <w:t>Elements that move together in the same direction and at the same speed are perceived as a single group, regardless of their visual similarity.</w:t>
            </w:r>
          </w:p>
        </w:tc>
        <w:tc>
          <w:tcPr>
            <w:tcW w:type="dxa" w:w="4392"/>
            <w:shd w:val="clear" w:color="auto" w:fill="FAFAFA"/>
          </w:tcPr>
          <w:p>
            <w:pPr>
              <w:spacing w:before="100" w:after="100"/>
            </w:pPr>
            <w:r>
              <w:rPr>
                <w:rFonts w:ascii="Calibri" w:hAnsi="Calibri"/>
                <w:color w:val="000000"/>
                <w:sz w:val="20"/>
              </w:rPr>
              <w:t>A flock of birds flying in formation is perceived as a single unit. In data visualisation, animated particles moving together signal membership in the same data cluster. Common fate extends grouping into the time dimension.</w:t>
            </w:r>
          </w:p>
        </w:tc>
      </w:tr>
    </w:tbl>
    <w:p/>
    <w:p>
      <w:pPr>
        <w:spacing w:before="280" w:after="80"/>
        <w:pBdr>
          <w:bottom w:val="single" w:sz="12" w:space="4" w:color="2E74B5"/>
        </w:pBdr>
      </w:pPr>
      <w:r>
        <w:rPr>
          <w:rFonts w:ascii="Calibri Light" w:hAnsi="Calibri Light"/>
          <w:b/>
          <w:color w:val="1A376C"/>
          <w:sz w:val="26"/>
        </w:rPr>
        <w:t>SUMMARY COMPARISON OF GESTALT LAWS</w:t>
      </w:r>
    </w:p>
    <w:p>
      <w:pPr>
        <w:spacing w:after="100" w:before="40"/>
        <w:jc w:val="both"/>
      </w:pPr>
      <w:r>
        <w:rPr>
          <w:rFonts w:ascii="Calibri" w:hAnsi="Calibri"/>
          <w:i w:val="0"/>
          <w:color w:val="000000"/>
          <w:sz w:val="22"/>
        </w:rPr>
        <w:t>The table below provides a quick-reference overview of all eight Gestalt laws.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A376C"/>
          </w:tcPr>
          <w:p>
            <w:pPr>
              <w:spacing w:before="80" w:after="80"/>
            </w:pPr>
            <w:r>
              <w:rPr>
                <w:rFonts w:ascii="Calibri Light" w:hAnsi="Calibri Light"/>
                <w:b/>
                <w:color w:val="FFFFFF"/>
                <w:sz w:val="20"/>
              </w:rPr>
              <w:t>#</w:t>
            </w:r>
          </w:p>
        </w:tc>
        <w:tc>
          <w:tcPr>
            <w:tcW w:type="dxa" w:w="2196"/>
            <w:shd w:val="clear" w:color="auto" w:fill="1A376C"/>
          </w:tcPr>
          <w:p>
            <w:pPr>
              <w:spacing w:before="80" w:after="80"/>
            </w:pPr>
            <w:r>
              <w:rPr>
                <w:rFonts w:ascii="Calibri Light" w:hAnsi="Calibri Light"/>
                <w:b/>
                <w:color w:val="FFFFFF"/>
                <w:sz w:val="20"/>
              </w:rPr>
              <w:t>LAW</w:t>
            </w:r>
          </w:p>
        </w:tc>
        <w:tc>
          <w:tcPr>
            <w:tcW w:type="dxa" w:w="2196"/>
            <w:shd w:val="clear" w:color="auto" w:fill="1A376C"/>
          </w:tcPr>
          <w:p>
            <w:pPr>
              <w:spacing w:before="80" w:after="80"/>
            </w:pPr>
            <w:r>
              <w:rPr>
                <w:rFonts w:ascii="Calibri Light" w:hAnsi="Calibri Light"/>
                <w:b/>
                <w:color w:val="FFFFFF"/>
                <w:sz w:val="20"/>
              </w:rPr>
              <w:t>CORE IDEA</w:t>
            </w:r>
          </w:p>
        </w:tc>
        <w:tc>
          <w:tcPr>
            <w:tcW w:type="dxa" w:w="2196"/>
            <w:shd w:val="clear" w:color="auto" w:fill="1A376C"/>
          </w:tcPr>
          <w:p>
            <w:pPr>
              <w:spacing w:before="80" w:after="80"/>
            </w:pPr>
            <w:r>
              <w:rPr>
                <w:rFonts w:ascii="Calibri Light" w:hAnsi="Calibri Light"/>
                <w:b/>
                <w:color w:val="FFFFFF"/>
                <w:sz w:val="20"/>
              </w:rPr>
              <w:t>KEY DOMAIN</w:t>
            </w:r>
          </w:p>
        </w:tc>
      </w:tr>
      <w:tr>
        <w:tc>
          <w:tcPr>
            <w:tcW w:type="dxa" w:w="2196"/>
            <w:shd w:val="clear" w:color="auto" w:fill="EBF3FB"/>
          </w:tcPr>
          <w:p>
            <w:pPr>
              <w:spacing w:before="60" w:after="60"/>
            </w:pPr>
            <w:r>
              <w:rPr>
                <w:rFonts w:ascii="Calibri" w:hAnsi="Calibri"/>
                <w:color w:val="000000"/>
                <w:sz w:val="20"/>
              </w:rPr>
              <w:t>1</w:t>
            </w:r>
          </w:p>
        </w:tc>
        <w:tc>
          <w:tcPr>
            <w:tcW w:type="dxa" w:w="2196"/>
            <w:shd w:val="clear" w:color="auto" w:fill="EBF3FB"/>
          </w:tcPr>
          <w:p>
            <w:pPr>
              <w:spacing w:before="60" w:after="60"/>
            </w:pPr>
            <w:r>
              <w:rPr>
                <w:rFonts w:ascii="Calibri" w:hAnsi="Calibri"/>
                <w:b/>
                <w:color w:val="1A376C"/>
                <w:sz w:val="20"/>
              </w:rPr>
              <w:t>Figure &amp; Ground</w:t>
            </w:r>
          </w:p>
        </w:tc>
        <w:tc>
          <w:tcPr>
            <w:tcW w:type="dxa" w:w="2196"/>
            <w:shd w:val="clear" w:color="auto" w:fill="EBF3FB"/>
          </w:tcPr>
          <w:p>
            <w:pPr>
              <w:spacing w:before="60" w:after="60"/>
            </w:pPr>
            <w:r>
              <w:rPr>
                <w:rFonts w:ascii="Calibri" w:hAnsi="Calibri"/>
                <w:color w:val="000000"/>
                <w:sz w:val="20"/>
              </w:rPr>
              <w:t>Objects vs. background</w:t>
            </w:r>
          </w:p>
        </w:tc>
        <w:tc>
          <w:tcPr>
            <w:tcW w:type="dxa" w:w="2196"/>
            <w:shd w:val="clear" w:color="auto" w:fill="EBF3FB"/>
          </w:tcPr>
          <w:p>
            <w:pPr>
              <w:spacing w:before="60" w:after="60"/>
            </w:pPr>
            <w:r>
              <w:rPr>
                <w:rFonts w:ascii="Calibri" w:hAnsi="Calibri"/>
                <w:color w:val="000000"/>
                <w:sz w:val="20"/>
              </w:rPr>
              <w:t>Attention &amp; awareness</w:t>
            </w:r>
          </w:p>
        </w:tc>
      </w:tr>
      <w:tr>
        <w:tc>
          <w:tcPr>
            <w:tcW w:type="dxa" w:w="2196"/>
            <w:shd w:val="clear" w:color="auto" w:fill="FAFAFA"/>
          </w:tcPr>
          <w:p>
            <w:pPr>
              <w:spacing w:before="60" w:after="60"/>
            </w:pPr>
            <w:r>
              <w:rPr>
                <w:rFonts w:ascii="Calibri" w:hAnsi="Calibri"/>
                <w:color w:val="000000"/>
                <w:sz w:val="20"/>
              </w:rPr>
              <w:t>2</w:t>
            </w:r>
          </w:p>
        </w:tc>
        <w:tc>
          <w:tcPr>
            <w:tcW w:type="dxa" w:w="2196"/>
            <w:shd w:val="clear" w:color="auto" w:fill="FAFAFA"/>
          </w:tcPr>
          <w:p>
            <w:pPr>
              <w:spacing w:before="60" w:after="60"/>
            </w:pPr>
            <w:r>
              <w:rPr>
                <w:rFonts w:ascii="Calibri" w:hAnsi="Calibri"/>
                <w:b/>
                <w:color w:val="1A376C"/>
                <w:sz w:val="20"/>
              </w:rPr>
              <w:t>Proximity</w:t>
            </w:r>
          </w:p>
        </w:tc>
        <w:tc>
          <w:tcPr>
            <w:tcW w:type="dxa" w:w="2196"/>
            <w:shd w:val="clear" w:color="auto" w:fill="FAFAFA"/>
          </w:tcPr>
          <w:p>
            <w:pPr>
              <w:spacing w:before="60" w:after="60"/>
            </w:pPr>
            <w:r>
              <w:rPr>
                <w:rFonts w:ascii="Calibri" w:hAnsi="Calibri"/>
                <w:color w:val="000000"/>
                <w:sz w:val="20"/>
              </w:rPr>
              <w:t>Nearness implies grouping</w:t>
            </w:r>
          </w:p>
        </w:tc>
        <w:tc>
          <w:tcPr>
            <w:tcW w:type="dxa" w:w="2196"/>
            <w:shd w:val="clear" w:color="auto" w:fill="FAFAFA"/>
          </w:tcPr>
          <w:p>
            <w:pPr>
              <w:spacing w:before="60" w:after="60"/>
            </w:pPr>
            <w:r>
              <w:rPr>
                <w:rFonts w:ascii="Calibri" w:hAnsi="Calibri"/>
                <w:color w:val="000000"/>
                <w:sz w:val="20"/>
              </w:rPr>
              <w:t>Layout &amp; navigation</w:t>
            </w:r>
          </w:p>
        </w:tc>
      </w:tr>
      <w:tr>
        <w:tc>
          <w:tcPr>
            <w:tcW w:type="dxa" w:w="2196"/>
            <w:shd w:val="clear" w:color="auto" w:fill="EBF3FB"/>
          </w:tcPr>
          <w:p>
            <w:pPr>
              <w:spacing w:before="60" w:after="60"/>
            </w:pPr>
            <w:r>
              <w:rPr>
                <w:rFonts w:ascii="Calibri" w:hAnsi="Calibri"/>
                <w:color w:val="000000"/>
                <w:sz w:val="20"/>
              </w:rPr>
              <w:t>3</w:t>
            </w:r>
          </w:p>
        </w:tc>
        <w:tc>
          <w:tcPr>
            <w:tcW w:type="dxa" w:w="2196"/>
            <w:shd w:val="clear" w:color="auto" w:fill="EBF3FB"/>
          </w:tcPr>
          <w:p>
            <w:pPr>
              <w:spacing w:before="60" w:after="60"/>
            </w:pPr>
            <w:r>
              <w:rPr>
                <w:rFonts w:ascii="Calibri" w:hAnsi="Calibri"/>
                <w:b/>
                <w:color w:val="1A376C"/>
                <w:sz w:val="20"/>
              </w:rPr>
              <w:t>Similarity</w:t>
            </w:r>
          </w:p>
        </w:tc>
        <w:tc>
          <w:tcPr>
            <w:tcW w:type="dxa" w:w="2196"/>
            <w:shd w:val="clear" w:color="auto" w:fill="EBF3FB"/>
          </w:tcPr>
          <w:p>
            <w:pPr>
              <w:spacing w:before="60" w:after="60"/>
            </w:pPr>
            <w:r>
              <w:rPr>
                <w:rFonts w:ascii="Calibri" w:hAnsi="Calibri"/>
                <w:color w:val="000000"/>
                <w:sz w:val="20"/>
              </w:rPr>
              <w:t>Likeness implies grouping</w:t>
            </w:r>
          </w:p>
        </w:tc>
        <w:tc>
          <w:tcPr>
            <w:tcW w:type="dxa" w:w="2196"/>
            <w:shd w:val="clear" w:color="auto" w:fill="EBF3FB"/>
          </w:tcPr>
          <w:p>
            <w:pPr>
              <w:spacing w:before="60" w:after="60"/>
            </w:pPr>
            <w:r>
              <w:rPr>
                <w:rFonts w:ascii="Calibri" w:hAnsi="Calibri"/>
                <w:color w:val="000000"/>
                <w:sz w:val="20"/>
              </w:rPr>
              <w:t>Pattern recognition</w:t>
            </w:r>
          </w:p>
        </w:tc>
      </w:tr>
      <w:tr>
        <w:tc>
          <w:tcPr>
            <w:tcW w:type="dxa" w:w="2196"/>
            <w:shd w:val="clear" w:color="auto" w:fill="FAFAFA"/>
          </w:tcPr>
          <w:p>
            <w:pPr>
              <w:spacing w:before="60" w:after="60"/>
            </w:pPr>
            <w:r>
              <w:rPr>
                <w:rFonts w:ascii="Calibri" w:hAnsi="Calibri"/>
                <w:color w:val="000000"/>
                <w:sz w:val="20"/>
              </w:rPr>
              <w:t>4</w:t>
            </w:r>
          </w:p>
        </w:tc>
        <w:tc>
          <w:tcPr>
            <w:tcW w:type="dxa" w:w="2196"/>
            <w:shd w:val="clear" w:color="auto" w:fill="FAFAFA"/>
          </w:tcPr>
          <w:p>
            <w:pPr>
              <w:spacing w:before="60" w:after="60"/>
            </w:pPr>
            <w:r>
              <w:rPr>
                <w:rFonts w:ascii="Calibri" w:hAnsi="Calibri"/>
                <w:b/>
                <w:color w:val="1A376C"/>
                <w:sz w:val="20"/>
              </w:rPr>
              <w:t>Continuity</w:t>
            </w:r>
          </w:p>
        </w:tc>
        <w:tc>
          <w:tcPr>
            <w:tcW w:type="dxa" w:w="2196"/>
            <w:shd w:val="clear" w:color="auto" w:fill="FAFAFA"/>
          </w:tcPr>
          <w:p>
            <w:pPr>
              <w:spacing w:before="60" w:after="60"/>
            </w:pPr>
            <w:r>
              <w:rPr>
                <w:rFonts w:ascii="Calibri" w:hAnsi="Calibri"/>
                <w:color w:val="000000"/>
                <w:sz w:val="20"/>
              </w:rPr>
              <w:t>Smooth paths are preferred</w:t>
            </w:r>
          </w:p>
        </w:tc>
        <w:tc>
          <w:tcPr>
            <w:tcW w:type="dxa" w:w="2196"/>
            <w:shd w:val="clear" w:color="auto" w:fill="FAFAFA"/>
          </w:tcPr>
          <w:p>
            <w:pPr>
              <w:spacing w:before="60" w:after="60"/>
            </w:pPr>
            <w:r>
              <w:rPr>
                <w:rFonts w:ascii="Calibri" w:hAnsi="Calibri"/>
                <w:color w:val="000000"/>
                <w:sz w:val="20"/>
              </w:rPr>
              <w:t>Motion &amp; animation</w:t>
            </w:r>
          </w:p>
        </w:tc>
      </w:tr>
      <w:tr>
        <w:tc>
          <w:tcPr>
            <w:tcW w:type="dxa" w:w="2196"/>
            <w:shd w:val="clear" w:color="auto" w:fill="EBF3FB"/>
          </w:tcPr>
          <w:p>
            <w:pPr>
              <w:spacing w:before="60" w:after="60"/>
            </w:pPr>
            <w:r>
              <w:rPr>
                <w:rFonts w:ascii="Calibri" w:hAnsi="Calibri"/>
                <w:color w:val="000000"/>
                <w:sz w:val="20"/>
              </w:rPr>
              <w:t>5</w:t>
            </w:r>
          </w:p>
        </w:tc>
        <w:tc>
          <w:tcPr>
            <w:tcW w:type="dxa" w:w="2196"/>
            <w:shd w:val="clear" w:color="auto" w:fill="EBF3FB"/>
          </w:tcPr>
          <w:p>
            <w:pPr>
              <w:spacing w:before="60" w:after="60"/>
            </w:pPr>
            <w:r>
              <w:rPr>
                <w:rFonts w:ascii="Calibri" w:hAnsi="Calibri"/>
                <w:b/>
                <w:color w:val="1A376C"/>
                <w:sz w:val="20"/>
              </w:rPr>
              <w:t>Closure</w:t>
            </w:r>
          </w:p>
        </w:tc>
        <w:tc>
          <w:tcPr>
            <w:tcW w:type="dxa" w:w="2196"/>
            <w:shd w:val="clear" w:color="auto" w:fill="EBF3FB"/>
          </w:tcPr>
          <w:p>
            <w:pPr>
              <w:spacing w:before="60" w:after="60"/>
            </w:pPr>
            <w:r>
              <w:rPr>
                <w:rFonts w:ascii="Calibri" w:hAnsi="Calibri"/>
                <w:color w:val="000000"/>
                <w:sz w:val="20"/>
              </w:rPr>
              <w:t>Incomplete figures completed</w:t>
            </w:r>
          </w:p>
        </w:tc>
        <w:tc>
          <w:tcPr>
            <w:tcW w:type="dxa" w:w="2196"/>
            <w:shd w:val="clear" w:color="auto" w:fill="EBF3FB"/>
          </w:tcPr>
          <w:p>
            <w:pPr>
              <w:spacing w:before="60" w:after="60"/>
            </w:pPr>
            <w:r>
              <w:rPr>
                <w:rFonts w:ascii="Calibri" w:hAnsi="Calibri"/>
                <w:color w:val="000000"/>
                <w:sz w:val="20"/>
              </w:rPr>
              <w:t>Logo &amp; icon design</w:t>
            </w:r>
          </w:p>
        </w:tc>
      </w:tr>
      <w:tr>
        <w:tc>
          <w:tcPr>
            <w:tcW w:type="dxa" w:w="2196"/>
            <w:shd w:val="clear" w:color="auto" w:fill="FAFAFA"/>
          </w:tcPr>
          <w:p>
            <w:pPr>
              <w:spacing w:before="60" w:after="60"/>
            </w:pPr>
            <w:r>
              <w:rPr>
                <w:rFonts w:ascii="Calibri" w:hAnsi="Calibri"/>
                <w:color w:val="000000"/>
                <w:sz w:val="20"/>
              </w:rPr>
              <w:t>6</w:t>
            </w:r>
          </w:p>
        </w:tc>
        <w:tc>
          <w:tcPr>
            <w:tcW w:type="dxa" w:w="2196"/>
            <w:shd w:val="clear" w:color="auto" w:fill="FAFAFA"/>
          </w:tcPr>
          <w:p>
            <w:pPr>
              <w:spacing w:before="60" w:after="60"/>
            </w:pPr>
            <w:r>
              <w:rPr>
                <w:rFonts w:ascii="Calibri" w:hAnsi="Calibri"/>
                <w:b/>
                <w:color w:val="1A376C"/>
                <w:sz w:val="20"/>
              </w:rPr>
              <w:t>Symmetry</w:t>
            </w:r>
          </w:p>
        </w:tc>
        <w:tc>
          <w:tcPr>
            <w:tcW w:type="dxa" w:w="2196"/>
            <w:shd w:val="clear" w:color="auto" w:fill="FAFAFA"/>
          </w:tcPr>
          <w:p>
            <w:pPr>
              <w:spacing w:before="60" w:after="60"/>
            </w:pPr>
            <w:r>
              <w:rPr>
                <w:rFonts w:ascii="Calibri" w:hAnsi="Calibri"/>
                <w:color w:val="000000"/>
                <w:sz w:val="20"/>
              </w:rPr>
              <w:t>Balanced forms unified</w:t>
            </w:r>
          </w:p>
        </w:tc>
        <w:tc>
          <w:tcPr>
            <w:tcW w:type="dxa" w:w="2196"/>
            <w:shd w:val="clear" w:color="auto" w:fill="FAFAFA"/>
          </w:tcPr>
          <w:p>
            <w:pPr>
              <w:spacing w:before="60" w:after="60"/>
            </w:pPr>
            <w:r>
              <w:rPr>
                <w:rFonts w:ascii="Calibri" w:hAnsi="Calibri"/>
                <w:color w:val="000000"/>
                <w:sz w:val="20"/>
              </w:rPr>
              <w:t>Aesthetics &amp; branding</w:t>
            </w:r>
          </w:p>
        </w:tc>
      </w:tr>
      <w:tr>
        <w:tc>
          <w:tcPr>
            <w:tcW w:type="dxa" w:w="2196"/>
            <w:shd w:val="clear" w:color="auto" w:fill="EBF3FB"/>
          </w:tcPr>
          <w:p>
            <w:pPr>
              <w:spacing w:before="60" w:after="60"/>
            </w:pPr>
            <w:r>
              <w:rPr>
                <w:rFonts w:ascii="Calibri" w:hAnsi="Calibri"/>
                <w:color w:val="000000"/>
                <w:sz w:val="20"/>
              </w:rPr>
              <w:t>7</w:t>
            </w:r>
          </w:p>
        </w:tc>
        <w:tc>
          <w:tcPr>
            <w:tcW w:type="dxa" w:w="2196"/>
            <w:shd w:val="clear" w:color="auto" w:fill="EBF3FB"/>
          </w:tcPr>
          <w:p>
            <w:pPr>
              <w:spacing w:before="60" w:after="60"/>
            </w:pPr>
            <w:r>
              <w:rPr>
                <w:rFonts w:ascii="Calibri" w:hAnsi="Calibri"/>
                <w:b/>
                <w:color w:val="1A376C"/>
                <w:sz w:val="20"/>
              </w:rPr>
              <w:t>Prägnanz</w:t>
            </w:r>
          </w:p>
        </w:tc>
        <w:tc>
          <w:tcPr>
            <w:tcW w:type="dxa" w:w="2196"/>
            <w:shd w:val="clear" w:color="auto" w:fill="EBF3FB"/>
          </w:tcPr>
          <w:p>
            <w:pPr>
              <w:spacing w:before="60" w:after="60"/>
            </w:pPr>
            <w:r>
              <w:rPr>
                <w:rFonts w:ascii="Calibri" w:hAnsi="Calibri"/>
                <w:color w:val="000000"/>
                <w:sz w:val="20"/>
              </w:rPr>
              <w:t>Simplest form always chosen</w:t>
            </w:r>
          </w:p>
        </w:tc>
        <w:tc>
          <w:tcPr>
            <w:tcW w:type="dxa" w:w="2196"/>
            <w:shd w:val="clear" w:color="auto" w:fill="EBF3FB"/>
          </w:tcPr>
          <w:p>
            <w:pPr>
              <w:spacing w:before="60" w:after="60"/>
            </w:pPr>
            <w:r>
              <w:rPr>
                <w:rFonts w:ascii="Calibri" w:hAnsi="Calibri"/>
                <w:color w:val="000000"/>
                <w:sz w:val="20"/>
              </w:rPr>
              <w:t>Minimalist design</w:t>
            </w:r>
          </w:p>
        </w:tc>
      </w:tr>
      <w:tr>
        <w:tc>
          <w:tcPr>
            <w:tcW w:type="dxa" w:w="2196"/>
            <w:shd w:val="clear" w:color="auto" w:fill="FAFAFA"/>
          </w:tcPr>
          <w:p>
            <w:pPr>
              <w:spacing w:before="60" w:after="60"/>
            </w:pPr>
            <w:r>
              <w:rPr>
                <w:rFonts w:ascii="Calibri" w:hAnsi="Calibri"/>
                <w:color w:val="000000"/>
                <w:sz w:val="20"/>
              </w:rPr>
              <w:t>8</w:t>
            </w:r>
          </w:p>
        </w:tc>
        <w:tc>
          <w:tcPr>
            <w:tcW w:type="dxa" w:w="2196"/>
            <w:shd w:val="clear" w:color="auto" w:fill="FAFAFA"/>
          </w:tcPr>
          <w:p>
            <w:pPr>
              <w:spacing w:before="60" w:after="60"/>
            </w:pPr>
            <w:r>
              <w:rPr>
                <w:rFonts w:ascii="Calibri" w:hAnsi="Calibri"/>
                <w:b/>
                <w:color w:val="1A376C"/>
                <w:sz w:val="20"/>
              </w:rPr>
              <w:t>Common Fate</w:t>
            </w:r>
          </w:p>
        </w:tc>
        <w:tc>
          <w:tcPr>
            <w:tcW w:type="dxa" w:w="2196"/>
            <w:shd w:val="clear" w:color="auto" w:fill="FAFAFA"/>
          </w:tcPr>
          <w:p>
            <w:pPr>
              <w:spacing w:before="60" w:after="60"/>
            </w:pPr>
            <w:r>
              <w:rPr>
                <w:rFonts w:ascii="Calibri" w:hAnsi="Calibri"/>
                <w:color w:val="000000"/>
                <w:sz w:val="20"/>
              </w:rPr>
              <w:t>Co-moving elements grouped</w:t>
            </w:r>
          </w:p>
        </w:tc>
        <w:tc>
          <w:tcPr>
            <w:tcW w:type="dxa" w:w="2196"/>
            <w:shd w:val="clear" w:color="auto" w:fill="FAFAFA"/>
          </w:tcPr>
          <w:p>
            <w:pPr>
              <w:spacing w:before="60" w:after="60"/>
            </w:pPr>
            <w:r>
              <w:rPr>
                <w:rFonts w:ascii="Calibri" w:hAnsi="Calibri"/>
                <w:color w:val="000000"/>
                <w:sz w:val="20"/>
              </w:rPr>
              <w:t>Data visualisation</w:t>
            </w:r>
          </w:p>
        </w:tc>
      </w:tr>
    </w:tbl>
    <w:p/>
    <w:p>
      <w:pPr>
        <w:spacing w:before="280" w:after="80"/>
        <w:pBdr>
          <w:bottom w:val="single" w:sz="12" w:space="4" w:color="2E74B5"/>
        </w:pBdr>
      </w:pPr>
      <w:r>
        <w:rPr>
          <w:rFonts w:ascii="Calibri Light" w:hAnsi="Calibri Light"/>
          <w:b/>
          <w:color w:val="1A376C"/>
          <w:sz w:val="26"/>
        </w:rPr>
        <w:t>CRITICAL EVALUATION</w:t>
      </w:r>
    </w:p>
    <w:p>
      <w:pPr>
        <w:spacing w:before="160" w:after="40"/>
      </w:pPr>
      <w:r>
        <w:rPr>
          <w:rFonts w:ascii="Calibri Light" w:hAnsi="Calibri Light"/>
          <w:b/>
          <w:color w:val="2E74B5"/>
          <w:sz w:val="22"/>
        </w:rPr>
        <w:t>Strengths</w:t>
      </w:r>
    </w:p>
    <w:p>
      <w:pPr>
        <w:spacing w:after="100" w:before="40"/>
        <w:jc w:val="both"/>
      </w:pPr>
      <w:r>
        <w:rPr>
          <w:rFonts w:ascii="Calibri" w:hAnsi="Calibri"/>
          <w:i w:val="0"/>
          <w:color w:val="000000"/>
          <w:sz w:val="22"/>
        </w:rPr>
        <w:t>Gestalt laws are supported by a wealth of empirical evidence from psychophysical experiments and neuroimaging studies. They offer parsimonious explanations for a wide variety of perceptual phenomena and provide actionable design guidelines. The laws have proven robust across cultures and age groups, suggesting they reflect deep-seated neural mechanisms rather than learned conventions.</w:t>
      </w:r>
    </w:p>
    <w:p>
      <w:pPr>
        <w:spacing w:before="160" w:after="40"/>
      </w:pPr>
      <w:r>
        <w:rPr>
          <w:rFonts w:ascii="Calibri Light" w:hAnsi="Calibri Light"/>
          <w:b/>
          <w:color w:val="2E74B5"/>
          <w:sz w:val="22"/>
        </w:rPr>
        <w:t>Limitations</w:t>
      </w:r>
    </w:p>
    <w:p>
      <w:pPr>
        <w:spacing w:after="100" w:before="40"/>
        <w:jc w:val="both"/>
      </w:pPr>
      <w:r>
        <w:rPr>
          <w:rFonts w:ascii="Calibri" w:hAnsi="Calibri"/>
          <w:i w:val="0"/>
          <w:color w:val="000000"/>
          <w:sz w:val="22"/>
        </w:rPr>
        <w:t>Critics note that Gestalt theory is largely descriptive rather than mechanistic — it identifies what the brain does without fully explaining how. The laws can also be vague and sometimes make conflicting predictions when multiple laws apply simultaneously. Furthermore, early Gestalt researchers relied on introspective and qualitative methods that do not meet modern standards of experimental rigor.</w:t>
      </w:r>
    </w:p>
    <w:p>
      <w:pPr>
        <w:spacing w:before="160" w:after="40"/>
      </w:pPr>
      <w:r>
        <w:rPr>
          <w:rFonts w:ascii="Calibri Light" w:hAnsi="Calibri Light"/>
          <w:b/>
          <w:color w:val="2E74B5"/>
          <w:sz w:val="22"/>
        </w:rPr>
        <w:t>Modern Neuroscience Perspective</w:t>
      </w:r>
    </w:p>
    <w:p>
      <w:pPr>
        <w:spacing w:after="100" w:before="40"/>
        <w:jc w:val="both"/>
      </w:pPr>
      <w:r>
        <w:rPr>
          <w:rFonts w:ascii="Calibri" w:hAnsi="Calibri"/>
          <w:i w:val="0"/>
          <w:color w:val="000000"/>
          <w:sz w:val="22"/>
        </w:rPr>
        <w:t>Contemporary cognitive neuroscience has begun to uncover the neural substrates of Gestalt grouping. Research in primary visual cortex (V1) and higher areas (V4, LOC) shows that neurons respond differentially to grouped vs. ungrouped stimuli, providing biological grounding for Gestalt phenomena. Predictive coding frameworks suggest Gestalt laws reflect the brain's probabilistic model of a world filled with continuous, symmetric, and proximate objects.</w:t>
      </w:r>
    </w:p>
    <w:p>
      <w:pPr>
        <w:spacing w:before="280" w:after="80"/>
        <w:pBdr>
          <w:bottom w:val="single" w:sz="12" w:space="4" w:color="2E74B5"/>
        </w:pBdr>
      </w:pPr>
      <w:r>
        <w:rPr>
          <w:rFonts w:ascii="Calibri Light" w:hAnsi="Calibri Light"/>
          <w:b/>
          <w:color w:val="1A376C"/>
          <w:sz w:val="26"/>
        </w:rPr>
        <w:t>REAL-WORLD APPLICATIONS</w:t>
      </w:r>
    </w:p>
    <w:p>
      <w:pPr>
        <w:spacing w:after="100" w:before="40"/>
        <w:jc w:val="both"/>
      </w:pPr>
      <w:r>
        <w:rPr>
          <w:rFonts w:ascii="Calibri" w:hAnsi="Calibri"/>
          <w:i w:val="0"/>
          <w:color w:val="000000"/>
          <w:sz w:val="22"/>
        </w:rPr>
        <w:t>Gestalt principles permeate numerous professional and academic domains:</w:t>
      </w:r>
    </w:p>
    <w:p>
      <w:pPr>
        <w:pStyle w:val="ListBullet"/>
        <w:spacing w:after="80"/>
        <w:jc w:val="both"/>
      </w:pPr>
      <w:r>
        <w:rPr>
          <w:rFonts w:ascii="Calibri" w:hAnsi="Calibri"/>
          <w:b/>
          <w:color w:val="1A376C"/>
          <w:sz w:val="22"/>
        </w:rPr>
        <w:t xml:space="preserve">Graphic &amp; UI Design: </w:t>
      </w:r>
      <w:r>
        <w:rPr>
          <w:rFonts w:ascii="Calibri" w:hAnsi="Calibri"/>
          <w:sz w:val="22"/>
        </w:rPr>
        <w:t>Proximity and similarity guide information hierarchy; closure and figure-ground create memorable logos (e.g., FedEx hidden arrow, NBC peacock).</w:t>
      </w:r>
    </w:p>
    <w:p>
      <w:pPr>
        <w:pStyle w:val="ListBullet"/>
        <w:spacing w:after="80"/>
        <w:jc w:val="both"/>
      </w:pPr>
      <w:r>
        <w:rPr>
          <w:rFonts w:ascii="Calibri" w:hAnsi="Calibri"/>
          <w:b/>
          <w:color w:val="1A376C"/>
          <w:sz w:val="22"/>
        </w:rPr>
        <w:t xml:space="preserve">Architecture &amp; Urban Planning: </w:t>
      </w:r>
      <w:r>
        <w:rPr>
          <w:rFonts w:ascii="Calibri" w:hAnsi="Calibri"/>
          <w:sz w:val="22"/>
        </w:rPr>
        <w:t>Symmetry and Prägnanz inform façade composition and public space design so that environments feel ordered and navigable.</w:t>
      </w:r>
    </w:p>
    <w:p>
      <w:pPr>
        <w:pStyle w:val="ListBullet"/>
        <w:spacing w:after="80"/>
        <w:jc w:val="both"/>
      </w:pPr>
      <w:r>
        <w:rPr>
          <w:rFonts w:ascii="Calibri" w:hAnsi="Calibri"/>
          <w:b/>
          <w:color w:val="1A376C"/>
          <w:sz w:val="22"/>
        </w:rPr>
        <w:t xml:space="preserve">Data Visualisation: </w:t>
      </w:r>
      <w:r>
        <w:rPr>
          <w:rFonts w:ascii="Calibri" w:hAnsi="Calibri"/>
          <w:sz w:val="22"/>
        </w:rPr>
        <w:t>Common fate and proximity determine how viewers group data points into trends and clusters in charts and dashboards.</w:t>
      </w:r>
    </w:p>
    <w:p>
      <w:pPr>
        <w:pStyle w:val="ListBullet"/>
        <w:spacing w:after="80"/>
        <w:jc w:val="both"/>
      </w:pPr>
      <w:r>
        <w:rPr>
          <w:rFonts w:ascii="Calibri" w:hAnsi="Calibri"/>
          <w:b/>
          <w:color w:val="1A376C"/>
          <w:sz w:val="22"/>
        </w:rPr>
        <w:t xml:space="preserve">Education: </w:t>
      </w:r>
      <w:r>
        <w:rPr>
          <w:rFonts w:ascii="Calibri" w:hAnsi="Calibri"/>
          <w:sz w:val="22"/>
        </w:rPr>
        <w:t>Teachers use proximity (grouping related content on a slide) and similarity (consistent formatting for related concepts) to reduce cognitive load.</w:t>
      </w:r>
    </w:p>
    <w:p>
      <w:pPr>
        <w:pStyle w:val="ListBullet"/>
        <w:spacing w:after="80"/>
        <w:jc w:val="both"/>
      </w:pPr>
      <w:r>
        <w:rPr>
          <w:rFonts w:ascii="Calibri" w:hAnsi="Calibri"/>
          <w:b/>
          <w:color w:val="1A376C"/>
          <w:sz w:val="22"/>
        </w:rPr>
        <w:t xml:space="preserve">Clinical Neuropsychology: </w:t>
      </w:r>
      <w:r>
        <w:rPr>
          <w:rFonts w:ascii="Calibri" w:hAnsi="Calibri"/>
          <w:sz w:val="22"/>
        </w:rPr>
        <w:t>Disruptions in Gestalt perception (e.g., inability to perceive figures from ground) can be diagnostic indicators of conditions such as schizophrenia or prosopagnosia.</w:t>
      </w:r>
    </w:p>
    <w:p>
      <w:pPr>
        <w:pStyle w:val="ListBullet"/>
        <w:spacing w:after="80"/>
        <w:jc w:val="both"/>
      </w:pPr>
      <w:r>
        <w:rPr>
          <w:rFonts w:ascii="Calibri" w:hAnsi="Calibri"/>
          <w:b/>
          <w:color w:val="1A376C"/>
          <w:sz w:val="22"/>
        </w:rPr>
        <w:t xml:space="preserve">Film &amp; Animation: </w:t>
      </w:r>
      <w:r>
        <w:rPr>
          <w:rFonts w:ascii="Calibri" w:hAnsi="Calibri"/>
          <w:sz w:val="22"/>
        </w:rPr>
        <w:t>Continuity and common fate underpin scene editing and character motion — the audience perceptually binds frames into coherent narrative sequences.</w:t>
      </w:r>
    </w:p>
    <w:p/>
    <w:p>
      <w:pPr>
        <w:spacing w:before="280" w:after="80"/>
        <w:pBdr>
          <w:bottom w:val="single" w:sz="12" w:space="4" w:color="2E74B5"/>
        </w:pBdr>
      </w:pPr>
      <w:r>
        <w:rPr>
          <w:rFonts w:ascii="Calibri Light" w:hAnsi="Calibri Light"/>
          <w:b/>
          <w:color w:val="1A376C"/>
          <w:sz w:val="26"/>
        </w:rPr>
        <w:t>CONCLUSION</w:t>
      </w:r>
    </w:p>
    <w:p>
      <w:pPr>
        <w:spacing w:after="100" w:before="40"/>
        <w:jc w:val="both"/>
      </w:pPr>
      <w:r>
        <w:rPr>
          <w:rFonts w:ascii="Calibri" w:hAnsi="Calibri"/>
          <w:i w:val="0"/>
          <w:color w:val="000000"/>
          <w:sz w:val="22"/>
        </w:rPr>
        <w:t>Gestalt laws of perceptual organisation represent one of psychology's most enduring contributions to understanding the human mind. By demonstrating that organised wholes cannot be reduced to the sum of their parts, Wertheimer, Koffka, and Köhler fundamentally reshaped the study of perception and laid groundwork that still influences cognitive science, neuroscience, and design today. The principles of proximity, similarity, continuity, closure, symmetry, Prägnanz, common fate, and figure-ground are not merely academic curiosities — they are the invisible grammar through which the human visual system makes sense of the world.</w:t>
      </w:r>
    </w:p>
    <w:p>
      <w:pPr>
        <w:spacing w:after="100" w:before="40"/>
        <w:jc w:val="both"/>
      </w:pPr>
      <w:r>
        <w:rPr>
          <w:rFonts w:ascii="Calibri" w:hAnsi="Calibri"/>
          <w:i w:val="0"/>
          <w:color w:val="000000"/>
          <w:sz w:val="22"/>
        </w:rPr>
        <w:t>As artificial intelligence systems increasingly attempt to replicate human perception, Gestalt theory offers a principled benchmark: a truly perceptive system must organise input into meaningful wholes rather than processing isolated features in isolation. The relevance of Gestalt psychology, therefore, extends well into the twenty-first century.</w:t>
      </w:r>
    </w:p>
    <w:p/>
    <w:p>
      <w:pPr>
        <w:spacing w:before="280" w:after="80"/>
        <w:pBdr>
          <w:bottom w:val="single" w:sz="12" w:space="4" w:color="2E74B5"/>
        </w:pBdr>
      </w:pPr>
      <w:r>
        <w:rPr>
          <w:rFonts w:ascii="Calibri Light" w:hAnsi="Calibri Light"/>
          <w:b/>
          <w:color w:val="1A376C"/>
          <w:sz w:val="26"/>
        </w:rPr>
        <w:t>REFERENCES</w:t>
      </w:r>
    </w:p>
    <w:p>
      <w:pPr>
        <w:spacing w:after="100"/>
        <w:ind w:left="576" w:hanging="576"/>
      </w:pPr>
      <w:r>
        <w:rPr>
          <w:rFonts w:ascii="Calibri" w:hAnsi="Calibri"/>
          <w:b/>
          <w:color w:val="1A376C"/>
          <w:sz w:val="20"/>
        </w:rPr>
        <w:t xml:space="preserve">Wertheimer, M. </w:t>
      </w:r>
      <w:r>
        <w:rPr>
          <w:rFonts w:ascii="Calibri" w:hAnsi="Calibri"/>
          <w:sz w:val="20"/>
        </w:rPr>
        <w:t xml:space="preserve">(1923). </w:t>
      </w:r>
      <w:r>
        <w:rPr>
          <w:rFonts w:ascii="Calibri" w:hAnsi="Calibri"/>
          <w:sz w:val="20"/>
        </w:rPr>
        <w:t>Laws of organization in perceptual forms. In W. D. Ellis (Ed.), A source book of Gestalt psychology. Harcourt, Brace.</w:t>
      </w:r>
    </w:p>
    <w:p>
      <w:pPr>
        <w:spacing w:after="100"/>
        <w:ind w:left="576" w:hanging="576"/>
      </w:pPr>
      <w:r>
        <w:rPr>
          <w:rFonts w:ascii="Calibri" w:hAnsi="Calibri"/>
          <w:b/>
          <w:color w:val="1A376C"/>
          <w:sz w:val="20"/>
        </w:rPr>
        <w:t xml:space="preserve">Koffka, K. </w:t>
      </w:r>
      <w:r>
        <w:rPr>
          <w:rFonts w:ascii="Calibri" w:hAnsi="Calibri"/>
          <w:sz w:val="20"/>
        </w:rPr>
        <w:t xml:space="preserve">(1935). </w:t>
      </w:r>
      <w:r>
        <w:rPr>
          <w:rFonts w:ascii="Calibri" w:hAnsi="Calibri"/>
          <w:sz w:val="20"/>
        </w:rPr>
        <w:t>Principles of Gestalt psychology. Harcourt, Brace.</w:t>
      </w:r>
    </w:p>
    <w:p>
      <w:pPr>
        <w:spacing w:after="100"/>
        <w:ind w:left="576" w:hanging="576"/>
      </w:pPr>
      <w:r>
        <w:rPr>
          <w:rFonts w:ascii="Calibri" w:hAnsi="Calibri"/>
          <w:b/>
          <w:color w:val="1A376C"/>
          <w:sz w:val="20"/>
        </w:rPr>
        <w:t xml:space="preserve">Köhler, W. </w:t>
      </w:r>
      <w:r>
        <w:rPr>
          <w:rFonts w:ascii="Calibri" w:hAnsi="Calibri"/>
          <w:sz w:val="20"/>
        </w:rPr>
        <w:t xml:space="preserve">(1947). </w:t>
      </w:r>
      <w:r>
        <w:rPr>
          <w:rFonts w:ascii="Calibri" w:hAnsi="Calibri"/>
          <w:sz w:val="20"/>
        </w:rPr>
        <w:t>Gestalt psychology: An introduction to new concepts in modern psychology. Liveright.</w:t>
      </w:r>
    </w:p>
    <w:p>
      <w:pPr>
        <w:spacing w:after="100"/>
        <w:ind w:left="576" w:hanging="576"/>
      </w:pPr>
      <w:r>
        <w:rPr>
          <w:rFonts w:ascii="Calibri" w:hAnsi="Calibri"/>
          <w:b/>
          <w:color w:val="1A376C"/>
          <w:sz w:val="20"/>
        </w:rPr>
        <w:t xml:space="preserve">Goldstein, E. B. </w:t>
      </w:r>
      <w:r>
        <w:rPr>
          <w:rFonts w:ascii="Calibri" w:hAnsi="Calibri"/>
          <w:sz w:val="20"/>
        </w:rPr>
        <w:t xml:space="preserve">(2019). </w:t>
      </w:r>
      <w:r>
        <w:rPr>
          <w:rFonts w:ascii="Calibri" w:hAnsi="Calibri"/>
          <w:sz w:val="20"/>
        </w:rPr>
        <w:t>Sensation and perception (10th ed.). Cengage Learning.</w:t>
      </w:r>
    </w:p>
    <w:p>
      <w:pPr>
        <w:spacing w:after="100"/>
        <w:ind w:left="576" w:hanging="576"/>
      </w:pPr>
      <w:r>
        <w:rPr>
          <w:rFonts w:ascii="Calibri" w:hAnsi="Calibri"/>
          <w:b/>
          <w:color w:val="1A376C"/>
          <w:sz w:val="20"/>
        </w:rPr>
        <w:t xml:space="preserve">Morgan, C. T., King, R. A., Weisz, J. R., &amp; Schopler, J. </w:t>
      </w:r>
      <w:r>
        <w:rPr>
          <w:rFonts w:ascii="Calibri" w:hAnsi="Calibri"/>
          <w:sz w:val="20"/>
        </w:rPr>
        <w:t xml:space="preserve">(2012). </w:t>
      </w:r>
      <w:r>
        <w:rPr>
          <w:rFonts w:ascii="Calibri" w:hAnsi="Calibri"/>
          <w:sz w:val="20"/>
        </w:rPr>
        <w:t>Introduction to psychology (7th ed.). Tata McGraw-Hill.</w:t>
      </w:r>
    </w:p>
    <w:p>
      <w:pPr>
        <w:spacing w:after="100"/>
        <w:ind w:left="576" w:hanging="576"/>
      </w:pPr>
      <w:r>
        <w:rPr>
          <w:rFonts w:ascii="Calibri" w:hAnsi="Calibri"/>
          <w:b/>
          <w:color w:val="1A376C"/>
          <w:sz w:val="20"/>
        </w:rPr>
        <w:t xml:space="preserve">Wagemans, J. et al. </w:t>
      </w:r>
      <w:r>
        <w:rPr>
          <w:rFonts w:ascii="Calibri" w:hAnsi="Calibri"/>
          <w:sz w:val="20"/>
        </w:rPr>
        <w:t xml:space="preserve">(2012). </w:t>
      </w:r>
      <w:r>
        <w:rPr>
          <w:rFonts w:ascii="Calibri" w:hAnsi="Calibri"/>
          <w:sz w:val="20"/>
        </w:rPr>
        <w:t>A century of Gestalt psychology in visual perception. Psychological Bulletin, 138(6), 1172–1217.</w:t>
      </w:r>
    </w:p>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07070"/>
        <w:sz w:val="18"/>
      </w:rPr>
      <w:t xml:space="preserve">Gestalt Laws of Perceptual Organization  |  General Psychology  |  Page </w:t>
    </w: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