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Services</w:t>
      </w:r>
    </w:p>
    <w:p>
      <w:pPr>
        <w:pStyle w:val="Heading1"/>
      </w:pPr>
      <w:r>
        <w:t>Software Development</w:t>
      </w:r>
    </w:p>
    <w:p>
      <w:r>
        <w:t>NovaTech provides custom web application, mobile application, API, and backend development services. Projects normally begin with requirements gathering and continue through development, testing, deployment, and maintenance.</w:t>
      </w:r>
    </w:p>
    <w:p>
      <w:pPr>
        <w:pStyle w:val="Heading1"/>
      </w:pPr>
      <w:r>
        <w:t>Cloud Integration</w:t>
      </w:r>
    </w:p>
    <w:p>
      <w:r>
        <w:t>The company provides cloud architecture and integration services for organizations migrating applications to managed cloud environments.</w:t>
      </w:r>
    </w:p>
    <w:p>
      <w:pPr>
        <w:pStyle w:val="Heading1"/>
      </w:pPr>
      <w:r>
        <w:t>Data Engineering</w:t>
      </w:r>
    </w:p>
    <w:p>
      <w:r>
        <w:t>Data engineering services include data pipelines, ETL workflows, database integration, validation, and analytics infrastructure.</w:t>
      </w:r>
    </w:p>
    <w:p>
      <w:pPr>
        <w:pStyle w:val="Heading1"/>
      </w:pPr>
      <w:r>
        <w:t>Technical Consulting</w:t>
      </w:r>
    </w:p>
    <w:p>
      <w:r>
        <w:t>Technical consulting engagements can include architecture reviews, performance analysis, security reviews, and engineering process improvements.</w:t>
      </w:r>
    </w:p>
    <w:p>
      <w:pPr>
        <w:pStyle w:val="Heading1"/>
      </w:pPr>
      <w:r>
        <w:t>Service Support</w:t>
      </w:r>
    </w:p>
    <w:p>
      <w:r>
        <w:t>Customer support requests are categorized by severity. Critical production incidents receive the highest priority and are escalated to the technical response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