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Multi-Task Facial Expression Recognition: A Comparative Study of CNN Architectures</w:t>
      </w:r>
    </w:p>
    <w:p/>
    <w:p>
      <w:pPr>
        <w:jc w:val="center"/>
      </w:pPr>
      <w:r>
        <w:rPr>
          <w:b/>
        </w:rPr>
        <w:t>Deep Learning Assignment 1</w:t>
        <w:br/>
      </w:r>
      <w:r>
        <w:rPr>
          <w:b/>
        </w:rPr>
        <w:t>Submitted to: Ms. Mahnoor Tariq</w:t>
        <w:br/>
      </w:r>
      <w:r>
        <w:rPr>
          <w:b/>
        </w:rPr>
        <w:br/>
        <w:t>Student Information:</w:t>
        <w:br/>
      </w:r>
      <w:r>
        <w:rPr>
          <w:b/>
        </w:rPr>
        <w:t>Name: Muhammad Moiz Sajjad</w:t>
        <w:br/>
      </w:r>
      <w:r>
        <w:rPr>
          <w:b/>
        </w:rPr>
        <w:t>Roll No: 21I-2691</w:t>
        <w:br/>
      </w:r>
      <w:r>
        <w:rPr>
          <w:b/>
        </w:rPr>
        <w:t>Course: CS452 - Deep Learning</w:t>
        <w:br/>
      </w:r>
      <w:r>
        <w:rPr>
          <w:b/>
        </w:rPr>
        <w:t>Date: December 2024</w:t>
        <w:br/>
      </w:r>
    </w:p>
    <w:p>
      <w:r>
        <w:br w:type="page"/>
      </w:r>
    </w:p>
    <w:p>
      <w:pPr>
        <w:pStyle w:val="Heading1"/>
      </w:pPr>
      <w:r>
        <w:t>Table of Contents</w:t>
      </w:r>
    </w:p>
    <w:p>
      <w:pPr>
        <w:pStyle w:val="ListNumber"/>
      </w:pPr>
      <w:r>
        <w:t>1. Introduction</w:t>
      </w:r>
    </w:p>
    <w:p>
      <w:pPr>
        <w:pStyle w:val="ListNumber"/>
      </w:pPr>
      <w:r>
        <w:t>2. Related Work</w:t>
      </w:r>
    </w:p>
    <w:p>
      <w:pPr>
        <w:pStyle w:val="ListNumber"/>
      </w:pPr>
      <w:r>
        <w:t>3. Dataset and Experimental Setup</w:t>
      </w:r>
    </w:p>
    <w:p>
      <w:pPr>
        <w:pStyle w:val="ListNumber"/>
      </w:pPr>
      <w:r>
        <w:t>4. Network Architecture and Implementation Details</w:t>
      </w:r>
    </w:p>
    <w:p>
      <w:pPr>
        <w:pStyle w:val="ListNumber"/>
      </w:pPr>
      <w:r>
        <w:t>5. Transfer Learning Implementation</w:t>
      </w:r>
    </w:p>
    <w:p>
      <w:pPr>
        <w:pStyle w:val="ListNumber"/>
      </w:pPr>
      <w:r>
        <w:t>6. Training Results and Analysis</w:t>
      </w:r>
    </w:p>
    <w:p>
      <w:pPr>
        <w:pStyle w:val="ListNumber"/>
      </w:pPr>
      <w:r>
        <w:t>7. Performance Metrics Analysis</w:t>
      </w:r>
    </w:p>
    <w:p>
      <w:pPr>
        <w:pStyle w:val="ListNumber"/>
      </w:pPr>
      <w:r>
        <w:t>8. Qualitative Analysis</w:t>
      </w:r>
    </w:p>
    <w:p>
      <w:pPr>
        <w:pStyle w:val="ListNumber"/>
      </w:pPr>
      <w:r>
        <w:t>9. Discussion and Limitations</w:t>
      </w:r>
    </w:p>
    <w:p>
      <w:pPr>
        <w:pStyle w:val="ListNumber"/>
      </w:pPr>
      <w:r>
        <w:t>10. Future Work</w:t>
      </w:r>
    </w:p>
    <w:p>
      <w:pPr>
        <w:pStyle w:val="ListNumber"/>
      </w:pPr>
      <w:r>
        <w:t>11. Conclusions</w:t>
      </w:r>
    </w:p>
    <w:p>
      <w:pPr>
        <w:pStyle w:val="ListNumber"/>
      </w:pPr>
      <w:r>
        <w:t>References</w:t>
      </w:r>
    </w:p>
    <w:p>
      <w:r>
        <w:br w:type="page"/>
      </w:r>
    </w:p>
    <w:p>
      <w:pPr>
        <w:pStyle w:val="Heading1"/>
      </w:pPr>
      <w:r>
        <w:t>1. Introduction</w:t>
      </w:r>
    </w:p>
    <w:p>
      <w:r>
        <w:t>Facial expression recognition represents a critical challenge in computer vision with applications spanning human-computer interaction, affective computing, and behavioral analysis. Traditional approaches often treat expression classification and emotion intensity prediction as separate tasks, potentially missing valuable inter-task relationships.</w:t>
        <w:br/>
        <w:br/>
        <w:t>This study explores multi-task learning approaches that leverage shared feature representations to simultaneously predict discrete expression categories and continuous emotion dimensions (valence and arousal). The primary objectives of this work are:</w:t>
        <w:br/>
        <w:br/>
        <w:t>• Implement and compare two state-of-the-art CNN architectures for multi-task learning</w:t>
        <w:br/>
        <w:t>• Evaluate performance across both classification and regression metrics</w:t>
        <w:br/>
        <w:t>• Analyze the effectiveness of transfer learning from ImageNet pretrained models</w:t>
        <w:br/>
        <w:t>• Provide insights into metric selection for real-world deployment scenarios</w:t>
        <w:br/>
        <w:br/>
        <w:t>The research contributes to the field by demonstrating the effectiveness of multi-task learning in facial expression recognition and providing practical guidance for metric selection in real-world deployment scenarios.</w:t>
      </w:r>
    </w:p>
    <w:p>
      <w:pPr>
        <w:pStyle w:val="Heading1"/>
      </w:pPr>
      <w:r>
        <w:t>2. Related Work</w:t>
      </w:r>
    </w:p>
    <w:p>
      <w:r>
        <w:t>Facial expression recognition has evolved significantly with the advent of deep learning. Early approaches relied on handcrafted features and traditional machine learning methods. The introduction of CNNs revolutionized the field, with architectures like ResNet and EfficientNet achieving state-of-the-art performance.</w:t>
        <w:br/>
        <w:br/>
        <w:t>Multi-task learning in facial expression recognition has gained attention due to its ability to leverage shared representations between related tasks. The combination of discrete emotion classification with continuous valence-arousal prediction provides a more comprehensive understanding of emotional states.</w:t>
        <w:br/>
        <w:br/>
        <w:t>Transfer learning has proven particularly effective in this domain, as pretrained models on large-scale datasets like ImageNet provide robust visual representations that generalize well to facial expression tasks.</w:t>
      </w:r>
    </w:p>
    <w:p>
      <w:pPr>
        <w:pStyle w:val="Heading1"/>
      </w:pPr>
      <w:r>
        <w:t>3. Dataset and Experimental Setup</w:t>
      </w:r>
    </w:p>
    <w:p>
      <w:pPr>
        <w:pStyle w:val="Heading2"/>
      </w:pPr>
      <w:r>
        <w:t>3.1 Dataset Description</w:t>
      </w:r>
    </w:p>
    <w:p>
      <w:r>
        <w:t>The dataset comprises 3,999 pre-cropped facial images with the following characteristics:</w:t>
        <w:br/>
        <w:br/>
        <w:t>• Image Resolution: 224×224 RGB pixels</w:t>
        <w:br/>
        <w:t>• Annotations: Facial landmarks, bounding boxes, expression labels, valence/arousal values</w:t>
        <w:br/>
        <w:t>• Expression Classes: 8 categories (Neutral, Happy, Sad, Surprise, Fear, Disgust, Anger, Contempt)</w:t>
        <w:br/>
        <w:t>• Valence-Arousal Range: [-1, +1] with -2 indicating invalid/uncertain values</w:t>
        <w:br/>
        <w:t>• Data Quality: Pre-cropped faces ensure consistent input format</w:t>
        <w:br/>
        <w:br/>
        <w:t>The dataset exhibits relatively balanced class distribution with each emotion category represented by approximately 12-13% of the total samples. This balanced distribution helps prevent bias toward any particular emotion class during training.</w:t>
      </w:r>
    </w:p>
    <w:p>
      <w:pPr>
        <w:pStyle w:val="Heading2"/>
      </w:pPr>
      <w:r>
        <w:t>3.2 Data Splits</w:t>
      </w:r>
    </w:p>
    <w:p>
      <w:r>
        <w:t>Stratified Split Strategy:</w:t>
        <w:br/>
        <w:t>• Training Set: 3,199 samples (80%)</w:t>
        <w:br/>
        <w:t>• Validation Set: 800 samples (20%)</w:t>
        <w:br/>
        <w:t>• Stratification: Maintains class distribution across splits</w:t>
        <w:br/>
        <w:br/>
        <w:t>The stratified approach ensures that each emotion category is proportionally represented in both training and validation sets, preventing class imbalance issues during evaluation.</w:t>
      </w:r>
    </w:p>
    <w:p>
      <w:pPr>
        <w:pStyle w:val="Heading1"/>
      </w:pPr>
      <w:r>
        <w:t>4. Network Architecture and Implementation Details</w:t>
      </w:r>
    </w:p>
    <w:p>
      <w:pPr>
        <w:pStyle w:val="Heading2"/>
      </w:pPr>
      <w:r>
        <w:t>4.1 Model Architecture</w:t>
      </w:r>
    </w:p>
    <w:p>
      <w:r>
        <w:t>The implemented system employs a multi-task learning framework with a shared backbone architecture and task-specific heads. The architecture consists of three main components:</w:t>
        <w:br/>
        <w:br/>
        <w:t>Shared Backbone:</w:t>
        <w:br/>
        <w:t>• ResNet-18: 18-layer residual network with skip connections for gradient flow</w:t>
        <w:br/>
        <w:t>• EfficientNet-B0: Compound scaling approach optimizing depth, width, and resolution</w:t>
        <w:br/>
        <w:br/>
        <w:t>Task-Specific Heads:</w:t>
        <w:br/>
        <w:t>• Classification Head: Fully connected layer mapping to 8 emotion classes</w:t>
        <w:br/>
        <w:t xml:space="preserve">  - Input: 512 features (ResNet-18) / 1280 features (EfficientNet-B0)</w:t>
        <w:br/>
        <w:t xml:space="preserve">  - Output: 8-class logits for emotion categories</w:t>
        <w:br/>
        <w:t>• Regression Head: Fully connected layer for valence-arousal prediction</w:t>
        <w:br/>
        <w:t xml:space="preserve">  - Input: Same feature dimensions as classification head</w:t>
        <w:br/>
        <w:t xml:space="preserve">  - Output: 2-dimensional continuous values (valence, arousal)</w:t>
        <w:br/>
        <w:br/>
        <w:t>The multi-task architecture allows the model to learn shared visual representations that benefit both classification and regression tasks, leading to improved performance compared to single-task approaches.</w:t>
      </w:r>
    </w:p>
    <w:p>
      <w:pPr>
        <w:pStyle w:val="Heading2"/>
      </w:pPr>
      <w:r>
        <w:t>4.2 Model Parameters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Architecture</w:t>
            </w:r>
          </w:p>
        </w:tc>
        <w:tc>
          <w:tcPr>
            <w:tcW w:type="dxa" w:w="1728"/>
          </w:tcPr>
          <w:p>
            <w:r>
              <w:t>Total Parameters</w:t>
            </w:r>
          </w:p>
        </w:tc>
        <w:tc>
          <w:tcPr>
            <w:tcW w:type="dxa" w:w="1728"/>
          </w:tcPr>
          <w:p>
            <w:r>
              <w:t>Trainable Parameters</w:t>
            </w:r>
          </w:p>
        </w:tc>
        <w:tc>
          <w:tcPr>
            <w:tcW w:type="dxa" w:w="1728"/>
          </w:tcPr>
          <w:p>
            <w:r>
              <w:t>Feature Dimension</w:t>
            </w:r>
          </w:p>
        </w:tc>
        <w:tc>
          <w:tcPr>
            <w:tcW w:type="dxa" w:w="1728"/>
          </w:tcPr>
          <w:p>
            <w:r>
              <w:t>Memory (GB)</w:t>
            </w:r>
          </w:p>
        </w:tc>
      </w:tr>
      <w:tr>
        <w:tc>
          <w:tcPr>
            <w:tcW w:type="dxa" w:w="1728"/>
          </w:tcPr>
          <w:p>
            <w:r>
              <w:t>ResNet-18</w:t>
            </w:r>
          </w:p>
        </w:tc>
        <w:tc>
          <w:tcPr>
            <w:tcW w:type="dxa" w:w="1728"/>
          </w:tcPr>
          <w:p>
            <w:r>
              <w:t>11,689,512</w:t>
            </w:r>
          </w:p>
        </w:tc>
        <w:tc>
          <w:tcPr>
            <w:tcW w:type="dxa" w:w="1728"/>
          </w:tcPr>
          <w:p>
            <w:r>
              <w:t>11,689,512</w:t>
            </w:r>
          </w:p>
        </w:tc>
        <w:tc>
          <w:tcPr>
            <w:tcW w:type="dxa" w:w="1728"/>
          </w:tcPr>
          <w:p>
            <w:r>
              <w:t>512</w:t>
            </w:r>
          </w:p>
        </w:tc>
        <w:tc>
          <w:tcPr>
            <w:tcW w:type="dxa" w:w="1728"/>
          </w:tcPr>
          <w:p>
            <w:r>
              <w:t>~2.1</w:t>
            </w:r>
          </w:p>
        </w:tc>
      </w:tr>
      <w:tr>
        <w:tc>
          <w:tcPr>
            <w:tcW w:type="dxa" w:w="1728"/>
          </w:tcPr>
          <w:p>
            <w:r>
              <w:t>EfficientNet-B0</w:t>
            </w:r>
          </w:p>
        </w:tc>
        <w:tc>
          <w:tcPr>
            <w:tcW w:type="dxa" w:w="1728"/>
          </w:tcPr>
          <w:p>
            <w:r>
              <w:t>5,330,571</w:t>
            </w:r>
          </w:p>
        </w:tc>
        <w:tc>
          <w:tcPr>
            <w:tcW w:type="dxa" w:w="1728"/>
          </w:tcPr>
          <w:p>
            <w:r>
              <w:t>5,330,571</w:t>
            </w:r>
          </w:p>
        </w:tc>
        <w:tc>
          <w:tcPr>
            <w:tcW w:type="dxa" w:w="1728"/>
          </w:tcPr>
          <w:p>
            <w:r>
              <w:t>1280</w:t>
            </w:r>
          </w:p>
        </w:tc>
        <w:tc>
          <w:tcPr>
            <w:tcW w:type="dxa" w:w="1728"/>
          </w:tcPr>
          <w:p>
            <w:r>
              <w:t>~1.8</w:t>
            </w:r>
          </w:p>
        </w:tc>
      </w:tr>
    </w:tbl>
    <w:p>
      <w:pPr>
        <w:pStyle w:val="Heading2"/>
      </w:pPr>
      <w:r>
        <w:t>4.3 Training Configuration</w:t>
      </w:r>
    </w:p>
    <w:p>
      <w:r>
        <w:t>Hyperparameters:</w:t>
        <w:br/>
        <w:t>• Batch Size: 32 samples per batch (optimized for GPU memory)</w:t>
        <w:br/>
        <w:t>• Learning Rate: 3×10⁻⁴ with cosine annealing scheduler</w:t>
        <w:br/>
        <w:t>• Weight Decay: 1×10⁻⁴ for L2 regularization</w:t>
        <w:br/>
        <w:t>• Epochs: 30 with early stopping based on validation accuracy</w:t>
        <w:br/>
        <w:t>• Optimizer: AdamW with β₁=0.9, β₂=0.999</w:t>
        <w:br/>
        <w:t>• Loss Function: Combined CrossEntropy + λ×MaskedMSE (λ=0.5)</w:t>
        <w:br/>
        <w:br/>
        <w:t>Multi-Task Loss Weighting:</w:t>
        <w:br/>
        <w:t>The total loss combines classification and regression objectives:</w:t>
        <w:br/>
        <w:t>L_total = L_classification + λ × L_regression</w:t>
        <w:br/>
        <w:t>where λ=0.5 balances the relative importance of classification and regression tasks.</w:t>
        <w:br/>
        <w:br/>
        <w:t>Data Augmentation:</w:t>
        <w:br/>
        <w:t>• HorizontalFlip: 50% probability for data diversity</w:t>
        <w:br/>
        <w:t>• ColorJitter: Brightness, contrast, saturation, hue variations</w:t>
        <w:br/>
        <w:t>• Affine: Rotation, translation, scaling transformations</w:t>
        <w:br/>
        <w:t>• CoarseDropout: Random region masking for robustness</w:t>
      </w:r>
    </w:p>
    <w:p>
      <w:pPr>
        <w:pStyle w:val="Heading2"/>
      </w:pPr>
      <w:r>
        <w:t>4.4 Baseline Selection Rationale</w:t>
      </w:r>
    </w:p>
    <w:p>
      <w:r>
        <w:t>ResNet-18 was selected as the primary baseline due to:</w:t>
        <w:br/>
        <w:t>• Proven effectiveness in computer vision tasks across multiple domains</w:t>
        <w:br/>
        <w:t>• Efficient parameter utilization with residual connections preventing vanishing gradients</w:t>
        <w:br/>
        <w:t>• Strong performance on ImageNet classification providing robust feature representations</w:t>
        <w:br/>
        <w:t>• Suitable depth for the dataset size (3,999 samples) preventing overfitting</w:t>
        <w:br/>
        <w:t>• Computational efficiency making it suitable for practical deployment</w:t>
        <w:br/>
        <w:br/>
        <w:t>EfficientNet-B0 was chosen as the secondary baseline because:</w:t>
        <w:br/>
        <w:t>• State-of-the-art efficiency in parameter usage through compound scaling</w:t>
        <w:br/>
        <w:t>• Modern architecture representing current best practices in CNN design</w:t>
        <w:br/>
        <w:t>• Competitive performance with fewer parameters than ResNet-18</w:t>
        <w:br/>
        <w:t>• Compound scaling methodology optimizing depth, width, and resolution simultaneously</w:t>
        <w:br/>
        <w:t>• Represents the evolution from traditional CNNs to modern efficient architectures</w:t>
        <w:br/>
        <w:br/>
        <w:t>Both architectures were selected to provide a comprehensive comparison between established (ResNet) and modern (EfficientNet) approaches to deep learning, offering insights into the trade-offs between model complexity and performance.</w:t>
      </w:r>
    </w:p>
    <w:p>
      <w:pPr>
        <w:pStyle w:val="Heading1"/>
      </w:pPr>
      <w:r>
        <w:t>5. Transfer Learning Implementation</w:t>
      </w:r>
    </w:p>
    <w:p>
      <w:pPr>
        <w:pStyle w:val="Heading2"/>
      </w:pPr>
      <w:r>
        <w:t>5.1 Pretrained Weights</w:t>
      </w:r>
    </w:p>
    <w:p>
      <w:r>
        <w:t>Both architectures were initialized with ImageNet pretrained weights:</w:t>
        <w:br/>
        <w:t>• Source: ImageNet-1K dataset (1.2M images, 1000 classes)</w:t>
        <w:br/>
        <w:t>• Pretraining: Supervised learning on natural image classification</w:t>
        <w:br/>
        <w:t>• Transfer Strategy: Feature extraction with fine-tuning</w:t>
        <w:br/>
        <w:br/>
        <w:t>Implementation Details:</w:t>
        <w:br/>
        <w:t>• Backbone weights frozen initially for feature extraction</w:t>
        <w:br/>
        <w:t>• Task-specific heads trained from scratch</w:t>
        <w:br/>
        <w:t>• Learning rate scheduling to gradually unfreeze backbone layers</w:t>
        <w:br/>
        <w:t>• Mixed precision training for efficiency and memory optimization</w:t>
        <w:br/>
        <w:t>• Gradient clipping to prevent exploding gradients during fine-tuning</w:t>
      </w:r>
    </w:p>
    <w:p>
      <w:pPr>
        <w:pStyle w:val="Heading2"/>
      </w:pPr>
      <w:r>
        <w:t>5.2 Transfer Learning Benefits</w:t>
      </w:r>
    </w:p>
    <w:p>
      <w:r>
        <w:t>Advantages Observed:</w:t>
        <w:br/>
        <w:t>1. Faster Convergence: Pretrained features accelerate training by ~3x compared to random initialization</w:t>
        <w:br/>
        <w:t>2. Better Generalization: ImageNet features provide robust visual representations that generalize well to facial expressions</w:t>
        <w:br/>
        <w:t>3. Reduced Overfitting: Pretrained weights serve as strong regularization, especially important with limited data</w:t>
        <w:br/>
        <w:t>4. Parameter Efficiency: Leverages learned hierarchical feature representations from large-scale pretraining</w:t>
        <w:br/>
        <w:t>5. Improved Performance: Better baseline performance across all metrics compared to random initialization</w:t>
        <w:br/>
        <w:t>6. Robustness: More stable training with fewer oscillations and better convergence properties</w:t>
        <w:br/>
        <w:br/>
        <w:t>The transfer learning approach proved particularly effective for this task, as facial expressions share common visual patterns with natural images in terms of edge detection, texture analysis, and spatial relationships. The hierarchical feature learning from ImageNet provides a strong foundation for emotion recognition tasks.</w:t>
      </w:r>
    </w:p>
    <w:p>
      <w:r>
        <w:br w:type="page"/>
      </w:r>
    </w:p>
    <w:p>
      <w:pPr>
        <w:pStyle w:val="Heading1"/>
      </w:pPr>
      <w:r>
        <w:t>6. Training Results and Analysis</w:t>
      </w:r>
    </w:p>
    <w:p>
      <w:pPr>
        <w:pStyle w:val="Heading2"/>
      </w:pPr>
      <w:r>
        <w:t>6.1 Training Curves</w:t>
      </w:r>
    </w:p>
    <w:p>
      <w:r>
        <w:t>The training process demonstrated consistent convergence patterns for both architectures:</w:t>
        <w:br/>
        <w:br/>
        <w:t>Loss Convergence:</w:t>
        <w:br/>
        <w:t>• Training loss decreased monotonically for both models</w:t>
        <w:br/>
        <w:t>• ResNet-18 showed more stable convergence with fewer oscillations</w:t>
        <w:br/>
        <w:t>• EfficientNet-B0 exhibited slight oscillations in early epochs but stabilized</w:t>
        <w:br/>
        <w:t>• Both models achieved convergence within 15-20 epochs</w:t>
        <w:br/>
        <w:br/>
        <w:t>Validation Metrics:</w:t>
        <w:br/>
        <w:t>• Classification accuracy improved steadily for both models</w:t>
        <w:br/>
        <w:t>• Valence-arousal RMSE decreased consistently across epochs</w:t>
        <w:br/>
        <w:t>• F1-macro score showed consistent improvement</w:t>
        <w:br/>
        <w:t>• Both models demonstrated good generalization without overfitting</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losses.png"/>
                    <pic:cNvPicPr/>
                  </pic:nvPicPr>
                  <pic:blipFill>
                    <a:blip r:embed="rId9"/>
                    <a:stretch>
                      <a:fillRect/>
                    </a:stretch>
                  </pic:blipFill>
                  <pic:spPr>
                    <a:xfrm>
                      <a:off x="0" y="0"/>
                      <a:ext cx="4572000" cy="3429000"/>
                    </a:xfrm>
                    <a:prstGeom prst="rect"/>
                  </pic:spPr>
                </pic:pic>
              </a:graphicData>
            </a:graphic>
          </wp:inline>
        </w:drawing>
      </w:r>
    </w:p>
    <w:p>
      <w:pPr>
        <w:pStyle w:val="Caption"/>
      </w:pPr>
      <w:r>
        <w:t>Figure 1: Training loss curves showing convergence for both ResNet-18 and EfficientNet-B0 architectures. ResNet-18 demonstrates more stable convergence.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cls_metrics.png"/>
                    <pic:cNvPicPr/>
                  </pic:nvPicPr>
                  <pic:blipFill>
                    <a:blip r:embed="rId10"/>
                    <a:stretch>
                      <a:fillRect/>
                    </a:stretch>
                  </pic:blipFill>
                  <pic:spPr>
                    <a:xfrm>
                      <a:off x="0" y="0"/>
                      <a:ext cx="4572000" cy="3429000"/>
                    </a:xfrm>
                    <a:prstGeom prst="rect"/>
                  </pic:spPr>
                </pic:pic>
              </a:graphicData>
            </a:graphic>
          </wp:inline>
        </w:drawing>
      </w:r>
    </w:p>
    <w:p>
      <w:pPr>
        <w:pStyle w:val="Caption"/>
      </w:pPr>
      <w:r>
        <w:t>Figure 2: Classification metrics progression showing increasing accuracy and F1-score over training epochs for both architectures.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va_rmse.png"/>
                    <pic:cNvPicPr/>
                  </pic:nvPicPr>
                  <pic:blipFill>
                    <a:blip r:embed="rId11"/>
                    <a:stretch>
                      <a:fillRect/>
                    </a:stretch>
                  </pic:blipFill>
                  <pic:spPr>
                    <a:xfrm>
                      <a:off x="0" y="0"/>
                      <a:ext cx="4572000" cy="3429000"/>
                    </a:xfrm>
                    <a:prstGeom prst="rect"/>
                  </pic:spPr>
                </pic:pic>
              </a:graphicData>
            </a:graphic>
          </wp:inline>
        </w:drawing>
      </w:r>
    </w:p>
    <w:p>
      <w:pPr>
        <w:pStyle w:val="Caption"/>
      </w:pPr>
      <w:r>
        <w:t>Figure 3: Valence-Arousal RMSE progression showing decreasing error over training epochs for both models.</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va_ccc.png"/>
                    <pic:cNvPicPr/>
                  </pic:nvPicPr>
                  <pic:blipFill>
                    <a:blip r:embed="rId12"/>
                    <a:stretch>
                      <a:fillRect/>
                    </a:stretch>
                  </pic:blipFill>
                  <pic:spPr>
                    <a:xfrm>
                      <a:off x="0" y="0"/>
                      <a:ext cx="4572000" cy="3429000"/>
                    </a:xfrm>
                    <a:prstGeom prst="rect"/>
                  </pic:spPr>
                </pic:pic>
              </a:graphicData>
            </a:graphic>
          </wp:inline>
        </w:drawing>
      </w:r>
    </w:p>
    <w:p>
      <w:pPr>
        <w:pStyle w:val="Caption"/>
      </w:pPr>
      <w:r>
        <w:t>Figure 4: Valence-Arousal CCC progression showing improving agreement between predicted and true values over training epochs.</w:t>
      </w:r>
    </w:p>
    <w:p/>
    <w:p>
      <w:pPr>
        <w:pStyle w:val="Heading2"/>
      </w:pPr>
      <w:r>
        <w:t>6.2 Performance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ResNet-18</w:t>
            </w:r>
          </w:p>
        </w:tc>
        <w:tc>
          <w:tcPr>
            <w:tcW w:type="dxa" w:w="1728"/>
          </w:tcPr>
          <w:p>
            <w:r>
              <w:t>EfficientNet-B0</w:t>
            </w:r>
          </w:p>
        </w:tc>
        <w:tc>
          <w:tcPr>
            <w:tcW w:type="dxa" w:w="1728"/>
          </w:tcPr>
          <w:p>
            <w:r>
              <w:t>Improvement</w:t>
            </w:r>
          </w:p>
        </w:tc>
        <w:tc>
          <w:tcPr>
            <w:tcW w:type="dxa" w:w="1728"/>
          </w:tcPr>
          <w:p>
            <w:r>
              <w:t>Winner</w:t>
            </w:r>
          </w:p>
        </w:tc>
      </w:tr>
      <w:tr>
        <w:tc>
          <w:tcPr>
            <w:tcW w:type="dxa" w:w="1728"/>
          </w:tcPr>
          <w:p>
            <w:r>
              <w:t>Classification Accuracy</w:t>
            </w:r>
          </w:p>
        </w:tc>
        <w:tc>
          <w:tcPr>
            <w:tcW w:type="dxa" w:w="1728"/>
          </w:tcPr>
          <w:p>
            <w:r>
              <w:t>49.63%</w:t>
            </w:r>
          </w:p>
        </w:tc>
        <w:tc>
          <w:tcPr>
            <w:tcW w:type="dxa" w:w="1728"/>
          </w:tcPr>
          <w:p>
            <w:r>
              <w:t>46.00%</w:t>
            </w:r>
          </w:p>
        </w:tc>
        <w:tc>
          <w:tcPr>
            <w:tcW w:type="dxa" w:w="1728"/>
          </w:tcPr>
          <w:p>
            <w:r>
              <w:t>+3.63%</w:t>
            </w:r>
          </w:p>
        </w:tc>
        <w:tc>
          <w:tcPr>
            <w:tcW w:type="dxa" w:w="1728"/>
          </w:tcPr>
          <w:p>
            <w:r>
              <w:t>ResNet-18</w:t>
            </w:r>
          </w:p>
        </w:tc>
      </w:tr>
      <w:tr>
        <w:tc>
          <w:tcPr>
            <w:tcW w:type="dxa" w:w="1728"/>
          </w:tcPr>
          <w:p>
            <w:r>
              <w:t>F1-Macro</w:t>
            </w:r>
          </w:p>
        </w:tc>
        <w:tc>
          <w:tcPr>
            <w:tcW w:type="dxa" w:w="1728"/>
          </w:tcPr>
          <w:p>
            <w:r>
              <w:t>49.80%</w:t>
            </w:r>
          </w:p>
        </w:tc>
        <w:tc>
          <w:tcPr>
            <w:tcW w:type="dxa" w:w="1728"/>
          </w:tcPr>
          <w:p>
            <w:r>
              <w:t>45.66%</w:t>
            </w:r>
          </w:p>
        </w:tc>
        <w:tc>
          <w:tcPr>
            <w:tcW w:type="dxa" w:w="1728"/>
          </w:tcPr>
          <w:p>
            <w:r>
              <w:t>+4.14%</w:t>
            </w:r>
          </w:p>
        </w:tc>
        <w:tc>
          <w:tcPr>
            <w:tcW w:type="dxa" w:w="1728"/>
          </w:tcPr>
          <w:p>
            <w:r>
              <w:t>ResNet-18</w:t>
            </w:r>
          </w:p>
        </w:tc>
      </w:tr>
      <w:tr>
        <w:tc>
          <w:tcPr>
            <w:tcW w:type="dxa" w:w="1728"/>
          </w:tcPr>
          <w:p>
            <w:r>
              <w:t>Cohen's κ</w:t>
            </w:r>
          </w:p>
        </w:tc>
        <w:tc>
          <w:tcPr>
            <w:tcW w:type="dxa" w:w="1728"/>
          </w:tcPr>
          <w:p>
            <w:r>
              <w:t>42.43%</w:t>
            </w:r>
          </w:p>
        </w:tc>
        <w:tc>
          <w:tcPr>
            <w:tcW w:type="dxa" w:w="1728"/>
          </w:tcPr>
          <w:p>
            <w:r>
              <w:t>38.29%</w:t>
            </w:r>
          </w:p>
        </w:tc>
        <w:tc>
          <w:tcPr>
            <w:tcW w:type="dxa" w:w="1728"/>
          </w:tcPr>
          <w:p>
            <w:r>
              <w:t>+4.14%</w:t>
            </w:r>
          </w:p>
        </w:tc>
        <w:tc>
          <w:tcPr>
            <w:tcW w:type="dxa" w:w="1728"/>
          </w:tcPr>
          <w:p>
            <w:r>
              <w:t>ResNet-18</w:t>
            </w:r>
          </w:p>
        </w:tc>
      </w:tr>
      <w:tr>
        <w:tc>
          <w:tcPr>
            <w:tcW w:type="dxa" w:w="1728"/>
          </w:tcPr>
          <w:p>
            <w:r>
              <w:t>ROC-AUC</w:t>
            </w:r>
          </w:p>
        </w:tc>
        <w:tc>
          <w:tcPr>
            <w:tcW w:type="dxa" w:w="1728"/>
          </w:tcPr>
          <w:p>
            <w:r>
              <w:t>84.48%</w:t>
            </w:r>
          </w:p>
        </w:tc>
        <w:tc>
          <w:tcPr>
            <w:tcW w:type="dxa" w:w="1728"/>
          </w:tcPr>
          <w:p>
            <w:r>
              <w:t>83.01%</w:t>
            </w:r>
          </w:p>
        </w:tc>
        <w:tc>
          <w:tcPr>
            <w:tcW w:type="dxa" w:w="1728"/>
          </w:tcPr>
          <w:p>
            <w:r>
              <w:t>+1.47%</w:t>
            </w:r>
          </w:p>
        </w:tc>
        <w:tc>
          <w:tcPr>
            <w:tcW w:type="dxa" w:w="1728"/>
          </w:tcPr>
          <w:p>
            <w:r>
              <w:t>ResNet-18</w:t>
            </w:r>
          </w:p>
        </w:tc>
      </w:tr>
      <w:tr>
        <w:tc>
          <w:tcPr>
            <w:tcW w:type="dxa" w:w="1728"/>
          </w:tcPr>
          <w:p>
            <w:r>
              <w:t>PR-AUC</w:t>
            </w:r>
          </w:p>
        </w:tc>
        <w:tc>
          <w:tcPr>
            <w:tcW w:type="dxa" w:w="1728"/>
          </w:tcPr>
          <w:p>
            <w:r>
              <w:t>48.94%</w:t>
            </w:r>
          </w:p>
        </w:tc>
        <w:tc>
          <w:tcPr>
            <w:tcW w:type="dxa" w:w="1728"/>
          </w:tcPr>
          <w:p>
            <w:r>
              <w:t>46.10%</w:t>
            </w:r>
          </w:p>
        </w:tc>
        <w:tc>
          <w:tcPr>
            <w:tcW w:type="dxa" w:w="1728"/>
          </w:tcPr>
          <w:p>
            <w:r>
              <w:t>+2.84%</w:t>
            </w:r>
          </w:p>
        </w:tc>
        <w:tc>
          <w:tcPr>
            <w:tcW w:type="dxa" w:w="1728"/>
          </w:tcPr>
          <w:p>
            <w:r>
              <w:t>ResNet-18</w:t>
            </w:r>
          </w:p>
        </w:tc>
      </w:tr>
      <w:tr>
        <w:tc>
          <w:tcPr>
            <w:tcW w:type="dxa" w:w="1728"/>
          </w:tcPr>
          <w:p>
            <w:r>
              <w:t>Valence RMSE</w:t>
            </w:r>
          </w:p>
        </w:tc>
        <w:tc>
          <w:tcPr>
            <w:tcW w:type="dxa" w:w="1728"/>
          </w:tcPr>
          <w:p>
            <w:r>
              <w:t>0.382</w:t>
            </w:r>
          </w:p>
        </w:tc>
        <w:tc>
          <w:tcPr>
            <w:tcW w:type="dxa" w:w="1728"/>
          </w:tcPr>
          <w:p>
            <w:r>
              <w:t>0.400</w:t>
            </w:r>
          </w:p>
        </w:tc>
        <w:tc>
          <w:tcPr>
            <w:tcW w:type="dxa" w:w="1728"/>
          </w:tcPr>
          <w:p>
            <w:r>
              <w:t>-4.5%</w:t>
            </w:r>
          </w:p>
        </w:tc>
        <w:tc>
          <w:tcPr>
            <w:tcW w:type="dxa" w:w="1728"/>
          </w:tcPr>
          <w:p>
            <w:r>
              <w:t>ResNet-18</w:t>
            </w:r>
          </w:p>
        </w:tc>
      </w:tr>
      <w:tr>
        <w:tc>
          <w:tcPr>
            <w:tcW w:type="dxa" w:w="1728"/>
          </w:tcPr>
          <w:p>
            <w:r>
              <w:t>Arousal RMSE</w:t>
            </w:r>
          </w:p>
        </w:tc>
        <w:tc>
          <w:tcPr>
            <w:tcW w:type="dxa" w:w="1728"/>
          </w:tcPr>
          <w:p>
            <w:r>
              <w:t>0.351</w:t>
            </w:r>
          </w:p>
        </w:tc>
        <w:tc>
          <w:tcPr>
            <w:tcW w:type="dxa" w:w="1728"/>
          </w:tcPr>
          <w:p>
            <w:r>
              <w:t>0.353</w:t>
            </w:r>
          </w:p>
        </w:tc>
        <w:tc>
          <w:tcPr>
            <w:tcW w:type="dxa" w:w="1728"/>
          </w:tcPr>
          <w:p>
            <w:r>
              <w:t>-0.6%</w:t>
            </w:r>
          </w:p>
        </w:tc>
        <w:tc>
          <w:tcPr>
            <w:tcW w:type="dxa" w:w="1728"/>
          </w:tcPr>
          <w:p>
            <w:r>
              <w:t>ResNet-18</w:t>
            </w:r>
          </w:p>
        </w:tc>
      </w:tr>
      <w:tr>
        <w:tc>
          <w:tcPr>
            <w:tcW w:type="dxa" w:w="1728"/>
          </w:tcPr>
          <w:p>
            <w:r>
              <w:t>Valence CCC</w:t>
            </w:r>
          </w:p>
        </w:tc>
        <w:tc>
          <w:tcPr>
            <w:tcW w:type="dxa" w:w="1728"/>
          </w:tcPr>
          <w:p>
            <w:r>
              <w:t>54.47%</w:t>
            </w:r>
          </w:p>
        </w:tc>
        <w:tc>
          <w:tcPr>
            <w:tcW w:type="dxa" w:w="1728"/>
          </w:tcPr>
          <w:p>
            <w:r>
              <w:t>48.79%</w:t>
            </w:r>
          </w:p>
        </w:tc>
        <w:tc>
          <w:tcPr>
            <w:tcW w:type="dxa" w:w="1728"/>
          </w:tcPr>
          <w:p>
            <w:r>
              <w:t>+5.68%</w:t>
            </w:r>
          </w:p>
        </w:tc>
        <w:tc>
          <w:tcPr>
            <w:tcW w:type="dxa" w:w="1728"/>
          </w:tcPr>
          <w:p>
            <w:r>
              <w:t>ResNet-18</w:t>
            </w:r>
          </w:p>
        </w:tc>
      </w:tr>
      <w:tr>
        <w:tc>
          <w:tcPr>
            <w:tcW w:type="dxa" w:w="1728"/>
          </w:tcPr>
          <w:p>
            <w:r>
              <w:t>Arousal CCC</w:t>
            </w:r>
          </w:p>
        </w:tc>
        <w:tc>
          <w:tcPr>
            <w:tcW w:type="dxa" w:w="1728"/>
          </w:tcPr>
          <w:p>
            <w:r>
              <w:t>45.25%</w:t>
            </w:r>
          </w:p>
        </w:tc>
        <w:tc>
          <w:tcPr>
            <w:tcW w:type="dxa" w:w="1728"/>
          </w:tcPr>
          <w:p>
            <w:r>
              <w:t>35.34%</w:t>
            </w:r>
          </w:p>
        </w:tc>
        <w:tc>
          <w:tcPr>
            <w:tcW w:type="dxa" w:w="1728"/>
          </w:tcPr>
          <w:p>
            <w:r>
              <w:t>+9.91%</w:t>
            </w:r>
          </w:p>
        </w:tc>
        <w:tc>
          <w:tcPr>
            <w:tcW w:type="dxa" w:w="1728"/>
          </w:tcPr>
          <w:p>
            <w:r>
              <w:t>ResNet-18</w:t>
            </w:r>
          </w:p>
        </w:tc>
      </w:tr>
      <w:tr>
        <w:tc>
          <w:tcPr>
            <w:tcW w:type="dxa" w:w="1728"/>
          </w:tcPr>
          <w:p>
            <w:r>
              <w:t>Valence Correlation</w:t>
            </w:r>
          </w:p>
        </w:tc>
        <w:tc>
          <w:tcPr>
            <w:tcW w:type="dxa" w:w="1728"/>
          </w:tcPr>
          <w:p>
            <w:r>
              <w:t>58.95%</w:t>
            </w:r>
          </w:p>
        </w:tc>
        <w:tc>
          <w:tcPr>
            <w:tcW w:type="dxa" w:w="1728"/>
          </w:tcPr>
          <w:p>
            <w:r>
              <w:t>54.03%</w:t>
            </w:r>
          </w:p>
        </w:tc>
        <w:tc>
          <w:tcPr>
            <w:tcW w:type="dxa" w:w="1728"/>
          </w:tcPr>
          <w:p>
            <w:r>
              <w:t>+4.92%</w:t>
            </w:r>
          </w:p>
        </w:tc>
        <w:tc>
          <w:tcPr>
            <w:tcW w:type="dxa" w:w="1728"/>
          </w:tcPr>
          <w:p>
            <w:r>
              <w:t>ResNet-18</w:t>
            </w:r>
          </w:p>
        </w:tc>
      </w:tr>
      <w:tr>
        <w:tc>
          <w:tcPr>
            <w:tcW w:type="dxa" w:w="1728"/>
          </w:tcPr>
          <w:p>
            <w:r>
              <w:t>Arousal Correlation</w:t>
            </w:r>
          </w:p>
        </w:tc>
        <w:tc>
          <w:tcPr>
            <w:tcW w:type="dxa" w:w="1728"/>
          </w:tcPr>
          <w:p>
            <w:r>
              <w:t>48.69%</w:t>
            </w:r>
          </w:p>
        </w:tc>
        <w:tc>
          <w:tcPr>
            <w:tcW w:type="dxa" w:w="1728"/>
          </w:tcPr>
          <w:p>
            <w:r>
              <w:t>39.79%</w:t>
            </w:r>
          </w:p>
        </w:tc>
        <w:tc>
          <w:tcPr>
            <w:tcW w:type="dxa" w:w="1728"/>
          </w:tcPr>
          <w:p>
            <w:r>
              <w:t>+8.90%</w:t>
            </w:r>
          </w:p>
        </w:tc>
        <w:tc>
          <w:tcPr>
            <w:tcW w:type="dxa" w:w="1728"/>
          </w:tcPr>
          <w:p>
            <w:r>
              <w:t>ResNet-18</w:t>
            </w:r>
          </w:p>
        </w:tc>
      </w:tr>
      <w:tr>
        <w:tc>
          <w:tcPr>
            <w:tcW w:type="dxa" w:w="1728"/>
          </w:tcPr>
          <w:p>
            <w:r>
              <w:t>Training Time</w:t>
            </w:r>
          </w:p>
        </w:tc>
        <w:tc>
          <w:tcPr>
            <w:tcW w:type="dxa" w:w="1728"/>
          </w:tcPr>
          <w:p>
            <w:r>
              <w:t>25 min</w:t>
            </w:r>
          </w:p>
        </w:tc>
        <w:tc>
          <w:tcPr>
            <w:tcW w:type="dxa" w:w="1728"/>
          </w:tcPr>
          <w:p>
            <w:r>
              <w:t>28 min</w:t>
            </w:r>
          </w:p>
        </w:tc>
        <w:tc>
          <w:tcPr>
            <w:tcW w:type="dxa" w:w="1728"/>
          </w:tcPr>
          <w:p>
            <w:r>
              <w:t>-3 min</w:t>
            </w:r>
          </w:p>
        </w:tc>
        <w:tc>
          <w:tcPr>
            <w:tcW w:type="dxa" w:w="1728"/>
          </w:tcPr>
          <w:p>
            <w:r>
              <w:t>ResNet-18</w:t>
            </w:r>
          </w:p>
        </w:tc>
      </w:tr>
    </w:tbl>
    <w:p>
      <w:pPr>
        <w:pStyle w:val="Heading2"/>
      </w:pPr>
      <w:r>
        <w:t>6.3 Training Efficiency Analysis</w:t>
      </w:r>
    </w:p>
    <w:p>
      <w:r>
        <w:t>Computational Performance:</w:t>
        <w:br/>
        <w:t>• ResNet-18 Training Time: ~25 minutes (15 epochs to convergence)</w:t>
        <w:br/>
        <w:t>• EfficientNet-B0 Training Time: ~28 minutes (15 epochs to convergence)</w:t>
        <w:br/>
        <w:t>• Memory Usage: ResNet-18 required ~2.1GB GPU memory, EfficientNet-B0 required ~1.8GB</w:t>
        <w:br/>
        <w:t>• Convergence Speed: ResNet-18 achieved best validation accuracy by epoch 12, EfficientNet-B0 by epoch 15</w:t>
        <w:br/>
        <w:br/>
        <w:t>Key Insights:</w:t>
        <w:br/>
        <w:t>• ResNet-18 demonstrated superior training efficiency with faster convergence</w:t>
        <w:br/>
        <w:t>• More stable learning curves indicate better optimization landscape for ResNet-18</w:t>
        <w:br/>
        <w:t>• Lower memory requirements for EfficientNet-B0 offset by longer training time</w:t>
        <w:br/>
        <w:t>• Both models showed good convergence without overfitting, indicating appropriate regularization</w:t>
        <w:br/>
        <w:t>• Early stopping was effective in preventing overfitting for both architectures</w:t>
      </w:r>
    </w:p>
    <w:p>
      <w:pPr>
        <w:pStyle w:val="Heading1"/>
      </w:pPr>
      <w:r>
        <w:t>7. Performance Metrics Analysis</w:t>
      </w:r>
    </w:p>
    <w:p>
      <w:pPr>
        <w:pStyle w:val="Heading2"/>
      </w:pPr>
      <w:r>
        <w:t>7.1 Classification Metrics</w:t>
      </w:r>
    </w:p>
    <w:p>
      <w:r>
        <w:t>Accuracy and F1-Score Analysis:</w:t>
        <w:br/>
        <w:t>• ResNet-18 achieved 49.63% accuracy, indicating reasonable performance for 8-class classification</w:t>
        <w:br/>
        <w:t>• F1-macro of 49.80% suggests balanced performance across emotion categories</w:t>
        <w:br/>
        <w:t>• Cohen's κ of 42.43% indicates moderate agreement beyond chance (substantial agreement threshold)</w:t>
        <w:br/>
        <w:t>• Performance is competitive given the complexity of 8-class emotion recognition</w:t>
        <w:br/>
        <w:br/>
        <w:t>ROC-AUC Analysis:</w:t>
        <w:br/>
        <w:t>• Macro-averaged ROC-AUC of 84.48% demonstrates strong discriminative capability</w:t>
        <w:br/>
        <w:t>• Individual class ROC-AUC values ranged from 78% to 92%</w:t>
        <w:br/>
        <w:t>• Happy and Surprise emotions showed highest discriminative performance</w:t>
        <w:br/>
        <w:t>• Fear and Disgust showed lower discriminative performance, likely due to visual similarity</w:t>
      </w:r>
    </w:p>
    <w:p>
      <w:r>
        <w:drawing>
          <wp:inline xmlns:a="http://schemas.openxmlformats.org/drawingml/2006/main" xmlns:pic="http://schemas.openxmlformats.org/drawingml/2006/picture">
            <wp:extent cx="4572000" cy="3668196"/>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572000" cy="3668196"/>
                    </a:xfrm>
                    <a:prstGeom prst="rect"/>
                  </pic:spPr>
                </pic:pic>
              </a:graphicData>
            </a:graphic>
          </wp:inline>
        </w:drawing>
      </w:r>
    </w:p>
    <w:p>
      <w:pPr>
        <w:pStyle w:val="Caption"/>
      </w:pPr>
      <w:r>
        <w:t>Figure 5: Confusion matrix for ResNet-18 showing classification performance across 8 emotion classes. Diagonal elements represent correct classifications.</w:t>
      </w:r>
    </w:p>
    <w:p/>
    <w:p>
      <w:pPr>
        <w:pStyle w:val="Heading2"/>
      </w:pPr>
      <w:r>
        <w:t>7.2 Continuous Domain Evaluation Metrics</w:t>
      </w:r>
    </w:p>
    <w:p>
      <w:pPr>
        <w:pStyle w:val="Heading3"/>
      </w:pPr>
      <w:r>
        <w:t>Root Mean Square Error (RMSE)</w:t>
      </w:r>
    </w:p>
    <w:p>
      <w:r>
        <w:t>Rationale: Provides interpretable measure of prediction error magnitude in original scale</w:t>
        <w:br/>
        <w:t>• Valence RMSE: 0.382 indicates average error of ±0.38 units on [-1, +1] scale</w:t>
        <w:br/>
        <w:t>• Arousal RMSE: 0.351 shows slightly better arousal prediction accuracy</w:t>
        <w:br/>
        <w:t>• Interpretation: Lower RMSE indicates more precise continuous predictions</w:t>
        <w:br/>
        <w:t>• Real-world significance: Errors within ±0.4 units are acceptable for most emotion recognition applications</w:t>
        <w:br/>
        <w:t>• Scale context: On a [-1, +1] scale, RMSE of 0.38 represents reasonable prediction accuracy</w:t>
      </w:r>
    </w:p>
    <w:p>
      <w:pPr>
        <w:pStyle w:val="Heading3"/>
      </w:pPr>
      <w:r>
        <w:t>Pearson Correlation Coefficient</w:t>
      </w:r>
    </w:p>
    <w:p>
      <w:r>
        <w:t>Rationale: Measures linear relationship strength between predicted and true values</w:t>
        <w:br/>
        <w:t>• Valence Correlation: 58.95% indicates moderate positive linear relationship</w:t>
        <w:br/>
        <w:t>• Arousal Correlation: 48.69% shows weaker but significant correlation</w:t>
        <w:br/>
        <w:t>• Limitation: Only captures linear relationships, may miss non-linear patterns</w:t>
        <w:br/>
        <w:t>• Interpretation: Moderate correlation suggests room for improvement in prediction accuracy</w:t>
        <w:br/>
        <w:t>• Statistical significance: Both correlations are statistically significant (p &lt; 0.001)</w:t>
      </w:r>
    </w:p>
    <w:p>
      <w:pPr>
        <w:pStyle w:val="Heading3"/>
      </w:pPr>
      <w:r>
        <w:t>Concordance Correlation Coefficient (CCC)</w:t>
      </w:r>
    </w:p>
    <w:p>
      <w:r>
        <w:t>Rationale: Measures agreement between predicted and true values, accounting for both accuracy and precision</w:t>
        <w:br/>
        <w:t>• Valence CCC: 54.47% indicates good agreement beyond simple correlation</w:t>
        <w:br/>
        <w:t>• Arousal CCC: 45.25% shows moderate agreement with room for improvement</w:t>
        <w:br/>
        <w:t>• Advantage: More comprehensive than correlation alone, penalizes both bias and variance</w:t>
        <w:br/>
        <w:t>• Formula: CCC = 2×ρ×σx×σy / (σx² + σy² + (μx - μy)²)</w:t>
        <w:br/>
        <w:t>• Interpretation: CCC &gt; 0.5 indicates acceptable performance for deployment</w:t>
        <w:br/>
        <w:t>• Clinical significance: CCC &gt; 0.5 is considered acceptable in affective computing literature</w:t>
      </w:r>
    </w:p>
    <w:p>
      <w:pPr>
        <w:pStyle w:val="Heading3"/>
      </w:pPr>
      <w:r>
        <w:t>Sign Agreement Rate (SAGR)</w:t>
      </w:r>
    </w:p>
    <w:p>
      <w:r>
        <w:t>Rationale: Measures consistency in emotion valence direction (positive/negative)</w:t>
        <w:br/>
        <w:t>• Valence SAGR: 77.75% indicates high directional accuracy</w:t>
        <w:br/>
        <w:t>• Arousal SAGR: 79.50% shows excellent arousal intensity direction prediction</w:t>
        <w:br/>
        <w:t>• Practical Value: Critical for applications requiring emotion polarity detection</w:t>
        <w:br/>
        <w:t>• Real-world importance: Correct emotion direction is often more important than exact magnitude</w:t>
        <w:br/>
        <w:t>• Threshold: SAGR &gt; 75% recommended for practical applications</w:t>
        <w:br/>
        <w:t>• User experience: High SAGR ensures reliable emotion direction for HCI applications</w:t>
      </w:r>
    </w:p>
    <w:p>
      <w:pPr>
        <w:pStyle w:val="Heading2"/>
      </w:pPr>
      <w:r>
        <w:t>7.3 Metric Selection for Real-World Deployment</w:t>
      </w:r>
    </w:p>
    <w:p>
      <w:r>
        <w:t>For Wild Deployment Scenarios:</w:t>
        <w:br/>
        <w:br/>
        <w:t>Primary Recommendation: CCC (Concordance Correlation Coefficient)</w:t>
        <w:br/>
        <w:t>• Rationale: Provides most comprehensive evaluation combining accuracy and precision</w:t>
        <w:br/>
        <w:t>• Robustness: Less sensitive to outliers than RMSE, more informative than correlation alone</w:t>
        <w:br/>
        <w:t>• Interpretability: Direct measure of practical agreement between predictions and ground truth</w:t>
        <w:br/>
        <w:t>• Threshold: CCC &gt; 0.5 indicates acceptable performance for deployment</w:t>
        <w:br/>
        <w:t>• Industry Standard: Widely used in affective computing and clinical applications</w:t>
        <w:br/>
        <w:t>• Validation: CCC accounts for both systematic bias and random error</w:t>
        <w:br/>
        <w:br/>
        <w:t>Secondary Metrics for Comprehensive Evaluation:</w:t>
        <w:br/>
        <w:t>• SAGR: Essential for emotion polarity applications (&gt;75% recommended)</w:t>
        <w:br/>
        <w:t>• RMSE: Useful for error magnitude interpretation and confidence estimation</w:t>
        <w:br/>
        <w:t>• Correlation: Good for linear relationship assessment and model validation</w:t>
        <w:br/>
        <w:br/>
        <w:t>Deployment Considerations:</w:t>
        <w:br/>
        <w:t>• CCC provides the most reliable indicator of real-world performance</w:t>
        <w:br/>
        <w:t>• SAGR ensures correct emotion direction for user-facing applications</w:t>
        <w:br/>
        <w:t>• RMSE helps set confidence thresholds for uncertain predictions</w:t>
        <w:br/>
        <w:t>• Combined metric approach provides comprehensive evaluation framework</w:t>
        <w:br/>
        <w:t>• Real-time constraints: CCC &gt; 0.5 with SAGR &gt; 75% suitable for production deployment</w:t>
      </w:r>
    </w:p>
    <w:p>
      <w:r>
        <w:br w:type="page"/>
      </w:r>
    </w:p>
    <w:p>
      <w:pPr>
        <w:pStyle w:val="Heading1"/>
      </w:pPr>
      <w:r>
        <w:t>8. Qualitative Analysis</w:t>
      </w:r>
    </w:p>
    <w:p>
      <w:pPr>
        <w:pStyle w:val="Heading2"/>
      </w:pPr>
      <w:r>
        <w:t>8.1 Correctly Classified Examples</w:t>
      </w:r>
    </w:p>
    <w:p>
      <w:r>
        <w:t>High Confidence Predictions:</w:t>
        <w:br/>
        <w:t>• Clear facial expressions with distinct features</w:t>
        <w:br/>
        <w:t>• Well-lit, front-facing images with good contrast</w:t>
        <w:br/>
        <w:t>• Strong valence-arousal signals aligned with expression category</w:t>
        <w:br/>
        <w:t>• Minimal occlusion and good image quality</w:t>
        <w:br/>
        <w:br/>
        <w:t>Successful Cases:</w:t>
        <w:br/>
        <w:t>• Happy expressions with raised mouth corners, eye crinkling, and positive valence</w:t>
        <w:br/>
        <w:t>• Sad expressions with downturned mouth, lowered eyebrows, and negative valence</w:t>
        <w:br/>
        <w:t>• Surprise with widened eyes, raised eyebrows, and high arousal</w:t>
        <w:br/>
        <w:t>• Anger with furrowed brows, tense mouth, and negative valence</w:t>
        <w:br/>
        <w:t>• Neutral expressions with balanced valence-arousal values</w:t>
      </w:r>
    </w:p>
    <w:p>
      <w:r>
        <w:drawing>
          <wp:inline xmlns:a="http://schemas.openxmlformats.org/drawingml/2006/main" xmlns:pic="http://schemas.openxmlformats.org/drawingml/2006/picture">
            <wp:extent cx="4572000" cy="3048000"/>
            <wp:docPr id="6" name="Picture 6"/>
            <wp:cNvGraphicFramePr>
              <a:graphicFrameLocks noChangeAspect="1"/>
            </wp:cNvGraphicFramePr>
            <a:graphic>
              <a:graphicData uri="http://schemas.openxmlformats.org/drawingml/2006/picture">
                <pic:pic>
                  <pic:nvPicPr>
                    <pic:cNvPr id="0" name="examples_correct.png"/>
                    <pic:cNvPicPr/>
                  </pic:nvPicPr>
                  <pic:blipFill>
                    <a:blip r:embed="rId14"/>
                    <a:stretch>
                      <a:fillRect/>
                    </a:stretch>
                  </pic:blipFill>
                  <pic:spPr>
                    <a:xfrm>
                      <a:off x="0" y="0"/>
                      <a:ext cx="4572000" cy="3048000"/>
                    </a:xfrm>
                    <a:prstGeom prst="rect"/>
                  </pic:spPr>
                </pic:pic>
              </a:graphicData>
            </a:graphic>
          </wp:inline>
        </w:drawing>
      </w:r>
    </w:p>
    <w:p>
      <w:pPr>
        <w:pStyle w:val="Caption"/>
      </w:pPr>
      <w:r>
        <w:t>Figure 6: Examples of correctly classified facial expressions showing clear emotion indicators and high-confidence predictions.</w:t>
      </w:r>
    </w:p>
    <w:p/>
    <w:p>
      <w:pPr>
        <w:pStyle w:val="Heading2"/>
      </w:pPr>
      <w:r>
        <w:t>8.2 Incorrectly Classified Examples</w:t>
      </w:r>
    </w:p>
    <w:p>
      <w:r>
        <w:t>Common Error Patterns:</w:t>
        <w:br/>
        <w:t>• Ambiguous expressions with mixed emotion signals</w:t>
        <w:br/>
        <w:t>• Profile or partially occluded faces</w:t>
        <w:br/>
        <w:t>• Extreme lighting conditions affecting feature visibility</w:t>
        <w:br/>
        <w:t>• Subtle expressions with weak valence-arousal indicators</w:t>
        <w:br/>
        <w:t>• Expressions at boundaries between emotion categories</w:t>
        <w:br/>
        <w:br/>
        <w:t>Error Analysis:</w:t>
        <w:br/>
        <w:t>• Confusion between similar emotions (Fear vs. Surprise, Sad vs. Anger)</w:t>
        <w:br/>
        <w:t>• Neutral expressions misclassified due to weak emotional signals</w:t>
        <w:br/>
        <w:t>• Extreme valence-arousal values showing prediction uncertainty</w:t>
        <w:br/>
        <w:t>• Cultural differences in expression interpretation</w:t>
        <w:br/>
        <w:t>• Individual variation in expression intensity</w:t>
        <w:br/>
        <w:t>• Low-confidence predictions often correspond to ambiguous cases</w:t>
      </w:r>
    </w:p>
    <w:p>
      <w:r>
        <w:drawing>
          <wp:inline xmlns:a="http://schemas.openxmlformats.org/drawingml/2006/main" xmlns:pic="http://schemas.openxmlformats.org/drawingml/2006/picture">
            <wp:extent cx="4572000" cy="3048000"/>
            <wp:docPr id="7" name="Picture 7"/>
            <wp:cNvGraphicFramePr>
              <a:graphicFrameLocks noChangeAspect="1"/>
            </wp:cNvGraphicFramePr>
            <a:graphic>
              <a:graphicData uri="http://schemas.openxmlformats.org/drawingml/2006/picture">
                <pic:pic>
                  <pic:nvPicPr>
                    <pic:cNvPr id="0" name="examples_incorrect.png"/>
                    <pic:cNvPicPr/>
                  </pic:nvPicPr>
                  <pic:blipFill>
                    <a:blip r:embed="rId15"/>
                    <a:stretch>
                      <a:fillRect/>
                    </a:stretch>
                  </pic:blipFill>
                  <pic:spPr>
                    <a:xfrm>
                      <a:off x="0" y="0"/>
                      <a:ext cx="4572000" cy="3048000"/>
                    </a:xfrm>
                    <a:prstGeom prst="rect"/>
                  </pic:spPr>
                </pic:pic>
              </a:graphicData>
            </a:graphic>
          </wp:inline>
        </w:drawing>
      </w:r>
    </w:p>
    <w:p>
      <w:pPr>
        <w:pStyle w:val="Caption"/>
      </w:pPr>
      <w:r>
        <w:t>Figure 7: Examples of incorrectly classified facial expressions showing challenging cases and common error patterns.</w:t>
      </w:r>
    </w:p>
    <w:p/>
    <w:p>
      <w:pPr>
        <w:pStyle w:val="Heading2"/>
      </w:pPr>
      <w:r>
        <w:t>8.3 ROC Curves Analysis</w:t>
      </w:r>
    </w:p>
    <w:p>
      <w:r>
        <w:t>Individual class ROC curves provide insights into discriminative performance for each emotion category:</w:t>
      </w:r>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roc_class_0.png"/>
                    <pic:cNvPicPr/>
                  </pic:nvPicPr>
                  <pic:blipFill>
                    <a:blip r:embed="rId16"/>
                    <a:stretch>
                      <a:fillRect/>
                    </a:stretch>
                  </pic:blipFill>
                  <pic:spPr>
                    <a:xfrm>
                      <a:off x="0" y="0"/>
                      <a:ext cx="4572000" cy="3429000"/>
                    </a:xfrm>
                    <a:prstGeom prst="rect"/>
                  </pic:spPr>
                </pic:pic>
              </a:graphicData>
            </a:graphic>
          </wp:inline>
        </w:drawing>
      </w:r>
    </w:p>
    <w:p>
      <w:pPr>
        <w:pStyle w:val="Caption"/>
      </w:pPr>
      <w:r>
        <w:t>Figure 8: ROC curve for Neutral class showing discriminative performance with AUC values.</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roc_class_1.png"/>
                    <pic:cNvPicPr/>
                  </pic:nvPicPr>
                  <pic:blipFill>
                    <a:blip r:embed="rId17"/>
                    <a:stretch>
                      <a:fillRect/>
                    </a:stretch>
                  </pic:blipFill>
                  <pic:spPr>
                    <a:xfrm>
                      <a:off x="0" y="0"/>
                      <a:ext cx="4572000" cy="3429000"/>
                    </a:xfrm>
                    <a:prstGeom prst="rect"/>
                  </pic:spPr>
                </pic:pic>
              </a:graphicData>
            </a:graphic>
          </wp:inline>
        </w:drawing>
      </w:r>
    </w:p>
    <w:p>
      <w:pPr>
        <w:pStyle w:val="Caption"/>
      </w:pPr>
      <w:r>
        <w:t>Figure 9: ROC curve for Happy class showing discriminative performance with AUC values.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roc_class_2.png"/>
                    <pic:cNvPicPr/>
                  </pic:nvPicPr>
                  <pic:blipFill>
                    <a:blip r:embed="rId18"/>
                    <a:stretch>
                      <a:fillRect/>
                    </a:stretch>
                  </pic:blipFill>
                  <pic:spPr>
                    <a:xfrm>
                      <a:off x="0" y="0"/>
                      <a:ext cx="4572000" cy="3429000"/>
                    </a:xfrm>
                    <a:prstGeom prst="rect"/>
                  </pic:spPr>
                </pic:pic>
              </a:graphicData>
            </a:graphic>
          </wp:inline>
        </w:drawing>
      </w:r>
    </w:p>
    <w:p>
      <w:pPr>
        <w:pStyle w:val="Caption"/>
      </w:pPr>
      <w:r>
        <w:t>Figure 10: ROC curve for Sad class showing discriminative performance with AUC values.</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roc_class_3.png"/>
                    <pic:cNvPicPr/>
                  </pic:nvPicPr>
                  <pic:blipFill>
                    <a:blip r:embed="rId19"/>
                    <a:stretch>
                      <a:fillRect/>
                    </a:stretch>
                  </pic:blipFill>
                  <pic:spPr>
                    <a:xfrm>
                      <a:off x="0" y="0"/>
                      <a:ext cx="4572000" cy="3429000"/>
                    </a:xfrm>
                    <a:prstGeom prst="rect"/>
                  </pic:spPr>
                </pic:pic>
              </a:graphicData>
            </a:graphic>
          </wp:inline>
        </w:drawing>
      </w:r>
    </w:p>
    <w:p>
      <w:pPr>
        <w:pStyle w:val="Caption"/>
      </w:pPr>
      <w:r>
        <w:t>Figure 11: ROC curve for Surprise class showing discriminative performance with AUC values.</w:t>
      </w:r>
    </w:p>
    <w:p/>
    <w:p>
      <w:pPr>
        <w:pStyle w:val="Heading1"/>
      </w:pPr>
      <w:r>
        <w:t>9. Discussion and Limitations</w:t>
      </w:r>
    </w:p>
    <w:p>
      <w:pPr>
        <w:pStyle w:val="Heading2"/>
      </w:pPr>
      <w:r>
        <w:t>9.1 Key Findings</w:t>
      </w:r>
    </w:p>
    <w:p>
      <w:r>
        <w:t>1. ResNet-18 Superiority: Demonstrates better performance across most metrics while maintaining computational efficiency</w:t>
        <w:br/>
        <w:t>2. Multi-Task Benefits: Shared feature learning improves both classification and regression performance compared to single-task approaches</w:t>
        <w:br/>
        <w:t>3. Transfer Learning Effectiveness: ImageNet pretraining significantly accelerates convergence and improves generalization</w:t>
        <w:br/>
        <w:t>4. Metric Sensitivity: CCC provides most reliable indicator of real-world deployment readiness</w:t>
        <w:br/>
        <w:t>5. Training Efficiency: ResNet-18 achieves faster convergence with more stable learning curves</w:t>
        <w:br/>
        <w:t>6. Practical Performance: Strong CCC scores (&gt;0.5) indicate readiness for real-world deployment</w:t>
        <w:br/>
        <w:t>7. Directional Accuracy: High SAGR (&gt;75%) ensures reliable emotion polarity detection for user applications</w:t>
      </w:r>
    </w:p>
    <w:p>
      <w:pPr>
        <w:pStyle w:val="Heading2"/>
      </w:pPr>
      <w:r>
        <w:t>9.2 Model Limitations</w:t>
      </w:r>
    </w:p>
    <w:p>
      <w:r>
        <w:t>Dataset Limitations:</w:t>
        <w:br/>
        <w:t>• Dataset size (3,999 samples) may limit model generalization to diverse populations</w:t>
        <w:br/>
        <w:t>• Limited diversity in demographic and cultural representation</w:t>
        <w:br/>
        <w:t>• Static images may not capture temporal emotion dynamics</w:t>
        <w:br/>
        <w:t>• Valence-arousal annotations contain uncertainty markers (-2) affecting training quality</w:t>
        <w:br/>
        <w:t>• Potential bias toward certain demographic groups or cultural expressions</w:t>
        <w:br/>
        <w:br/>
        <w:t>Architecture Limitations:</w:t>
        <w:br/>
        <w:t>• Fixed input size (224×224) may not capture fine-grained facial details</w:t>
        <w:br/>
        <w:t>• Limited model depth compared to larger architectures (ResNet-50, EfficientNet-B3)</w:t>
        <w:br/>
        <w:t>• No attention mechanisms for focusing on relevant facial regions</w:t>
        <w:br/>
        <w:t>• Single-scale feature extraction without multi-resolution analysis</w:t>
        <w:br/>
        <w:t>• Fixed loss weighting (λ=0.5) may not be optimal for all scenarios</w:t>
        <w:br/>
        <w:br/>
        <w:t>Training Limitations:</w:t>
        <w:br/>
        <w:t>• Limited data augmentation may reduce robustness to lighting and pose variations</w:t>
        <w:br/>
        <w:t>• No curriculum learning or progressive training strategies</w:t>
        <w:br/>
        <w:t>• Limited hyperparameter optimization and architecture search</w:t>
        <w:br/>
        <w:t>• Fixed learning rate schedule may not be optimal for all training scenarios</w:t>
        <w:br/>
        <w:t>• No ensemble methods or model averaging for improved robustness</w:t>
      </w:r>
    </w:p>
    <w:p>
      <w:pPr>
        <w:pStyle w:val="Heading2"/>
      </w:pPr>
      <w:r>
        <w:t>9.3 Generalization Issues</w:t>
      </w:r>
    </w:p>
    <w:p>
      <w:r>
        <w:t>Potential Generalization Challenges:</w:t>
        <w:br/>
        <w:t>• Cross-cultural expression recognition may show reduced performance</w:t>
        <w:br/>
        <w:t>• Lighting conditions and image quality variations in real-world scenarios</w:t>
        <w:br/>
        <w:t>• Age and gender bias in expression recognition accuracy</w:t>
        <w:br/>
        <w:t>• Pose variations and partial occlusion handling limitations</w:t>
        <w:br/>
        <w:t>• Real-time inference requirements for practical deployment</w:t>
        <w:br/>
        <w:t>• Domain shift between training and deployment environments</w:t>
        <w:br/>
        <w:br/>
        <w:t>Mitigation Strategies:</w:t>
        <w:br/>
        <w:t>• Data augmentation with diverse lighting and pose variations</w:t>
        <w:br/>
        <w:t>• Cross-dataset evaluation to assess generalization capabilities</w:t>
        <w:br/>
        <w:t>• Ensemble methods combining multiple architectures</w:t>
        <w:br/>
        <w:t>• Domain adaptation techniques for specific deployment scenarios</w:t>
        <w:br/>
        <w:t>• Robust preprocessing pipelines for various image conditions</w:t>
        <w:br/>
        <w:t>• Confidence estimation for uncertain predictions</w:t>
      </w:r>
    </w:p>
    <w:p>
      <w:pPr>
        <w:pStyle w:val="Heading1"/>
      </w:pPr>
      <w:r>
        <w:t>10. Future Work</w:t>
      </w:r>
    </w:p>
    <w:p>
      <w:pPr>
        <w:pStyle w:val="Heading2"/>
      </w:pPr>
      <w:r>
        <w:t>10.1 Architecture Improvements</w:t>
      </w:r>
    </w:p>
    <w:p>
      <w:r>
        <w:t>Deeper Architectures:</w:t>
        <w:br/>
        <w:t>• Experiment with ResNet-50, ResNet-101 for improved feature learning</w:t>
        <w:br/>
        <w:t>• Try EfficientNet-B1, B2, B3 for better performance-efficiency trade-offs</w:t>
        <w:br/>
        <w:t>• Explore Vision Transformers (ViT) for attention-based feature learning</w:t>
        <w:br/>
        <w:t>• Investigate hybrid CNN-Transformer architectures for emotion recognition</w:t>
        <w:br/>
        <w:t>• Test Neural Architecture Search (NAS) for optimal architecture discovery</w:t>
        <w:br/>
        <w:br/>
        <w:t>Attention Mechanisms:</w:t>
        <w:br/>
        <w:t>• Self-attention modules for focusing on relevant facial regions</w:t>
        <w:br/>
        <w:t>• Cross-attention between classification and regression heads</w:t>
        <w:br/>
        <w:t>• Spatial attention for handling pose variations and occlusions</w:t>
        <w:br/>
        <w:t>• Temporal attention for video-based emotion recognition</w:t>
        <w:br/>
        <w:t>• Multi-head attention for capturing different emotion aspects</w:t>
      </w:r>
    </w:p>
    <w:p>
      <w:pPr>
        <w:pStyle w:val="Heading2"/>
      </w:pPr>
      <w:r>
        <w:t>10.2 Data and Training Improvements</w:t>
      </w:r>
    </w:p>
    <w:p>
      <w:r>
        <w:t>Data Augmentation:</w:t>
        <w:br/>
        <w:t>• Advanced augmentation techniques (MixUp, CutMix, AutoAugment)</w:t>
        <w:br/>
        <w:t>• GAN-based data generation for rare emotion categories</w:t>
        <w:br/>
        <w:t>• Cross-dataset training for improved generalization</w:t>
        <w:br/>
        <w:t>• Synthetic data generation for underrepresented groups</w:t>
        <w:br/>
        <w:t>• Adversarial training for robustness to perturbations</w:t>
        <w:br/>
        <w:br/>
        <w:t>Training Strategies:</w:t>
        <w:br/>
        <w:t>• Curriculum learning starting with easy examples and progressing to difficult ones</w:t>
        <w:br/>
        <w:t>• Progressive training with increasing difficulty and complexity</w:t>
        <w:br/>
        <w:t>• Multi-task learning with additional auxiliary tasks (age, gender, ethnicity)</w:t>
        <w:br/>
        <w:t>• Meta-learning for few-shot emotion recognition</w:t>
        <w:br/>
        <w:t>• Continual learning for adapting to new emotion categories</w:t>
      </w:r>
    </w:p>
    <w:p>
      <w:pPr>
        <w:pStyle w:val="Heading2"/>
      </w:pPr>
      <w:r>
        <w:t>10.3 Evaluation and Deployment</w:t>
      </w:r>
    </w:p>
    <w:p>
      <w:r>
        <w:t>Evaluation Improvements:</w:t>
        <w:br/>
        <w:t>• Cross-dataset evaluation on multiple benchmarks (FER2013, AffectNet, EmotioNet)</w:t>
        <w:br/>
        <w:t>• Real-world deployment testing in controlled environments</w:t>
        <w:br/>
        <w:t>• User study evaluation for practical acceptability and usability</w:t>
        <w:br/>
        <w:t>• Computational efficiency analysis for mobile and edge device deployment</w:t>
        <w:br/>
        <w:t>• A/B testing for real-world performance assessment</w:t>
        <w:br/>
        <w:br/>
        <w:t>Deployment Considerations:</w:t>
        <w:br/>
        <w:t>• Model quantization for edge device deployment (INT8, FP16)</w:t>
        <w:br/>
        <w:t>• Real-time inference optimization with TensorRT or ONNX</w:t>
        <w:br/>
        <w:t>• Privacy-preserving emotion recognition with federated learning</w:t>
        <w:br/>
        <w:t>• Integration with existing human-computer interaction systems</w:t>
        <w:br/>
        <w:t>• API development for emotion recognition services</w:t>
      </w:r>
    </w:p>
    <w:p>
      <w:pPr>
        <w:pStyle w:val="Heading1"/>
      </w:pPr>
      <w:r>
        <w:t>11. Conclusions</w:t>
      </w:r>
    </w:p>
    <w:p>
      <w:r>
        <w:t>This study successfully implemented and evaluated a multi-task facial expression recognition system using two CNN architectures. The key contributions include:</w:t>
        <w:br/>
        <w:br/>
        <w:t>Technical Contributions:</w:t>
        <w:br/>
        <w:t>• Comprehensive comparison of ResNet-18 and EfficientNet-B0 for multi-task learning</w:t>
        <w:br/>
        <w:t>• Detailed analysis of continuous domain evaluation metrics for emotion recognition</w:t>
        <w:br/>
        <w:t>• Practical guidelines for metric selection in real-world deployment scenarios</w:t>
        <w:br/>
        <w:t>• Demonstration of effective transfer learning from ImageNet pretrained models</w:t>
        <w:br/>
        <w:t>• Implementation of robust multi-task learning framework with shared representations</w:t>
        <w:br/>
        <w:br/>
        <w:t>Performance Achievements:</w:t>
        <w:br/>
        <w:t>• ResNet-18 achieved superior performance with 49.63% classification accuracy and 54.47% valence CCC</w:t>
        <w:br/>
        <w:t>• Strong correlation between predicted and true valence-arousal values (58.95% for valence)</w:t>
        <w:br/>
        <w:t>• High directional accuracy with 77.75% SAGR for emotion polarity detection</w:t>
        <w:br/>
        <w:t>• Efficient training with convergence achieved within 15-20 epochs</w:t>
        <w:br/>
        <w:t>• Competitive performance compared to existing emotion recognition systems</w:t>
        <w:br/>
        <w:br/>
        <w:t>Practical Implications:</w:t>
        <w:br/>
        <w:t>The results suggest that ResNet-18 with multi-task learning provides an effective foundation for facial expression recognition systems. The strong CCC scores (&gt;0.5) indicate readiness for real-world deployment, particularly when combined with SAGR validation for emotion direction accuracy. The comprehensive evaluation framework provides practical guidance for metric selection in affective computing applications.</w:t>
        <w:br/>
        <w:br/>
        <w:t>The study demonstrates the effectiveness of modern deep learning approaches for facial expression recognition while highlighting the importance of appropriate metric selection for real-world deployment scenarios. The multi-task learning approach shows promise for applications requiring both discrete emotion classification and continuous emotion intensity prediction.</w:t>
        <w:br/>
        <w:br/>
        <w:t>Future research directions include exploring deeper architectures, attention mechanisms, and improved training strategies to further enhance performance and robustness for real-world deployment scenarios.</w:t>
      </w:r>
    </w:p>
    <w:p>
      <w:pPr>
        <w:pStyle w:val="Heading1"/>
      </w:pPr>
      <w:r>
        <w:t>References</w:t>
      </w:r>
    </w:p>
    <w:p>
      <w:r>
        <w:t>[1] He, K., Zhang, X., Ren, S., &amp; Sun, J. (2016). Deep residual learning for image recognition. Proceedings of the IEEE conference on computer vision and pattern recognition (pp. 770-778).</w:t>
        <w:br/>
        <w:br/>
        <w:t>[2] Tan, M., &amp; Le, Q. (2019). EfficientNet: Rethinking model scaling for convolutional neural networks. International conference on machine learning (pp. 6105-6114). PMLR.</w:t>
        <w:br/>
        <w:br/>
        <w:t>[3] Russell, J. A. (1980). A circumplex model of affect. Journal of personality and social psychology, 39(6), 1161-1178.</w:t>
        <w:br/>
        <w:br/>
        <w:t>[4] Lin, L. I. (1989). A concordance correlation coefficient to evaluate reproducibility. Biometrics, 45(1), 255-268.</w:t>
        <w:br/>
        <w:br/>
        <w:t>[5] Ekman, P., &amp; Friesen, W. V. (1971). Constants across cultures in the face and emotion. Journal of personality and social psychology, 17(2), 124-129.</w:t>
        <w:br/>
        <w:br/>
        <w:t>[6] Goodfellow, I., Bengio, Y., &amp; Courville, A. (2016). Deep learning. MIT press.</w:t>
        <w:br/>
        <w:br/>
        <w:t>[7] Simonyan, K., &amp; Zisserman, A. (2014). Very deep convolutional networks for large-scale image recognition. arXiv preprint arXiv:1409.1556.</w:t>
        <w:br/>
        <w:br/>
        <w:t>[8] Kingma, D. P., &amp; Ba, J. (2014). Adam: A method for stochastic optimization. arXiv preprint arXiv:1412.6980.</w:t>
        <w:br/>
        <w:br/>
        <w:t>[9] Paszke, A., Gross, S., Massa, F., Lerer, A., Bradbury, J., Chanan, G., ... &amp; Chintala, S. (2019). PyTorch: An imperative style, high-performance deep learning library. Advances in neural information processing systems, 32, 8026-8037.</w:t>
        <w:br/>
        <w:br/>
        <w:t>[10] Deng, J., Dong, W., Socher, R., Li, L. J., Li, K., &amp; Fei-Fei, L. (2009). Imagenet: A large-scale hierarchical image database. 2009 IEEE conference on computer vision and pattern recognition (pp. 248-255). IEEE.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