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C442B7" w14:textId="77777777" w:rsidR="00D061C3" w:rsidRPr="00D061C3" w:rsidRDefault="00D061C3" w:rsidP="00D061C3">
      <w:pPr>
        <w:spacing w:before="500"/>
        <w:jc w:val="center"/>
        <w:rPr>
          <w:rFonts w:ascii="Arial" w:hAnsi="Arial" w:cs="Arial"/>
          <w:sz w:val="36"/>
          <w:szCs w:val="36"/>
        </w:rPr>
      </w:pPr>
      <w:r w:rsidRPr="00D061C3">
        <w:rPr>
          <w:rFonts w:ascii="Arial" w:hAnsi="Arial" w:cs="Arial"/>
          <w:b/>
          <w:sz w:val="36"/>
          <w:szCs w:val="36"/>
        </w:rPr>
        <w:t>BANK MARKETING BUSINESS ANALYTICS CASE STUDY</w:t>
      </w:r>
    </w:p>
    <w:p w14:paraId="69401EF9" w14:textId="77777777" w:rsidR="00D061C3" w:rsidRPr="00D061C3" w:rsidRDefault="00D061C3" w:rsidP="00D061C3">
      <w:pPr>
        <w:jc w:val="center"/>
        <w:rPr>
          <w:rFonts w:ascii="Arial" w:hAnsi="Arial" w:cs="Arial"/>
          <w:sz w:val="22"/>
        </w:rPr>
      </w:pPr>
      <w:r w:rsidRPr="00D061C3">
        <w:rPr>
          <w:rFonts w:ascii="Arial" w:hAnsi="Arial" w:cs="Arial"/>
          <w:sz w:val="22"/>
        </w:rPr>
        <w:t>AnalystLab Africa Data Analytics Internship Program — Week 5</w:t>
      </w:r>
    </w:p>
    <w:p w14:paraId="4F8B85E9" w14:textId="429610DA" w:rsidR="00D061C3" w:rsidRPr="00D061C3" w:rsidRDefault="00D061C3" w:rsidP="00D061C3">
      <w:pPr>
        <w:jc w:val="center"/>
        <w:rPr>
          <w:rFonts w:ascii="Arial" w:hAnsi="Arial" w:cs="Arial"/>
          <w:sz w:val="18"/>
          <w:szCs w:val="18"/>
        </w:rPr>
      </w:pPr>
      <w:r w:rsidRPr="00D061C3">
        <w:rPr>
          <w:rFonts w:ascii="Arial" w:hAnsi="Arial" w:cs="Arial"/>
          <w:sz w:val="18"/>
          <w:szCs w:val="18"/>
        </w:rPr>
        <w:t>Bank Marketing Dataset | Python Analysis</w:t>
      </w:r>
    </w:p>
    <w:p w14:paraId="369D22F9" w14:textId="4F902AEB" w:rsidR="00D061C3" w:rsidRPr="00D061C3" w:rsidRDefault="00D061C3" w:rsidP="00D061C3">
      <w:pPr>
        <w:jc w:val="center"/>
        <w:rPr>
          <w:rFonts w:ascii="Arial" w:hAnsi="Arial" w:cs="Arial"/>
          <w:sz w:val="18"/>
          <w:szCs w:val="18"/>
        </w:rPr>
      </w:pPr>
      <w:r w:rsidRPr="00D061C3">
        <w:rPr>
          <w:rFonts w:ascii="Arial" w:hAnsi="Arial" w:cs="Arial"/>
          <w:sz w:val="18"/>
          <w:szCs w:val="18"/>
        </w:rPr>
        <w:t xml:space="preserve">Prepared as a business analytics case study focused on understanding term-deposit subscription </w:t>
      </w:r>
      <w:r w:rsidR="00127B2E" w:rsidRPr="00D061C3">
        <w:rPr>
          <w:rFonts w:ascii="Arial" w:hAnsi="Arial" w:cs="Arial"/>
          <w:sz w:val="18"/>
          <w:szCs w:val="18"/>
        </w:rPr>
        <w:t>behavio</w:t>
      </w:r>
      <w:r w:rsidR="00127B2E">
        <w:rPr>
          <w:rFonts w:ascii="Arial" w:hAnsi="Arial" w:cs="Arial"/>
          <w:sz w:val="18"/>
          <w:szCs w:val="18"/>
        </w:rPr>
        <w:t>u</w:t>
      </w:r>
      <w:r w:rsidR="00127B2E" w:rsidRPr="00D061C3">
        <w:rPr>
          <w:rFonts w:ascii="Arial" w:hAnsi="Arial" w:cs="Arial"/>
          <w:sz w:val="18"/>
          <w:szCs w:val="18"/>
        </w:rPr>
        <w:t>r</w:t>
      </w:r>
      <w:r w:rsidRPr="00D061C3">
        <w:rPr>
          <w:rFonts w:ascii="Arial" w:hAnsi="Arial" w:cs="Arial"/>
          <w:sz w:val="18"/>
          <w:szCs w:val="18"/>
        </w:rPr>
        <w:t xml:space="preserve"> and identifying actionable marketing opportunities.</w:t>
      </w:r>
    </w:p>
    <w:p w14:paraId="67444F52" w14:textId="77777777" w:rsidR="00D061C3" w:rsidRPr="00D061C3" w:rsidRDefault="00D061C3" w:rsidP="00D061C3">
      <w:pPr>
        <w:pStyle w:val="Heading1"/>
        <w:spacing w:before="140"/>
        <w:rPr>
          <w:rFonts w:ascii="Arial" w:hAnsi="Arial" w:cs="Arial"/>
          <w:sz w:val="36"/>
          <w:szCs w:val="36"/>
        </w:rPr>
      </w:pPr>
      <w:r w:rsidRPr="00D061C3">
        <w:rPr>
          <w:rFonts w:ascii="Arial" w:hAnsi="Arial" w:cs="Arial"/>
          <w:sz w:val="36"/>
          <w:szCs w:val="36"/>
        </w:rPr>
        <w:t>1. Introduction</w:t>
      </w:r>
    </w:p>
    <w:p w14:paraId="42A3E7C9" w14:textId="23D74D7A" w:rsidR="00D061C3" w:rsidRPr="00D061C3" w:rsidRDefault="00D061C3" w:rsidP="00D061C3">
      <w:pPr>
        <w:spacing w:after="100"/>
        <w:rPr>
          <w:rFonts w:ascii="Arial" w:hAnsi="Arial" w:cs="Arial"/>
          <w:sz w:val="16"/>
          <w:szCs w:val="16"/>
        </w:rPr>
      </w:pPr>
      <w:r w:rsidRPr="00D061C3">
        <w:rPr>
          <w:rFonts w:ascii="Arial" w:hAnsi="Arial" w:cs="Arial"/>
          <w:sz w:val="16"/>
          <w:szCs w:val="16"/>
        </w:rPr>
        <w:t xml:space="preserve">Banks use marketing campaigns to encourage existing and potential customers to purchase financial products. However, contacting every customer in the same way may not produce the same response. The purpose of this case study is to </w:t>
      </w:r>
      <w:r w:rsidR="00127B2E" w:rsidRPr="00D061C3">
        <w:rPr>
          <w:rFonts w:ascii="Arial" w:hAnsi="Arial" w:cs="Arial"/>
          <w:sz w:val="16"/>
          <w:szCs w:val="16"/>
        </w:rPr>
        <w:t>analyze</w:t>
      </w:r>
      <w:r w:rsidRPr="00D061C3">
        <w:rPr>
          <w:rFonts w:ascii="Arial" w:hAnsi="Arial" w:cs="Arial"/>
          <w:sz w:val="16"/>
          <w:szCs w:val="16"/>
        </w:rPr>
        <w:t xml:space="preserve"> the Bank Marketing dataset and identify patterns associated with customers subscribing to a term deposit. The analysis focuses on customer characteristics, contact methods, previous campaign outcomes and contact timing.</w:t>
      </w:r>
    </w:p>
    <w:p w14:paraId="24FFF28C" w14:textId="7F389678" w:rsidR="00D061C3" w:rsidRPr="00D061C3" w:rsidRDefault="00D061C3" w:rsidP="00D061C3">
      <w:pPr>
        <w:spacing w:after="100"/>
        <w:rPr>
          <w:rFonts w:ascii="Arial" w:hAnsi="Arial" w:cs="Arial"/>
          <w:sz w:val="16"/>
          <w:szCs w:val="16"/>
        </w:rPr>
      </w:pPr>
      <w:r w:rsidRPr="00D061C3">
        <w:rPr>
          <w:rFonts w:ascii="Arial" w:hAnsi="Arial" w:cs="Arial"/>
          <w:sz w:val="16"/>
          <w:szCs w:val="16"/>
        </w:rPr>
        <w:t xml:space="preserve">Python was used for data loading, cleaning, exploratory data analysis, descriptive statistics and </w:t>
      </w:r>
      <w:r w:rsidR="00127B2E" w:rsidRPr="00D061C3">
        <w:rPr>
          <w:rFonts w:ascii="Arial" w:hAnsi="Arial" w:cs="Arial"/>
          <w:sz w:val="16"/>
          <w:szCs w:val="16"/>
        </w:rPr>
        <w:t>visualization</w:t>
      </w:r>
      <w:r w:rsidRPr="00D061C3">
        <w:rPr>
          <w:rFonts w:ascii="Arial" w:hAnsi="Arial" w:cs="Arial"/>
          <w:sz w:val="16"/>
          <w:szCs w:val="16"/>
        </w:rPr>
        <w:t>. The analysis combines customer distribution plots with subscription-rate analysis so that both the composition of the customer base and differences in campaign response can be considered.</w:t>
      </w:r>
    </w:p>
    <w:p w14:paraId="0A08A740" w14:textId="77777777" w:rsidR="00D061C3" w:rsidRPr="00D061C3" w:rsidRDefault="00D061C3" w:rsidP="00D061C3">
      <w:pPr>
        <w:pStyle w:val="Heading1"/>
        <w:spacing w:before="140"/>
        <w:rPr>
          <w:rFonts w:ascii="Arial" w:hAnsi="Arial" w:cs="Arial"/>
          <w:sz w:val="36"/>
          <w:szCs w:val="36"/>
        </w:rPr>
      </w:pPr>
      <w:r w:rsidRPr="00D061C3">
        <w:rPr>
          <w:rFonts w:ascii="Arial" w:hAnsi="Arial" w:cs="Arial"/>
          <w:sz w:val="36"/>
          <w:szCs w:val="36"/>
        </w:rPr>
        <w:t>2. Business Problem Statement</w:t>
      </w:r>
    </w:p>
    <w:p w14:paraId="0904F32F" w14:textId="77777777" w:rsidR="00D061C3" w:rsidRPr="00D061C3" w:rsidRDefault="00D061C3" w:rsidP="00D061C3">
      <w:pPr>
        <w:spacing w:after="100"/>
        <w:rPr>
          <w:rFonts w:ascii="Arial" w:hAnsi="Arial" w:cs="Arial"/>
          <w:sz w:val="16"/>
          <w:szCs w:val="16"/>
        </w:rPr>
      </w:pPr>
      <w:r w:rsidRPr="00D061C3">
        <w:rPr>
          <w:rFonts w:ascii="Arial" w:hAnsi="Arial" w:cs="Arial"/>
          <w:sz w:val="16"/>
          <w:szCs w:val="16"/>
        </w:rPr>
        <w:t>The business problem is to understand why some customers subscribe to a term deposit while others do not, and to identify customer and campaign characteristics associated with higher subscription rates.</w:t>
      </w:r>
    </w:p>
    <w:p w14:paraId="1DF1F6A4" w14:textId="77777777" w:rsidR="00D061C3" w:rsidRPr="00D061C3" w:rsidRDefault="00D061C3" w:rsidP="00D061C3">
      <w:pPr>
        <w:spacing w:after="100"/>
        <w:rPr>
          <w:rFonts w:ascii="Arial" w:hAnsi="Arial" w:cs="Arial"/>
          <w:sz w:val="16"/>
          <w:szCs w:val="16"/>
        </w:rPr>
      </w:pPr>
      <w:r w:rsidRPr="00D061C3">
        <w:rPr>
          <w:rFonts w:ascii="Arial" w:hAnsi="Arial" w:cs="Arial"/>
          <w:sz w:val="16"/>
          <w:szCs w:val="16"/>
        </w:rPr>
        <w:t>The analysis addresses the following questions:</w:t>
      </w:r>
    </w:p>
    <w:p w14:paraId="668FBDA1" w14:textId="77777777" w:rsidR="00D061C3" w:rsidRPr="00D061C3" w:rsidRDefault="00D061C3" w:rsidP="00D061C3">
      <w:pPr>
        <w:pStyle w:val="ListBullet"/>
        <w:tabs>
          <w:tab w:val="num" w:pos="360"/>
        </w:tabs>
        <w:spacing w:after="60"/>
        <w:ind w:left="360" w:hanging="360"/>
        <w:rPr>
          <w:rFonts w:ascii="Arial" w:hAnsi="Arial" w:cs="Arial"/>
          <w:sz w:val="16"/>
          <w:szCs w:val="16"/>
        </w:rPr>
      </w:pPr>
      <w:r w:rsidRPr="00D061C3">
        <w:rPr>
          <w:rFonts w:ascii="Arial" w:hAnsi="Arial" w:cs="Arial"/>
          <w:sz w:val="16"/>
          <w:szCs w:val="16"/>
        </w:rPr>
        <w:t>What proportion of customers subscribed to a term deposit?</w:t>
      </w:r>
    </w:p>
    <w:p w14:paraId="336AB157" w14:textId="77777777" w:rsidR="00D061C3" w:rsidRPr="00D061C3" w:rsidRDefault="00D061C3" w:rsidP="00D061C3">
      <w:pPr>
        <w:pStyle w:val="ListBullet"/>
        <w:tabs>
          <w:tab w:val="num" w:pos="360"/>
        </w:tabs>
        <w:spacing w:after="60"/>
        <w:ind w:left="360" w:hanging="360"/>
        <w:rPr>
          <w:rFonts w:ascii="Arial" w:hAnsi="Arial" w:cs="Arial"/>
          <w:sz w:val="16"/>
          <w:szCs w:val="16"/>
        </w:rPr>
      </w:pPr>
      <w:r w:rsidRPr="00D061C3">
        <w:rPr>
          <w:rFonts w:ascii="Arial" w:hAnsi="Arial" w:cs="Arial"/>
          <w:sz w:val="16"/>
          <w:szCs w:val="16"/>
        </w:rPr>
        <w:t>What does the customer base look like in terms of age, job, education and marital status?</w:t>
      </w:r>
    </w:p>
    <w:p w14:paraId="1F222701" w14:textId="77777777" w:rsidR="00D061C3" w:rsidRPr="00D061C3" w:rsidRDefault="00D061C3" w:rsidP="00D061C3">
      <w:pPr>
        <w:pStyle w:val="ListBullet"/>
        <w:tabs>
          <w:tab w:val="num" w:pos="360"/>
        </w:tabs>
        <w:spacing w:after="60"/>
        <w:ind w:left="360" w:hanging="360"/>
        <w:rPr>
          <w:rFonts w:ascii="Arial" w:hAnsi="Arial" w:cs="Arial"/>
          <w:sz w:val="16"/>
          <w:szCs w:val="16"/>
        </w:rPr>
      </w:pPr>
      <w:r w:rsidRPr="00D061C3">
        <w:rPr>
          <w:rFonts w:ascii="Arial" w:hAnsi="Arial" w:cs="Arial"/>
          <w:sz w:val="16"/>
          <w:szCs w:val="16"/>
        </w:rPr>
        <w:t>Which customer segments have higher subscription rates?</w:t>
      </w:r>
    </w:p>
    <w:p w14:paraId="7C3F2761" w14:textId="77777777" w:rsidR="00D061C3" w:rsidRPr="00D061C3" w:rsidRDefault="00D061C3" w:rsidP="00D061C3">
      <w:pPr>
        <w:pStyle w:val="ListBullet"/>
        <w:tabs>
          <w:tab w:val="num" w:pos="360"/>
        </w:tabs>
        <w:spacing w:after="60"/>
        <w:ind w:left="360" w:hanging="360"/>
        <w:rPr>
          <w:rFonts w:ascii="Arial" w:hAnsi="Arial" w:cs="Arial"/>
          <w:sz w:val="16"/>
          <w:szCs w:val="16"/>
        </w:rPr>
      </w:pPr>
      <w:r w:rsidRPr="00D061C3">
        <w:rPr>
          <w:rFonts w:ascii="Arial" w:hAnsi="Arial" w:cs="Arial"/>
          <w:sz w:val="16"/>
          <w:szCs w:val="16"/>
        </w:rPr>
        <w:t>How do contact methods and previous campaign outcomes relate to subscription?</w:t>
      </w:r>
    </w:p>
    <w:p w14:paraId="1DD6A229" w14:textId="77777777" w:rsidR="00D061C3" w:rsidRPr="00D061C3" w:rsidRDefault="00D061C3" w:rsidP="00D061C3">
      <w:pPr>
        <w:pStyle w:val="ListBullet"/>
        <w:tabs>
          <w:tab w:val="num" w:pos="360"/>
        </w:tabs>
        <w:spacing w:after="60"/>
        <w:ind w:left="360" w:hanging="360"/>
        <w:rPr>
          <w:rFonts w:ascii="Arial" w:hAnsi="Arial" w:cs="Arial"/>
          <w:sz w:val="16"/>
          <w:szCs w:val="16"/>
        </w:rPr>
      </w:pPr>
      <w:r w:rsidRPr="00D061C3">
        <w:rPr>
          <w:rFonts w:ascii="Arial" w:hAnsi="Arial" w:cs="Arial"/>
          <w:sz w:val="16"/>
          <w:szCs w:val="16"/>
        </w:rPr>
        <w:t>Does subscription rate vary by contact month?</w:t>
      </w:r>
    </w:p>
    <w:p w14:paraId="4E17C45A" w14:textId="77777777" w:rsidR="00D061C3" w:rsidRPr="00D061C3" w:rsidRDefault="00D061C3" w:rsidP="00D061C3">
      <w:pPr>
        <w:pStyle w:val="ListBullet"/>
        <w:tabs>
          <w:tab w:val="num" w:pos="360"/>
        </w:tabs>
        <w:spacing w:after="60"/>
        <w:ind w:left="360" w:hanging="360"/>
        <w:rPr>
          <w:rFonts w:ascii="Arial" w:hAnsi="Arial" w:cs="Arial"/>
        </w:rPr>
      </w:pPr>
      <w:r w:rsidRPr="00D061C3">
        <w:rPr>
          <w:rFonts w:ascii="Arial" w:hAnsi="Arial" w:cs="Arial"/>
          <w:sz w:val="16"/>
          <w:szCs w:val="16"/>
        </w:rPr>
        <w:t>How can the bank use these patterns to improve campaign targeting?</w:t>
      </w:r>
    </w:p>
    <w:p w14:paraId="00D49926" w14:textId="77777777" w:rsidR="00D061C3" w:rsidRPr="00D061C3" w:rsidRDefault="00D061C3" w:rsidP="00D061C3">
      <w:pPr>
        <w:pStyle w:val="Heading1"/>
        <w:spacing w:before="140"/>
        <w:rPr>
          <w:rFonts w:ascii="Arial" w:hAnsi="Arial" w:cs="Arial"/>
          <w:sz w:val="36"/>
          <w:szCs w:val="36"/>
        </w:rPr>
      </w:pPr>
      <w:r w:rsidRPr="00D061C3">
        <w:rPr>
          <w:rFonts w:ascii="Arial" w:hAnsi="Arial" w:cs="Arial"/>
          <w:sz w:val="36"/>
          <w:szCs w:val="36"/>
        </w:rPr>
        <w:t>3. Dataset Description</w:t>
      </w:r>
    </w:p>
    <w:p w14:paraId="77040238" w14:textId="582ADC8C" w:rsidR="00D061C3" w:rsidRPr="00D061C3" w:rsidRDefault="00D061C3" w:rsidP="00D061C3">
      <w:pPr>
        <w:spacing w:after="100"/>
        <w:rPr>
          <w:rFonts w:ascii="Arial" w:hAnsi="Arial" w:cs="Arial"/>
          <w:sz w:val="16"/>
          <w:szCs w:val="16"/>
        </w:rPr>
      </w:pPr>
      <w:r w:rsidRPr="00D061C3">
        <w:rPr>
          <w:rFonts w:ascii="Arial" w:hAnsi="Arial" w:cs="Arial"/>
          <w:sz w:val="16"/>
          <w:szCs w:val="16"/>
        </w:rPr>
        <w:t>The Bank Marketing dataset contains 11,162 customer records and 17 variables. The target variable is 'deposit', indicating whether a customer subscribed to a term deposit ('</w:t>
      </w:r>
      <w:r w:rsidR="00127B2E" w:rsidRPr="00D061C3">
        <w:rPr>
          <w:rFonts w:ascii="Arial" w:hAnsi="Arial" w:cs="Arial"/>
          <w:sz w:val="16"/>
          <w:szCs w:val="16"/>
        </w:rPr>
        <w:t>yes</w:t>
      </w:r>
      <w:r w:rsidR="00127B2E">
        <w:rPr>
          <w:rFonts w:ascii="Arial" w:hAnsi="Arial" w:cs="Arial"/>
          <w:sz w:val="16"/>
          <w:szCs w:val="16"/>
        </w:rPr>
        <w:t xml:space="preserve">’ </w:t>
      </w:r>
      <w:r w:rsidRPr="00D061C3">
        <w:rPr>
          <w:rFonts w:ascii="Arial" w:hAnsi="Arial" w:cs="Arial"/>
          <w:sz w:val="16"/>
          <w:szCs w:val="16"/>
        </w:rPr>
        <w:t>or 'no'). The dataset contains demographic, financial and campaign-related variables such as age, job, education, balance, contact, month and previous campaign outcome.</w:t>
      </w:r>
    </w:p>
    <w:tbl>
      <w:tblPr>
        <w:tblStyle w:val="TableGrid"/>
        <w:tblW w:w="0" w:type="auto"/>
        <w:jc w:val="center"/>
        <w:tblLook w:val="04A0" w:firstRow="1" w:lastRow="0" w:firstColumn="1" w:lastColumn="0" w:noHBand="0" w:noVBand="1"/>
      </w:tblPr>
      <w:tblGrid>
        <w:gridCol w:w="3005"/>
        <w:gridCol w:w="2970"/>
        <w:gridCol w:w="3041"/>
      </w:tblGrid>
      <w:tr w:rsidR="00D061C3" w:rsidRPr="00D061C3" w14:paraId="263E5BA1" w14:textId="77777777" w:rsidTr="00B25EE7">
        <w:trPr>
          <w:jc w:val="center"/>
        </w:trPr>
        <w:tc>
          <w:tcPr>
            <w:tcW w:w="3360" w:type="dxa"/>
            <w:shd w:val="clear" w:color="auto" w:fill="D9EAF7"/>
          </w:tcPr>
          <w:p w14:paraId="6FD6201E" w14:textId="77777777" w:rsidR="00D061C3" w:rsidRPr="00D061C3" w:rsidRDefault="00D061C3" w:rsidP="00B25EE7">
            <w:pPr>
              <w:rPr>
                <w:rFonts w:ascii="Arial" w:hAnsi="Arial" w:cs="Arial"/>
                <w:sz w:val="16"/>
                <w:szCs w:val="16"/>
              </w:rPr>
            </w:pPr>
            <w:r w:rsidRPr="00D061C3">
              <w:rPr>
                <w:rFonts w:ascii="Arial" w:hAnsi="Arial" w:cs="Arial"/>
                <w:b/>
                <w:sz w:val="16"/>
                <w:szCs w:val="16"/>
              </w:rPr>
              <w:t>Measure</w:t>
            </w:r>
          </w:p>
        </w:tc>
        <w:tc>
          <w:tcPr>
            <w:tcW w:w="3360" w:type="dxa"/>
            <w:shd w:val="clear" w:color="auto" w:fill="D9EAF7"/>
          </w:tcPr>
          <w:p w14:paraId="049B1B5C" w14:textId="77777777" w:rsidR="00D061C3" w:rsidRPr="00D061C3" w:rsidRDefault="00D061C3" w:rsidP="00B25EE7">
            <w:pPr>
              <w:rPr>
                <w:rFonts w:ascii="Arial" w:hAnsi="Arial" w:cs="Arial"/>
                <w:sz w:val="16"/>
                <w:szCs w:val="16"/>
              </w:rPr>
            </w:pPr>
            <w:r w:rsidRPr="00D061C3">
              <w:rPr>
                <w:rFonts w:ascii="Arial" w:hAnsi="Arial" w:cs="Arial"/>
                <w:b/>
                <w:sz w:val="16"/>
                <w:szCs w:val="16"/>
              </w:rPr>
              <w:t>Result</w:t>
            </w:r>
          </w:p>
        </w:tc>
        <w:tc>
          <w:tcPr>
            <w:tcW w:w="3360" w:type="dxa"/>
            <w:shd w:val="clear" w:color="auto" w:fill="D9EAF7"/>
          </w:tcPr>
          <w:p w14:paraId="4D7540A8" w14:textId="77777777" w:rsidR="00D061C3" w:rsidRPr="00D061C3" w:rsidRDefault="00D061C3" w:rsidP="00B25EE7">
            <w:pPr>
              <w:rPr>
                <w:rFonts w:ascii="Arial" w:hAnsi="Arial" w:cs="Arial"/>
                <w:sz w:val="16"/>
                <w:szCs w:val="16"/>
              </w:rPr>
            </w:pPr>
            <w:r w:rsidRPr="00D061C3">
              <w:rPr>
                <w:rFonts w:ascii="Arial" w:hAnsi="Arial" w:cs="Arial"/>
                <w:b/>
                <w:sz w:val="16"/>
                <w:szCs w:val="16"/>
              </w:rPr>
              <w:t>Interpretation</w:t>
            </w:r>
          </w:p>
        </w:tc>
      </w:tr>
      <w:tr w:rsidR="00D061C3" w:rsidRPr="00D061C3" w14:paraId="4718ECF8" w14:textId="77777777" w:rsidTr="00B25EE7">
        <w:trPr>
          <w:jc w:val="center"/>
        </w:trPr>
        <w:tc>
          <w:tcPr>
            <w:tcW w:w="3360" w:type="dxa"/>
          </w:tcPr>
          <w:p w14:paraId="414DE6DC" w14:textId="77777777" w:rsidR="00D061C3" w:rsidRPr="00D061C3" w:rsidRDefault="00D061C3" w:rsidP="00B25EE7">
            <w:pPr>
              <w:rPr>
                <w:rFonts w:ascii="Arial" w:hAnsi="Arial" w:cs="Arial"/>
                <w:sz w:val="16"/>
                <w:szCs w:val="16"/>
              </w:rPr>
            </w:pPr>
            <w:r w:rsidRPr="00D061C3">
              <w:rPr>
                <w:rFonts w:ascii="Arial" w:hAnsi="Arial" w:cs="Arial"/>
                <w:sz w:val="16"/>
                <w:szCs w:val="16"/>
              </w:rPr>
              <w:t>Rows</w:t>
            </w:r>
          </w:p>
        </w:tc>
        <w:tc>
          <w:tcPr>
            <w:tcW w:w="3360" w:type="dxa"/>
          </w:tcPr>
          <w:p w14:paraId="649E68AD" w14:textId="77777777" w:rsidR="00D061C3" w:rsidRPr="00D061C3" w:rsidRDefault="00D061C3" w:rsidP="00B25EE7">
            <w:pPr>
              <w:rPr>
                <w:rFonts w:ascii="Arial" w:hAnsi="Arial" w:cs="Arial"/>
                <w:sz w:val="16"/>
                <w:szCs w:val="16"/>
              </w:rPr>
            </w:pPr>
            <w:r w:rsidRPr="00D061C3">
              <w:rPr>
                <w:rFonts w:ascii="Arial" w:hAnsi="Arial" w:cs="Arial"/>
                <w:sz w:val="16"/>
                <w:szCs w:val="16"/>
              </w:rPr>
              <w:t>11,162</w:t>
            </w:r>
          </w:p>
        </w:tc>
        <w:tc>
          <w:tcPr>
            <w:tcW w:w="3360" w:type="dxa"/>
          </w:tcPr>
          <w:p w14:paraId="2C229E20" w14:textId="77777777" w:rsidR="00D061C3" w:rsidRPr="00D061C3" w:rsidRDefault="00D061C3" w:rsidP="00B25EE7">
            <w:pPr>
              <w:rPr>
                <w:rFonts w:ascii="Arial" w:hAnsi="Arial" w:cs="Arial"/>
                <w:sz w:val="16"/>
                <w:szCs w:val="16"/>
              </w:rPr>
            </w:pPr>
            <w:r w:rsidRPr="00D061C3">
              <w:rPr>
                <w:rFonts w:ascii="Arial" w:hAnsi="Arial" w:cs="Arial"/>
                <w:sz w:val="16"/>
                <w:szCs w:val="16"/>
              </w:rPr>
              <w:t>Customer observations</w:t>
            </w:r>
          </w:p>
        </w:tc>
      </w:tr>
      <w:tr w:rsidR="00D061C3" w:rsidRPr="00D061C3" w14:paraId="080D24AC" w14:textId="77777777" w:rsidTr="00B25EE7">
        <w:trPr>
          <w:jc w:val="center"/>
        </w:trPr>
        <w:tc>
          <w:tcPr>
            <w:tcW w:w="3360" w:type="dxa"/>
          </w:tcPr>
          <w:p w14:paraId="2247BA8A" w14:textId="77777777" w:rsidR="00D061C3" w:rsidRPr="00D061C3" w:rsidRDefault="00D061C3" w:rsidP="00B25EE7">
            <w:pPr>
              <w:rPr>
                <w:rFonts w:ascii="Arial" w:hAnsi="Arial" w:cs="Arial"/>
                <w:sz w:val="16"/>
                <w:szCs w:val="16"/>
              </w:rPr>
            </w:pPr>
            <w:r w:rsidRPr="00D061C3">
              <w:rPr>
                <w:rFonts w:ascii="Arial" w:hAnsi="Arial" w:cs="Arial"/>
                <w:sz w:val="16"/>
                <w:szCs w:val="16"/>
              </w:rPr>
              <w:t>Columns</w:t>
            </w:r>
          </w:p>
        </w:tc>
        <w:tc>
          <w:tcPr>
            <w:tcW w:w="3360" w:type="dxa"/>
          </w:tcPr>
          <w:p w14:paraId="34CC0ECF" w14:textId="77777777" w:rsidR="00D061C3" w:rsidRPr="00D061C3" w:rsidRDefault="00D061C3" w:rsidP="00B25EE7">
            <w:pPr>
              <w:rPr>
                <w:rFonts w:ascii="Arial" w:hAnsi="Arial" w:cs="Arial"/>
                <w:sz w:val="16"/>
                <w:szCs w:val="16"/>
              </w:rPr>
            </w:pPr>
            <w:r w:rsidRPr="00D061C3">
              <w:rPr>
                <w:rFonts w:ascii="Arial" w:hAnsi="Arial" w:cs="Arial"/>
                <w:sz w:val="16"/>
                <w:szCs w:val="16"/>
              </w:rPr>
              <w:t>17</w:t>
            </w:r>
          </w:p>
        </w:tc>
        <w:tc>
          <w:tcPr>
            <w:tcW w:w="3360" w:type="dxa"/>
          </w:tcPr>
          <w:p w14:paraId="1360EA67" w14:textId="77777777" w:rsidR="00D061C3" w:rsidRPr="00D061C3" w:rsidRDefault="00D061C3" w:rsidP="00B25EE7">
            <w:pPr>
              <w:rPr>
                <w:rFonts w:ascii="Arial" w:hAnsi="Arial" w:cs="Arial"/>
                <w:sz w:val="16"/>
                <w:szCs w:val="16"/>
              </w:rPr>
            </w:pPr>
            <w:r w:rsidRPr="00D061C3">
              <w:rPr>
                <w:rFonts w:ascii="Arial" w:hAnsi="Arial" w:cs="Arial"/>
                <w:sz w:val="16"/>
                <w:szCs w:val="16"/>
              </w:rPr>
              <w:t>Variables available for analysis</w:t>
            </w:r>
          </w:p>
        </w:tc>
      </w:tr>
      <w:tr w:rsidR="00D061C3" w:rsidRPr="00D061C3" w14:paraId="702ACA49" w14:textId="77777777" w:rsidTr="00B25EE7">
        <w:trPr>
          <w:jc w:val="center"/>
        </w:trPr>
        <w:tc>
          <w:tcPr>
            <w:tcW w:w="3360" w:type="dxa"/>
          </w:tcPr>
          <w:p w14:paraId="7B44973F" w14:textId="77777777" w:rsidR="00D061C3" w:rsidRPr="00D061C3" w:rsidRDefault="00D061C3" w:rsidP="00B25EE7">
            <w:pPr>
              <w:rPr>
                <w:rFonts w:ascii="Arial" w:hAnsi="Arial" w:cs="Arial"/>
                <w:sz w:val="16"/>
                <w:szCs w:val="16"/>
              </w:rPr>
            </w:pPr>
            <w:r w:rsidRPr="00D061C3">
              <w:rPr>
                <w:rFonts w:ascii="Arial" w:hAnsi="Arial" w:cs="Arial"/>
                <w:sz w:val="16"/>
                <w:szCs w:val="16"/>
              </w:rPr>
              <w:t>Subscribed</w:t>
            </w:r>
          </w:p>
        </w:tc>
        <w:tc>
          <w:tcPr>
            <w:tcW w:w="3360" w:type="dxa"/>
          </w:tcPr>
          <w:p w14:paraId="116B5801" w14:textId="77777777" w:rsidR="00D061C3" w:rsidRPr="00D061C3" w:rsidRDefault="00D061C3" w:rsidP="00B25EE7">
            <w:pPr>
              <w:rPr>
                <w:rFonts w:ascii="Arial" w:hAnsi="Arial" w:cs="Arial"/>
                <w:sz w:val="16"/>
                <w:szCs w:val="16"/>
              </w:rPr>
            </w:pPr>
            <w:r w:rsidRPr="00D061C3">
              <w:rPr>
                <w:rFonts w:ascii="Arial" w:hAnsi="Arial" w:cs="Arial"/>
                <w:sz w:val="16"/>
                <w:szCs w:val="16"/>
              </w:rPr>
              <w:t>5,289 (47.4%)</w:t>
            </w:r>
          </w:p>
        </w:tc>
        <w:tc>
          <w:tcPr>
            <w:tcW w:w="3360" w:type="dxa"/>
          </w:tcPr>
          <w:p w14:paraId="5E1BEB9D" w14:textId="77777777" w:rsidR="00D061C3" w:rsidRPr="00D061C3" w:rsidRDefault="00D061C3" w:rsidP="00B25EE7">
            <w:pPr>
              <w:rPr>
                <w:rFonts w:ascii="Arial" w:hAnsi="Arial" w:cs="Arial"/>
                <w:sz w:val="16"/>
                <w:szCs w:val="16"/>
              </w:rPr>
            </w:pPr>
            <w:r w:rsidRPr="00D061C3">
              <w:rPr>
                <w:rFonts w:ascii="Arial" w:hAnsi="Arial" w:cs="Arial"/>
                <w:sz w:val="16"/>
                <w:szCs w:val="16"/>
              </w:rPr>
              <w:t>Customers who subscribed</w:t>
            </w:r>
          </w:p>
        </w:tc>
      </w:tr>
      <w:tr w:rsidR="00D061C3" w:rsidRPr="00D061C3" w14:paraId="5A096EC1" w14:textId="77777777" w:rsidTr="00B25EE7">
        <w:trPr>
          <w:jc w:val="center"/>
        </w:trPr>
        <w:tc>
          <w:tcPr>
            <w:tcW w:w="3360" w:type="dxa"/>
          </w:tcPr>
          <w:p w14:paraId="349F5412" w14:textId="77777777" w:rsidR="00D061C3" w:rsidRPr="00D061C3" w:rsidRDefault="00D061C3" w:rsidP="00B25EE7">
            <w:pPr>
              <w:rPr>
                <w:rFonts w:ascii="Arial" w:hAnsi="Arial" w:cs="Arial"/>
                <w:sz w:val="16"/>
                <w:szCs w:val="16"/>
              </w:rPr>
            </w:pPr>
            <w:r w:rsidRPr="00D061C3">
              <w:rPr>
                <w:rFonts w:ascii="Arial" w:hAnsi="Arial" w:cs="Arial"/>
                <w:sz w:val="16"/>
                <w:szCs w:val="16"/>
              </w:rPr>
              <w:t>Did not subscribe</w:t>
            </w:r>
          </w:p>
        </w:tc>
        <w:tc>
          <w:tcPr>
            <w:tcW w:w="3360" w:type="dxa"/>
          </w:tcPr>
          <w:p w14:paraId="5F6912A0" w14:textId="77777777" w:rsidR="00D061C3" w:rsidRPr="00D061C3" w:rsidRDefault="00D061C3" w:rsidP="00B25EE7">
            <w:pPr>
              <w:rPr>
                <w:rFonts w:ascii="Arial" w:hAnsi="Arial" w:cs="Arial"/>
                <w:sz w:val="16"/>
                <w:szCs w:val="16"/>
              </w:rPr>
            </w:pPr>
            <w:r w:rsidRPr="00D061C3">
              <w:rPr>
                <w:rFonts w:ascii="Arial" w:hAnsi="Arial" w:cs="Arial"/>
                <w:sz w:val="16"/>
                <w:szCs w:val="16"/>
              </w:rPr>
              <w:t>5,873 (52.6%)</w:t>
            </w:r>
          </w:p>
        </w:tc>
        <w:tc>
          <w:tcPr>
            <w:tcW w:w="3360" w:type="dxa"/>
          </w:tcPr>
          <w:p w14:paraId="5CFC6707" w14:textId="77777777" w:rsidR="00D061C3" w:rsidRPr="00D061C3" w:rsidRDefault="00D061C3" w:rsidP="00B25EE7">
            <w:pPr>
              <w:rPr>
                <w:rFonts w:ascii="Arial" w:hAnsi="Arial" w:cs="Arial"/>
                <w:sz w:val="16"/>
                <w:szCs w:val="16"/>
              </w:rPr>
            </w:pPr>
            <w:r w:rsidRPr="00D061C3">
              <w:rPr>
                <w:rFonts w:ascii="Arial" w:hAnsi="Arial" w:cs="Arial"/>
                <w:sz w:val="16"/>
                <w:szCs w:val="16"/>
              </w:rPr>
              <w:t>Customers who did not subscribe</w:t>
            </w:r>
          </w:p>
        </w:tc>
      </w:tr>
      <w:tr w:rsidR="00D061C3" w:rsidRPr="00D061C3" w14:paraId="1537F65B" w14:textId="77777777" w:rsidTr="00B25EE7">
        <w:trPr>
          <w:jc w:val="center"/>
        </w:trPr>
        <w:tc>
          <w:tcPr>
            <w:tcW w:w="3360" w:type="dxa"/>
          </w:tcPr>
          <w:p w14:paraId="36EABB94" w14:textId="77777777" w:rsidR="00D061C3" w:rsidRPr="00D061C3" w:rsidRDefault="00D061C3" w:rsidP="00B25EE7">
            <w:pPr>
              <w:rPr>
                <w:rFonts w:ascii="Arial" w:hAnsi="Arial" w:cs="Arial"/>
                <w:sz w:val="16"/>
                <w:szCs w:val="16"/>
              </w:rPr>
            </w:pPr>
            <w:r w:rsidRPr="00D061C3">
              <w:rPr>
                <w:rFonts w:ascii="Arial" w:hAnsi="Arial" w:cs="Arial"/>
                <w:sz w:val="16"/>
                <w:szCs w:val="16"/>
              </w:rPr>
              <w:t>Missing values</w:t>
            </w:r>
          </w:p>
        </w:tc>
        <w:tc>
          <w:tcPr>
            <w:tcW w:w="3360" w:type="dxa"/>
          </w:tcPr>
          <w:p w14:paraId="662AF1F5" w14:textId="77777777" w:rsidR="00D061C3" w:rsidRPr="00D061C3" w:rsidRDefault="00D061C3" w:rsidP="00B25EE7">
            <w:pPr>
              <w:rPr>
                <w:rFonts w:ascii="Arial" w:hAnsi="Arial" w:cs="Arial"/>
                <w:sz w:val="16"/>
                <w:szCs w:val="16"/>
              </w:rPr>
            </w:pPr>
            <w:r w:rsidRPr="00D061C3">
              <w:rPr>
                <w:rFonts w:ascii="Arial" w:hAnsi="Arial" w:cs="Arial"/>
                <w:sz w:val="16"/>
                <w:szCs w:val="16"/>
              </w:rPr>
              <w:t>0</w:t>
            </w:r>
          </w:p>
        </w:tc>
        <w:tc>
          <w:tcPr>
            <w:tcW w:w="3360" w:type="dxa"/>
          </w:tcPr>
          <w:p w14:paraId="18913200" w14:textId="77777777" w:rsidR="00D061C3" w:rsidRPr="00D061C3" w:rsidRDefault="00D061C3" w:rsidP="00B25EE7">
            <w:pPr>
              <w:rPr>
                <w:rFonts w:ascii="Arial" w:hAnsi="Arial" w:cs="Arial"/>
                <w:sz w:val="16"/>
                <w:szCs w:val="16"/>
              </w:rPr>
            </w:pPr>
            <w:r w:rsidRPr="00D061C3">
              <w:rPr>
                <w:rFonts w:ascii="Arial" w:hAnsi="Arial" w:cs="Arial"/>
                <w:sz w:val="16"/>
                <w:szCs w:val="16"/>
              </w:rPr>
              <w:t>No missing values detected</w:t>
            </w:r>
          </w:p>
        </w:tc>
      </w:tr>
      <w:tr w:rsidR="00D061C3" w:rsidRPr="00D061C3" w14:paraId="61E383CE" w14:textId="77777777" w:rsidTr="00B25EE7">
        <w:trPr>
          <w:jc w:val="center"/>
        </w:trPr>
        <w:tc>
          <w:tcPr>
            <w:tcW w:w="3360" w:type="dxa"/>
          </w:tcPr>
          <w:p w14:paraId="1EF2B80F" w14:textId="77777777" w:rsidR="00D061C3" w:rsidRPr="00D061C3" w:rsidRDefault="00D061C3" w:rsidP="00B25EE7">
            <w:pPr>
              <w:rPr>
                <w:rFonts w:ascii="Arial" w:hAnsi="Arial" w:cs="Arial"/>
                <w:sz w:val="16"/>
                <w:szCs w:val="16"/>
              </w:rPr>
            </w:pPr>
            <w:r w:rsidRPr="00D061C3">
              <w:rPr>
                <w:rFonts w:ascii="Arial" w:hAnsi="Arial" w:cs="Arial"/>
                <w:sz w:val="16"/>
                <w:szCs w:val="16"/>
              </w:rPr>
              <w:t>Duplicate rows</w:t>
            </w:r>
          </w:p>
        </w:tc>
        <w:tc>
          <w:tcPr>
            <w:tcW w:w="3360" w:type="dxa"/>
          </w:tcPr>
          <w:p w14:paraId="608BD75D" w14:textId="77777777" w:rsidR="00D061C3" w:rsidRPr="00D061C3" w:rsidRDefault="00D061C3" w:rsidP="00B25EE7">
            <w:pPr>
              <w:rPr>
                <w:rFonts w:ascii="Arial" w:hAnsi="Arial" w:cs="Arial"/>
                <w:sz w:val="16"/>
                <w:szCs w:val="16"/>
              </w:rPr>
            </w:pPr>
            <w:r w:rsidRPr="00D061C3">
              <w:rPr>
                <w:rFonts w:ascii="Arial" w:hAnsi="Arial" w:cs="Arial"/>
                <w:sz w:val="16"/>
                <w:szCs w:val="16"/>
              </w:rPr>
              <w:t>0</w:t>
            </w:r>
          </w:p>
        </w:tc>
        <w:tc>
          <w:tcPr>
            <w:tcW w:w="3360" w:type="dxa"/>
          </w:tcPr>
          <w:p w14:paraId="6FD1E24C" w14:textId="77777777" w:rsidR="00D061C3" w:rsidRPr="00D061C3" w:rsidRDefault="00D061C3" w:rsidP="00B25EE7">
            <w:pPr>
              <w:rPr>
                <w:rFonts w:ascii="Arial" w:hAnsi="Arial" w:cs="Arial"/>
                <w:sz w:val="16"/>
                <w:szCs w:val="16"/>
              </w:rPr>
            </w:pPr>
            <w:r w:rsidRPr="00D061C3">
              <w:rPr>
                <w:rFonts w:ascii="Arial" w:hAnsi="Arial" w:cs="Arial"/>
                <w:sz w:val="16"/>
                <w:szCs w:val="16"/>
              </w:rPr>
              <w:t>No duplicate records detected</w:t>
            </w:r>
          </w:p>
        </w:tc>
      </w:tr>
    </w:tbl>
    <w:p w14:paraId="70445BF6" w14:textId="77777777" w:rsidR="00D061C3" w:rsidRPr="00D061C3" w:rsidRDefault="00D061C3" w:rsidP="00D061C3">
      <w:pPr>
        <w:pStyle w:val="Heading1"/>
        <w:spacing w:before="140"/>
        <w:rPr>
          <w:rFonts w:ascii="Arial" w:hAnsi="Arial" w:cs="Arial"/>
          <w:sz w:val="36"/>
          <w:szCs w:val="36"/>
        </w:rPr>
      </w:pPr>
      <w:r w:rsidRPr="00D061C3">
        <w:rPr>
          <w:rFonts w:ascii="Arial" w:hAnsi="Arial" w:cs="Arial"/>
          <w:sz w:val="36"/>
          <w:szCs w:val="36"/>
        </w:rPr>
        <w:t>4. Data Analysis Process</w:t>
      </w:r>
    </w:p>
    <w:p w14:paraId="0988DC50" w14:textId="77777777" w:rsidR="00D061C3" w:rsidRPr="00D061C3" w:rsidRDefault="00D061C3" w:rsidP="00D061C3">
      <w:pPr>
        <w:spacing w:after="100"/>
        <w:rPr>
          <w:rFonts w:ascii="Arial" w:hAnsi="Arial" w:cs="Arial"/>
          <w:sz w:val="16"/>
          <w:szCs w:val="16"/>
        </w:rPr>
      </w:pPr>
      <w:r w:rsidRPr="00D061C3">
        <w:rPr>
          <w:rFonts w:ascii="Arial" w:hAnsi="Arial" w:cs="Arial"/>
          <w:sz w:val="16"/>
          <w:szCs w:val="16"/>
        </w:rPr>
        <w:t>The analysis followed a structured exploratory-data-analysis process:</w:t>
      </w:r>
    </w:p>
    <w:p w14:paraId="6278AAEC" w14:textId="77777777" w:rsidR="00D061C3" w:rsidRPr="00D061C3" w:rsidRDefault="00D061C3" w:rsidP="00D061C3">
      <w:pPr>
        <w:pStyle w:val="ListBullet"/>
        <w:tabs>
          <w:tab w:val="num" w:pos="360"/>
        </w:tabs>
        <w:spacing w:after="60"/>
        <w:ind w:left="360" w:hanging="360"/>
        <w:rPr>
          <w:rFonts w:ascii="Arial" w:hAnsi="Arial" w:cs="Arial"/>
          <w:sz w:val="16"/>
          <w:szCs w:val="16"/>
        </w:rPr>
      </w:pPr>
      <w:r w:rsidRPr="00D061C3">
        <w:rPr>
          <w:rFonts w:ascii="Arial" w:hAnsi="Arial" w:cs="Arial"/>
          <w:sz w:val="16"/>
          <w:szCs w:val="16"/>
        </w:rPr>
        <w:t>Loaded the Bank Marketing CSV dataset into pandas.</w:t>
      </w:r>
    </w:p>
    <w:p w14:paraId="4A4212F9" w14:textId="77777777" w:rsidR="00D061C3" w:rsidRPr="00D061C3" w:rsidRDefault="00D061C3" w:rsidP="00D061C3">
      <w:pPr>
        <w:pStyle w:val="ListBullet"/>
        <w:tabs>
          <w:tab w:val="num" w:pos="360"/>
        </w:tabs>
        <w:spacing w:after="60"/>
        <w:ind w:left="360" w:hanging="360"/>
        <w:rPr>
          <w:rFonts w:ascii="Arial" w:hAnsi="Arial" w:cs="Arial"/>
          <w:sz w:val="16"/>
          <w:szCs w:val="16"/>
        </w:rPr>
      </w:pPr>
      <w:r w:rsidRPr="00D061C3">
        <w:rPr>
          <w:rFonts w:ascii="Arial" w:hAnsi="Arial" w:cs="Arial"/>
          <w:sz w:val="16"/>
          <w:szCs w:val="16"/>
        </w:rPr>
        <w:lastRenderedPageBreak/>
        <w:t>Inspected the dataset dimensions, column names and data types.</w:t>
      </w:r>
    </w:p>
    <w:p w14:paraId="63DEC23B" w14:textId="77777777" w:rsidR="00D061C3" w:rsidRPr="00D061C3" w:rsidRDefault="00D061C3" w:rsidP="00D061C3">
      <w:pPr>
        <w:pStyle w:val="ListBullet"/>
        <w:tabs>
          <w:tab w:val="num" w:pos="360"/>
        </w:tabs>
        <w:spacing w:after="60"/>
        <w:ind w:left="360" w:hanging="360"/>
        <w:rPr>
          <w:rFonts w:ascii="Arial" w:hAnsi="Arial" w:cs="Arial"/>
          <w:sz w:val="16"/>
          <w:szCs w:val="16"/>
        </w:rPr>
      </w:pPr>
      <w:r w:rsidRPr="00D061C3">
        <w:rPr>
          <w:rFonts w:ascii="Arial" w:hAnsi="Arial" w:cs="Arial"/>
          <w:sz w:val="16"/>
          <w:szCs w:val="16"/>
        </w:rPr>
        <w:t>Checked missing values and duplicate records.</w:t>
      </w:r>
    </w:p>
    <w:p w14:paraId="73CE4139" w14:textId="77777777" w:rsidR="00D061C3" w:rsidRPr="00D061C3" w:rsidRDefault="00D061C3" w:rsidP="00D061C3">
      <w:pPr>
        <w:pStyle w:val="ListBullet"/>
        <w:tabs>
          <w:tab w:val="num" w:pos="360"/>
        </w:tabs>
        <w:spacing w:after="60"/>
        <w:ind w:left="360" w:hanging="360"/>
        <w:rPr>
          <w:rFonts w:ascii="Arial" w:hAnsi="Arial" w:cs="Arial"/>
          <w:sz w:val="16"/>
          <w:szCs w:val="16"/>
        </w:rPr>
      </w:pPr>
      <w:r w:rsidRPr="00D061C3">
        <w:rPr>
          <w:rFonts w:ascii="Arial" w:hAnsi="Arial" w:cs="Arial"/>
          <w:sz w:val="16"/>
          <w:szCs w:val="16"/>
        </w:rPr>
        <w:t>Reviewed descriptive statistics for numerical variables.</w:t>
      </w:r>
    </w:p>
    <w:p w14:paraId="4AA92835" w14:textId="77777777" w:rsidR="00D061C3" w:rsidRPr="00D061C3" w:rsidRDefault="00D061C3" w:rsidP="00D061C3">
      <w:pPr>
        <w:pStyle w:val="ListBullet"/>
        <w:tabs>
          <w:tab w:val="num" w:pos="360"/>
        </w:tabs>
        <w:spacing w:after="60"/>
        <w:ind w:left="360" w:hanging="360"/>
        <w:rPr>
          <w:rFonts w:ascii="Arial" w:hAnsi="Arial" w:cs="Arial"/>
          <w:sz w:val="16"/>
          <w:szCs w:val="16"/>
        </w:rPr>
      </w:pPr>
      <w:r w:rsidRPr="00D061C3">
        <w:rPr>
          <w:rFonts w:ascii="Arial" w:hAnsi="Arial" w:cs="Arial"/>
          <w:sz w:val="16"/>
          <w:szCs w:val="16"/>
        </w:rPr>
        <w:t>Examined distributions of important categorical and numerical variables.</w:t>
      </w:r>
    </w:p>
    <w:p w14:paraId="567866DF" w14:textId="77777777" w:rsidR="00D061C3" w:rsidRPr="00D061C3" w:rsidRDefault="00D061C3" w:rsidP="00D061C3">
      <w:pPr>
        <w:pStyle w:val="ListBullet"/>
        <w:tabs>
          <w:tab w:val="num" w:pos="360"/>
        </w:tabs>
        <w:spacing w:after="60"/>
        <w:ind w:left="360" w:hanging="360"/>
        <w:rPr>
          <w:rFonts w:ascii="Arial" w:hAnsi="Arial" w:cs="Arial"/>
          <w:sz w:val="16"/>
          <w:szCs w:val="16"/>
        </w:rPr>
      </w:pPr>
      <w:r w:rsidRPr="00D061C3">
        <w:rPr>
          <w:rFonts w:ascii="Arial" w:hAnsi="Arial" w:cs="Arial"/>
          <w:sz w:val="16"/>
          <w:szCs w:val="16"/>
        </w:rPr>
        <w:t>Calculated overall and category-level subscription rates.</w:t>
      </w:r>
    </w:p>
    <w:p w14:paraId="640F6F3F" w14:textId="498D6DC0" w:rsidR="00D061C3" w:rsidRPr="00D061C3" w:rsidRDefault="00D061C3" w:rsidP="00D061C3">
      <w:pPr>
        <w:pStyle w:val="ListBullet"/>
        <w:tabs>
          <w:tab w:val="num" w:pos="360"/>
        </w:tabs>
        <w:spacing w:after="60"/>
        <w:ind w:left="360" w:hanging="360"/>
        <w:rPr>
          <w:rFonts w:ascii="Arial" w:hAnsi="Arial" w:cs="Arial"/>
          <w:sz w:val="16"/>
          <w:szCs w:val="16"/>
        </w:rPr>
      </w:pPr>
      <w:r w:rsidRPr="00D061C3">
        <w:rPr>
          <w:rFonts w:ascii="Arial" w:hAnsi="Arial" w:cs="Arial"/>
          <w:sz w:val="16"/>
          <w:szCs w:val="16"/>
        </w:rPr>
        <w:t xml:space="preserve">Created </w:t>
      </w:r>
      <w:r w:rsidR="00127B2E" w:rsidRPr="00D061C3">
        <w:rPr>
          <w:rFonts w:ascii="Arial" w:hAnsi="Arial" w:cs="Arial"/>
          <w:sz w:val="16"/>
          <w:szCs w:val="16"/>
        </w:rPr>
        <w:t>visualizations</w:t>
      </w:r>
      <w:r w:rsidRPr="00D061C3">
        <w:rPr>
          <w:rFonts w:ascii="Arial" w:hAnsi="Arial" w:cs="Arial"/>
          <w:sz w:val="16"/>
          <w:szCs w:val="16"/>
        </w:rPr>
        <w:t xml:space="preserve"> using Matplotlib to identify trends and patterns.</w:t>
      </w:r>
    </w:p>
    <w:p w14:paraId="3F2BB5DA" w14:textId="77777777" w:rsidR="00D061C3" w:rsidRPr="00D061C3" w:rsidRDefault="00D061C3" w:rsidP="00D061C3">
      <w:pPr>
        <w:pStyle w:val="ListBullet"/>
        <w:tabs>
          <w:tab w:val="num" w:pos="360"/>
        </w:tabs>
        <w:spacing w:after="60"/>
        <w:ind w:left="360" w:hanging="360"/>
        <w:rPr>
          <w:sz w:val="16"/>
          <w:szCs w:val="16"/>
        </w:rPr>
      </w:pPr>
      <w:r w:rsidRPr="00D061C3">
        <w:rPr>
          <w:rFonts w:ascii="Arial" w:hAnsi="Arial" w:cs="Arial"/>
          <w:sz w:val="16"/>
          <w:szCs w:val="16"/>
        </w:rPr>
        <w:t>Translated the observed patterns into business insights and recommendations</w:t>
      </w:r>
      <w:r w:rsidRPr="00D061C3">
        <w:rPr>
          <w:sz w:val="16"/>
          <w:szCs w:val="16"/>
        </w:rPr>
        <w:t>.</w:t>
      </w:r>
    </w:p>
    <w:p w14:paraId="0AEC509A" w14:textId="77777777" w:rsidR="00D061C3" w:rsidRPr="00D061C3" w:rsidRDefault="00D061C3" w:rsidP="00D061C3">
      <w:pPr>
        <w:pStyle w:val="Heading1"/>
        <w:spacing w:before="140"/>
        <w:rPr>
          <w:sz w:val="36"/>
          <w:szCs w:val="36"/>
        </w:rPr>
      </w:pPr>
      <w:r w:rsidRPr="00D061C3">
        <w:rPr>
          <w:sz w:val="36"/>
          <w:szCs w:val="36"/>
        </w:rPr>
        <w:t>5. Exploratory Data Analysis</w:t>
      </w:r>
    </w:p>
    <w:p w14:paraId="26DCE6B5" w14:textId="77777777" w:rsidR="00D061C3" w:rsidRPr="00D061C3" w:rsidRDefault="00D061C3" w:rsidP="00D061C3">
      <w:pPr>
        <w:pStyle w:val="Heading2"/>
        <w:spacing w:before="140"/>
        <w:rPr>
          <w:rFonts w:ascii="Arial" w:hAnsi="Arial" w:cs="Arial"/>
          <w:sz w:val="24"/>
          <w:szCs w:val="24"/>
        </w:rPr>
      </w:pPr>
      <w:r w:rsidRPr="00D061C3">
        <w:rPr>
          <w:rFonts w:ascii="Arial" w:hAnsi="Arial" w:cs="Arial"/>
          <w:sz w:val="24"/>
          <w:szCs w:val="24"/>
        </w:rPr>
        <w:t>5.1 Overall Subscription Distribution</w:t>
      </w:r>
    </w:p>
    <w:p w14:paraId="038B8187" w14:textId="77777777" w:rsidR="00D061C3" w:rsidRPr="00D061C3" w:rsidRDefault="00D061C3" w:rsidP="00D061C3">
      <w:pPr>
        <w:spacing w:after="100"/>
        <w:rPr>
          <w:sz w:val="16"/>
          <w:szCs w:val="16"/>
        </w:rPr>
      </w:pPr>
      <w:r w:rsidRPr="00D061C3">
        <w:rPr>
          <w:rFonts w:ascii="Arial" w:hAnsi="Arial" w:cs="Arial"/>
          <w:sz w:val="16"/>
          <w:szCs w:val="16"/>
        </w:rPr>
        <w:t>Out of 11,162 customers, 5,289 subscribed to a term deposit, while 5,873 did not. The overall subscription rate is 47.4%. This means that slightly more than half of the customers in the dataset did not subscribe.</w:t>
      </w:r>
    </w:p>
    <w:p w14:paraId="19F4CE5E" w14:textId="77777777" w:rsidR="00D061C3" w:rsidRDefault="00D061C3" w:rsidP="00D061C3">
      <w:pPr>
        <w:jc w:val="center"/>
      </w:pPr>
      <w:r>
        <w:rPr>
          <w:noProof/>
        </w:rPr>
        <w:drawing>
          <wp:inline distT="0" distB="0" distL="0" distR="0" wp14:anchorId="0F5654FD" wp14:editId="7E072CC6">
            <wp:extent cx="5303520" cy="297868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verall_subscription.png"/>
                    <pic:cNvPicPr/>
                  </pic:nvPicPr>
                  <pic:blipFill>
                    <a:blip r:embed="rId5"/>
                    <a:stretch>
                      <a:fillRect/>
                    </a:stretch>
                  </pic:blipFill>
                  <pic:spPr>
                    <a:xfrm>
                      <a:off x="0" y="0"/>
                      <a:ext cx="5303520" cy="2978689"/>
                    </a:xfrm>
                    <a:prstGeom prst="rect">
                      <a:avLst/>
                    </a:prstGeom>
                  </pic:spPr>
                </pic:pic>
              </a:graphicData>
            </a:graphic>
          </wp:inline>
        </w:drawing>
      </w:r>
    </w:p>
    <w:p w14:paraId="5F9DBA12" w14:textId="77777777" w:rsidR="00D061C3" w:rsidRPr="00D061C3" w:rsidRDefault="00D061C3" w:rsidP="00D061C3">
      <w:pPr>
        <w:jc w:val="center"/>
        <w:rPr>
          <w:rFonts w:ascii="Arial" w:hAnsi="Arial" w:cs="Arial"/>
        </w:rPr>
      </w:pPr>
      <w:r w:rsidRPr="00D061C3">
        <w:rPr>
          <w:rFonts w:ascii="Arial" w:hAnsi="Arial" w:cs="Arial"/>
          <w:i/>
          <w:sz w:val="18"/>
        </w:rPr>
        <w:t>Figure 1. Overall distribution of term-deposit subscription.</w:t>
      </w:r>
    </w:p>
    <w:p w14:paraId="40F84125" w14:textId="77777777" w:rsidR="00D061C3" w:rsidRPr="00D061C3" w:rsidRDefault="00D061C3" w:rsidP="00D061C3">
      <w:pPr>
        <w:pStyle w:val="Heading2"/>
        <w:spacing w:before="140"/>
        <w:rPr>
          <w:rFonts w:ascii="Arial" w:hAnsi="Arial" w:cs="Arial"/>
          <w:sz w:val="24"/>
          <w:szCs w:val="24"/>
        </w:rPr>
      </w:pPr>
      <w:r w:rsidRPr="00D061C3">
        <w:rPr>
          <w:rFonts w:ascii="Arial" w:hAnsi="Arial" w:cs="Arial"/>
          <w:sz w:val="24"/>
          <w:szCs w:val="24"/>
        </w:rPr>
        <w:t>5.2 Customer Age Distribution</w:t>
      </w:r>
    </w:p>
    <w:p w14:paraId="0EE804E8" w14:textId="64CD5087" w:rsidR="00D061C3" w:rsidRPr="00D061C3" w:rsidRDefault="00D061C3" w:rsidP="00D061C3">
      <w:pPr>
        <w:spacing w:after="100"/>
        <w:rPr>
          <w:sz w:val="16"/>
          <w:szCs w:val="16"/>
        </w:rPr>
      </w:pPr>
      <w:r w:rsidRPr="00D061C3">
        <w:rPr>
          <w:rFonts w:ascii="Arial" w:hAnsi="Arial" w:cs="Arial"/>
          <w:sz w:val="16"/>
          <w:szCs w:val="16"/>
        </w:rPr>
        <w:t xml:space="preserve">The average customer age is 41.2 </w:t>
      </w:r>
      <w:r w:rsidR="00127B2E" w:rsidRPr="00D061C3">
        <w:rPr>
          <w:rFonts w:ascii="Arial" w:hAnsi="Arial" w:cs="Arial"/>
          <w:sz w:val="16"/>
          <w:szCs w:val="16"/>
        </w:rPr>
        <w:t>years,</w:t>
      </w:r>
      <w:r w:rsidRPr="00D061C3">
        <w:rPr>
          <w:rFonts w:ascii="Arial" w:hAnsi="Arial" w:cs="Arial"/>
          <w:sz w:val="16"/>
          <w:szCs w:val="16"/>
        </w:rPr>
        <w:t xml:space="preserve"> and the median age is 39 years. The age histogram shows the spread of customers across the age range and provides context for later segmentation analysis</w:t>
      </w:r>
      <w:r w:rsidRPr="00D061C3">
        <w:rPr>
          <w:sz w:val="16"/>
          <w:szCs w:val="16"/>
        </w:rPr>
        <w:t>.</w:t>
      </w:r>
    </w:p>
    <w:p w14:paraId="7610F14C" w14:textId="77777777" w:rsidR="00D061C3" w:rsidRDefault="00D061C3" w:rsidP="00D061C3">
      <w:pPr>
        <w:jc w:val="center"/>
      </w:pPr>
      <w:r>
        <w:rPr>
          <w:noProof/>
        </w:rPr>
        <w:drawing>
          <wp:inline distT="0" distB="0" distL="0" distR="0" wp14:anchorId="744D90FA" wp14:editId="5EBFBA22">
            <wp:extent cx="5303520" cy="26013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e_distribution.png"/>
                    <pic:cNvPicPr/>
                  </pic:nvPicPr>
                  <pic:blipFill>
                    <a:blip r:embed="rId6"/>
                    <a:stretch>
                      <a:fillRect/>
                    </a:stretch>
                  </pic:blipFill>
                  <pic:spPr>
                    <a:xfrm>
                      <a:off x="0" y="0"/>
                      <a:ext cx="5303520" cy="2601375"/>
                    </a:xfrm>
                    <a:prstGeom prst="rect">
                      <a:avLst/>
                    </a:prstGeom>
                  </pic:spPr>
                </pic:pic>
              </a:graphicData>
            </a:graphic>
          </wp:inline>
        </w:drawing>
      </w:r>
    </w:p>
    <w:p w14:paraId="0305F995" w14:textId="77777777" w:rsidR="00D061C3" w:rsidRPr="00D061C3" w:rsidRDefault="00D061C3" w:rsidP="00D061C3">
      <w:pPr>
        <w:jc w:val="center"/>
        <w:rPr>
          <w:rFonts w:ascii="Arial" w:hAnsi="Arial" w:cs="Arial"/>
        </w:rPr>
      </w:pPr>
      <w:r w:rsidRPr="00D061C3">
        <w:rPr>
          <w:rFonts w:ascii="Arial" w:hAnsi="Arial" w:cs="Arial"/>
          <w:i/>
          <w:sz w:val="18"/>
        </w:rPr>
        <w:lastRenderedPageBreak/>
        <w:t>Figure 2. Distribution of customer ages.</w:t>
      </w:r>
    </w:p>
    <w:p w14:paraId="17447E1B" w14:textId="77777777" w:rsidR="00D061C3" w:rsidRPr="00D061C3" w:rsidRDefault="00D061C3" w:rsidP="00D061C3">
      <w:pPr>
        <w:pStyle w:val="Heading2"/>
        <w:spacing w:before="140"/>
        <w:rPr>
          <w:rFonts w:ascii="Arial" w:hAnsi="Arial" w:cs="Arial"/>
          <w:sz w:val="24"/>
          <w:szCs w:val="24"/>
        </w:rPr>
      </w:pPr>
      <w:r w:rsidRPr="00D061C3">
        <w:rPr>
          <w:rFonts w:ascii="Arial" w:hAnsi="Arial" w:cs="Arial"/>
          <w:sz w:val="24"/>
          <w:szCs w:val="24"/>
        </w:rPr>
        <w:t>5.3 Subscription Rate by Job</w:t>
      </w:r>
    </w:p>
    <w:p w14:paraId="39A69566" w14:textId="77777777" w:rsidR="00D061C3" w:rsidRPr="00D061C3" w:rsidRDefault="00D061C3" w:rsidP="00D061C3">
      <w:pPr>
        <w:spacing w:after="100"/>
        <w:rPr>
          <w:rFonts w:ascii="Arial" w:hAnsi="Arial" w:cs="Arial"/>
          <w:sz w:val="16"/>
          <w:szCs w:val="16"/>
        </w:rPr>
      </w:pPr>
      <w:r w:rsidRPr="00D061C3">
        <w:rPr>
          <w:rFonts w:ascii="Arial" w:hAnsi="Arial" w:cs="Arial"/>
          <w:sz w:val="16"/>
          <w:szCs w:val="16"/>
        </w:rPr>
        <w:t>The job-level rate analysis shows meaningful differences between occupational groups. The highest observed job-level subscription rate is for student at 74.7%. This indicates that occupation may be useful when designing customer segments, although group size should also be considered.</w:t>
      </w:r>
    </w:p>
    <w:p w14:paraId="46BE2E64" w14:textId="77777777" w:rsidR="00D061C3" w:rsidRDefault="00D061C3" w:rsidP="00D061C3">
      <w:pPr>
        <w:jc w:val="center"/>
      </w:pPr>
      <w:r>
        <w:rPr>
          <w:noProof/>
        </w:rPr>
        <w:drawing>
          <wp:inline distT="0" distB="0" distL="0" distR="0" wp14:anchorId="7C54992B" wp14:editId="5484F943">
            <wp:extent cx="5303520" cy="293727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bscription_rate_job.png"/>
                    <pic:cNvPicPr/>
                  </pic:nvPicPr>
                  <pic:blipFill>
                    <a:blip r:embed="rId7"/>
                    <a:stretch>
                      <a:fillRect/>
                    </a:stretch>
                  </pic:blipFill>
                  <pic:spPr>
                    <a:xfrm>
                      <a:off x="0" y="0"/>
                      <a:ext cx="5303520" cy="2937276"/>
                    </a:xfrm>
                    <a:prstGeom prst="rect">
                      <a:avLst/>
                    </a:prstGeom>
                  </pic:spPr>
                </pic:pic>
              </a:graphicData>
            </a:graphic>
          </wp:inline>
        </w:drawing>
      </w:r>
    </w:p>
    <w:p w14:paraId="09067EFC" w14:textId="77777777" w:rsidR="00D061C3" w:rsidRDefault="00D061C3" w:rsidP="00D061C3">
      <w:pPr>
        <w:jc w:val="center"/>
      </w:pPr>
      <w:r>
        <w:rPr>
          <w:i/>
          <w:sz w:val="18"/>
        </w:rPr>
        <w:t>Figure 3. Subscription rate by job.</w:t>
      </w:r>
    </w:p>
    <w:p w14:paraId="5942360E" w14:textId="77777777" w:rsidR="00D061C3" w:rsidRPr="00D061C3" w:rsidRDefault="00D061C3" w:rsidP="00D061C3">
      <w:pPr>
        <w:pStyle w:val="Heading2"/>
        <w:spacing w:before="140"/>
        <w:rPr>
          <w:rFonts w:ascii="Arial" w:hAnsi="Arial" w:cs="Arial"/>
          <w:sz w:val="24"/>
          <w:szCs w:val="24"/>
        </w:rPr>
      </w:pPr>
      <w:r w:rsidRPr="00D061C3">
        <w:rPr>
          <w:rFonts w:ascii="Arial" w:hAnsi="Arial" w:cs="Arial"/>
          <w:sz w:val="24"/>
          <w:szCs w:val="24"/>
        </w:rPr>
        <w:t>5.4 Subscription Rate by Education</w:t>
      </w:r>
    </w:p>
    <w:p w14:paraId="5C208CE1" w14:textId="77777777" w:rsidR="00D061C3" w:rsidRPr="00D061C3" w:rsidRDefault="00D061C3" w:rsidP="00D061C3">
      <w:pPr>
        <w:spacing w:after="100"/>
        <w:rPr>
          <w:rFonts w:ascii="Arial" w:hAnsi="Arial" w:cs="Arial"/>
          <w:sz w:val="16"/>
          <w:szCs w:val="16"/>
        </w:rPr>
      </w:pPr>
      <w:r w:rsidRPr="00D061C3">
        <w:rPr>
          <w:rFonts w:ascii="Arial" w:hAnsi="Arial" w:cs="Arial"/>
          <w:sz w:val="16"/>
          <w:szCs w:val="16"/>
        </w:rPr>
        <w:t>The education analysis also shows variation in response. The highest education-category subscription rate is tertiary at 54.1%. Education can therefore be considered as one segmentation variable when planning campaign messaging.</w:t>
      </w:r>
    </w:p>
    <w:p w14:paraId="67C96CC0" w14:textId="77777777" w:rsidR="00D061C3" w:rsidRDefault="00D061C3" w:rsidP="00D061C3">
      <w:pPr>
        <w:jc w:val="center"/>
      </w:pPr>
      <w:r>
        <w:rPr>
          <w:noProof/>
        </w:rPr>
        <w:drawing>
          <wp:inline distT="0" distB="0" distL="0" distR="0" wp14:anchorId="0C5B55E3" wp14:editId="26FA9113">
            <wp:extent cx="5303520" cy="293934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bscription_rate_education.png"/>
                    <pic:cNvPicPr/>
                  </pic:nvPicPr>
                  <pic:blipFill>
                    <a:blip r:embed="rId8"/>
                    <a:stretch>
                      <a:fillRect/>
                    </a:stretch>
                  </pic:blipFill>
                  <pic:spPr>
                    <a:xfrm>
                      <a:off x="0" y="0"/>
                      <a:ext cx="5303520" cy="2939345"/>
                    </a:xfrm>
                    <a:prstGeom prst="rect">
                      <a:avLst/>
                    </a:prstGeom>
                  </pic:spPr>
                </pic:pic>
              </a:graphicData>
            </a:graphic>
          </wp:inline>
        </w:drawing>
      </w:r>
    </w:p>
    <w:p w14:paraId="355DF9DC" w14:textId="77777777" w:rsidR="00D061C3" w:rsidRPr="00D061C3" w:rsidRDefault="00D061C3" w:rsidP="00D061C3">
      <w:pPr>
        <w:jc w:val="center"/>
        <w:rPr>
          <w:rFonts w:ascii="Arial" w:hAnsi="Arial" w:cs="Arial"/>
        </w:rPr>
      </w:pPr>
      <w:r w:rsidRPr="00D061C3">
        <w:rPr>
          <w:rFonts w:ascii="Arial" w:hAnsi="Arial" w:cs="Arial"/>
          <w:i/>
          <w:sz w:val="18"/>
        </w:rPr>
        <w:t>Figure 4. Subscription rate by education level.</w:t>
      </w:r>
    </w:p>
    <w:p w14:paraId="71474D47" w14:textId="77777777" w:rsidR="00D061C3" w:rsidRPr="00D061C3" w:rsidRDefault="00D061C3" w:rsidP="00D061C3">
      <w:pPr>
        <w:pStyle w:val="Heading2"/>
        <w:spacing w:before="140"/>
        <w:rPr>
          <w:rFonts w:ascii="Arial" w:hAnsi="Arial" w:cs="Arial"/>
          <w:sz w:val="24"/>
          <w:szCs w:val="24"/>
        </w:rPr>
      </w:pPr>
      <w:r w:rsidRPr="00D061C3">
        <w:rPr>
          <w:rFonts w:ascii="Arial" w:hAnsi="Arial" w:cs="Arial"/>
          <w:sz w:val="24"/>
          <w:szCs w:val="24"/>
        </w:rPr>
        <w:lastRenderedPageBreak/>
        <w:t>5.5 Subscription Rate by Contact Method</w:t>
      </w:r>
    </w:p>
    <w:p w14:paraId="576C8D42" w14:textId="77777777" w:rsidR="00D061C3" w:rsidRPr="00D061C3" w:rsidRDefault="00D061C3" w:rsidP="00D061C3">
      <w:pPr>
        <w:spacing w:after="100"/>
        <w:rPr>
          <w:rFonts w:ascii="Arial" w:hAnsi="Arial" w:cs="Arial"/>
          <w:sz w:val="16"/>
          <w:szCs w:val="16"/>
        </w:rPr>
      </w:pPr>
      <w:r w:rsidRPr="00D061C3">
        <w:rPr>
          <w:rFonts w:ascii="Arial" w:hAnsi="Arial" w:cs="Arial"/>
          <w:sz w:val="16"/>
          <w:szCs w:val="16"/>
        </w:rPr>
        <w:t>Subscription rates differ across recorded contact methods. The highest observed rate is associated with cellular at 54.3%. This suggests that the communication channel may influence campaign response, but the descriptive analysis alone cannot establish that the channel caused the difference.</w:t>
      </w:r>
    </w:p>
    <w:p w14:paraId="7A740F8A" w14:textId="77777777" w:rsidR="00D061C3" w:rsidRDefault="00D061C3" w:rsidP="00D061C3">
      <w:pPr>
        <w:jc w:val="center"/>
      </w:pPr>
      <w:r>
        <w:rPr>
          <w:noProof/>
        </w:rPr>
        <w:drawing>
          <wp:inline distT="0" distB="0" distL="0" distR="0" wp14:anchorId="759C54CD" wp14:editId="096E2095">
            <wp:extent cx="5303520" cy="293727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bscription_rate_contact.png"/>
                    <pic:cNvPicPr/>
                  </pic:nvPicPr>
                  <pic:blipFill>
                    <a:blip r:embed="rId9"/>
                    <a:stretch>
                      <a:fillRect/>
                    </a:stretch>
                  </pic:blipFill>
                  <pic:spPr>
                    <a:xfrm>
                      <a:off x="0" y="0"/>
                      <a:ext cx="5303520" cy="2937276"/>
                    </a:xfrm>
                    <a:prstGeom prst="rect">
                      <a:avLst/>
                    </a:prstGeom>
                  </pic:spPr>
                </pic:pic>
              </a:graphicData>
            </a:graphic>
          </wp:inline>
        </w:drawing>
      </w:r>
    </w:p>
    <w:p w14:paraId="518516EB" w14:textId="77777777" w:rsidR="00D061C3" w:rsidRPr="00D061C3" w:rsidRDefault="00D061C3" w:rsidP="00D061C3">
      <w:pPr>
        <w:jc w:val="center"/>
        <w:rPr>
          <w:rFonts w:ascii="Arial" w:hAnsi="Arial" w:cs="Arial"/>
        </w:rPr>
      </w:pPr>
      <w:r w:rsidRPr="00D061C3">
        <w:rPr>
          <w:rFonts w:ascii="Arial" w:hAnsi="Arial" w:cs="Arial"/>
          <w:i/>
          <w:sz w:val="18"/>
        </w:rPr>
        <w:t>Figure 5. Subscription rate by contact method.</w:t>
      </w:r>
    </w:p>
    <w:p w14:paraId="79CD23E3" w14:textId="77777777" w:rsidR="00D061C3" w:rsidRPr="00D061C3" w:rsidRDefault="00D061C3" w:rsidP="00D061C3">
      <w:pPr>
        <w:pStyle w:val="Heading2"/>
        <w:spacing w:before="140"/>
        <w:rPr>
          <w:rFonts w:ascii="Arial" w:hAnsi="Arial" w:cs="Arial"/>
        </w:rPr>
      </w:pPr>
      <w:r w:rsidRPr="00D061C3">
        <w:rPr>
          <w:rFonts w:ascii="Arial" w:hAnsi="Arial" w:cs="Arial"/>
        </w:rPr>
        <w:t>5.6 Subscription Rate by Previous Campaign Outcome</w:t>
      </w:r>
    </w:p>
    <w:p w14:paraId="4DE6B898" w14:textId="77777777" w:rsidR="00D061C3" w:rsidRPr="00D061C3" w:rsidRDefault="00D061C3" w:rsidP="00D061C3">
      <w:pPr>
        <w:spacing w:after="100"/>
        <w:rPr>
          <w:rFonts w:ascii="Arial" w:hAnsi="Arial" w:cs="Arial"/>
          <w:sz w:val="16"/>
          <w:szCs w:val="16"/>
        </w:rPr>
      </w:pPr>
      <w:r w:rsidRPr="00D061C3">
        <w:rPr>
          <w:rFonts w:ascii="Arial" w:hAnsi="Arial" w:cs="Arial"/>
          <w:sz w:val="16"/>
          <w:szCs w:val="16"/>
        </w:rPr>
        <w:t>Previous campaign outcome is one of the strongest patterns in the analysis. Customers with a previous outcome of 'success' have a subscription rate of 91.3%. This suggests that prior campaign response can be a valuable indicator of customer engagement and should be considered in future targeting.</w:t>
      </w:r>
    </w:p>
    <w:p w14:paraId="2744863F" w14:textId="77777777" w:rsidR="00D061C3" w:rsidRDefault="00D061C3" w:rsidP="00D061C3">
      <w:pPr>
        <w:jc w:val="center"/>
      </w:pPr>
      <w:r>
        <w:rPr>
          <w:noProof/>
        </w:rPr>
        <w:drawing>
          <wp:inline distT="0" distB="0" distL="0" distR="0" wp14:anchorId="60E49B04" wp14:editId="3D1BCCB5">
            <wp:extent cx="5303520" cy="293727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bscription_rate_previous_outcome.png"/>
                    <pic:cNvPicPr/>
                  </pic:nvPicPr>
                  <pic:blipFill>
                    <a:blip r:embed="rId10"/>
                    <a:stretch>
                      <a:fillRect/>
                    </a:stretch>
                  </pic:blipFill>
                  <pic:spPr>
                    <a:xfrm>
                      <a:off x="0" y="0"/>
                      <a:ext cx="5303520" cy="2937276"/>
                    </a:xfrm>
                    <a:prstGeom prst="rect">
                      <a:avLst/>
                    </a:prstGeom>
                  </pic:spPr>
                </pic:pic>
              </a:graphicData>
            </a:graphic>
          </wp:inline>
        </w:drawing>
      </w:r>
    </w:p>
    <w:p w14:paraId="0ADEEF5D" w14:textId="77777777" w:rsidR="00D061C3" w:rsidRPr="00D061C3" w:rsidRDefault="00D061C3" w:rsidP="00D061C3">
      <w:pPr>
        <w:jc w:val="center"/>
        <w:rPr>
          <w:rFonts w:ascii="Arial" w:hAnsi="Arial" w:cs="Arial"/>
        </w:rPr>
      </w:pPr>
      <w:r w:rsidRPr="00D061C3">
        <w:rPr>
          <w:rFonts w:ascii="Arial" w:hAnsi="Arial" w:cs="Arial"/>
          <w:i/>
          <w:sz w:val="18"/>
        </w:rPr>
        <w:t>Figure 6. Subscription rate by previous campaign outcome.</w:t>
      </w:r>
    </w:p>
    <w:p w14:paraId="25917969" w14:textId="77777777" w:rsidR="00D061C3" w:rsidRPr="00D061C3" w:rsidRDefault="00D061C3" w:rsidP="00D061C3">
      <w:pPr>
        <w:pStyle w:val="Heading2"/>
        <w:spacing w:before="140"/>
        <w:rPr>
          <w:rFonts w:ascii="Arial" w:hAnsi="Arial" w:cs="Arial"/>
          <w:sz w:val="24"/>
          <w:szCs w:val="24"/>
        </w:rPr>
      </w:pPr>
      <w:r w:rsidRPr="00D061C3">
        <w:rPr>
          <w:rFonts w:ascii="Arial" w:hAnsi="Arial" w:cs="Arial"/>
          <w:sz w:val="24"/>
          <w:szCs w:val="24"/>
        </w:rPr>
        <w:lastRenderedPageBreak/>
        <w:t>5.7 Subscription Rate by Contact Month</w:t>
      </w:r>
    </w:p>
    <w:p w14:paraId="58EB7494" w14:textId="77777777" w:rsidR="00D061C3" w:rsidRPr="00D061C3" w:rsidRDefault="00D061C3" w:rsidP="00D061C3">
      <w:pPr>
        <w:spacing w:after="100"/>
        <w:rPr>
          <w:rFonts w:ascii="Arial" w:hAnsi="Arial" w:cs="Arial"/>
          <w:sz w:val="16"/>
          <w:szCs w:val="16"/>
        </w:rPr>
      </w:pPr>
      <w:r w:rsidRPr="00D061C3">
        <w:rPr>
          <w:rFonts w:ascii="Arial" w:hAnsi="Arial" w:cs="Arial"/>
          <w:sz w:val="16"/>
          <w:szCs w:val="16"/>
        </w:rPr>
        <w:t xml:space="preserve">Subscription rates vary considerably by contact month. The highest observed rate is in dec at 90.9%, while the lowest is in </w:t>
      </w:r>
      <w:proofErr w:type="spellStart"/>
      <w:proofErr w:type="gramStart"/>
      <w:r w:rsidRPr="00D061C3">
        <w:rPr>
          <w:rFonts w:ascii="Arial" w:hAnsi="Arial" w:cs="Arial"/>
          <w:sz w:val="16"/>
          <w:szCs w:val="16"/>
        </w:rPr>
        <w:t>may</w:t>
      </w:r>
      <w:proofErr w:type="spellEnd"/>
      <w:proofErr w:type="gramEnd"/>
      <w:r w:rsidRPr="00D061C3">
        <w:rPr>
          <w:rFonts w:ascii="Arial" w:hAnsi="Arial" w:cs="Arial"/>
          <w:sz w:val="16"/>
          <w:szCs w:val="16"/>
        </w:rPr>
        <w:t xml:space="preserve"> at 32.8%. These differences suggest that campaign timing is worth investigating. However, monthly rates can also be affected by customer mix and campaign composition, so the pattern should not be interpreted as causal.</w:t>
      </w:r>
    </w:p>
    <w:p w14:paraId="5BE43DE3" w14:textId="77777777" w:rsidR="00D061C3" w:rsidRDefault="00D061C3" w:rsidP="00D061C3">
      <w:pPr>
        <w:jc w:val="center"/>
      </w:pPr>
      <w:r>
        <w:rPr>
          <w:noProof/>
        </w:rPr>
        <w:drawing>
          <wp:inline distT="0" distB="0" distL="0" distR="0" wp14:anchorId="6E8916F0" wp14:editId="1C41F791">
            <wp:extent cx="5303520" cy="260866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bscription_rate_month.png"/>
                    <pic:cNvPicPr/>
                  </pic:nvPicPr>
                  <pic:blipFill>
                    <a:blip r:embed="rId11"/>
                    <a:stretch>
                      <a:fillRect/>
                    </a:stretch>
                  </pic:blipFill>
                  <pic:spPr>
                    <a:xfrm>
                      <a:off x="0" y="0"/>
                      <a:ext cx="5303520" cy="2608668"/>
                    </a:xfrm>
                    <a:prstGeom prst="rect">
                      <a:avLst/>
                    </a:prstGeom>
                  </pic:spPr>
                </pic:pic>
              </a:graphicData>
            </a:graphic>
          </wp:inline>
        </w:drawing>
      </w:r>
    </w:p>
    <w:p w14:paraId="5E270B6C" w14:textId="77777777" w:rsidR="00D061C3" w:rsidRPr="00D061C3" w:rsidRDefault="00D061C3" w:rsidP="00D061C3">
      <w:pPr>
        <w:jc w:val="center"/>
        <w:rPr>
          <w:rFonts w:ascii="Arial" w:hAnsi="Arial" w:cs="Arial"/>
        </w:rPr>
      </w:pPr>
      <w:r w:rsidRPr="00D061C3">
        <w:rPr>
          <w:rFonts w:ascii="Arial" w:hAnsi="Arial" w:cs="Arial"/>
          <w:i/>
          <w:sz w:val="18"/>
        </w:rPr>
        <w:t>Figure 7. Subscription rate by contact month.</w:t>
      </w:r>
    </w:p>
    <w:p w14:paraId="1AEE25E6" w14:textId="77777777" w:rsidR="00D061C3" w:rsidRPr="00D061C3" w:rsidRDefault="00D061C3" w:rsidP="00D061C3">
      <w:pPr>
        <w:pStyle w:val="Heading1"/>
        <w:spacing w:before="140"/>
        <w:rPr>
          <w:rFonts w:ascii="Arial" w:hAnsi="Arial" w:cs="Arial"/>
        </w:rPr>
      </w:pPr>
      <w:r w:rsidRPr="00D061C3">
        <w:rPr>
          <w:rFonts w:ascii="Arial" w:hAnsi="Arial" w:cs="Arial"/>
        </w:rPr>
        <w:t>6. Key Findings</w:t>
      </w:r>
    </w:p>
    <w:p w14:paraId="3D309F1A" w14:textId="77777777" w:rsidR="00D061C3" w:rsidRPr="00D061C3" w:rsidRDefault="00D061C3" w:rsidP="00D061C3">
      <w:pPr>
        <w:pStyle w:val="ListBullet"/>
        <w:tabs>
          <w:tab w:val="num" w:pos="360"/>
        </w:tabs>
        <w:spacing w:after="60"/>
        <w:ind w:left="360" w:hanging="360"/>
        <w:rPr>
          <w:rFonts w:ascii="Arial" w:hAnsi="Arial" w:cs="Arial"/>
          <w:sz w:val="16"/>
          <w:szCs w:val="16"/>
        </w:rPr>
      </w:pPr>
      <w:r w:rsidRPr="00D061C3">
        <w:rPr>
          <w:rFonts w:ascii="Arial" w:hAnsi="Arial" w:cs="Arial"/>
          <w:sz w:val="16"/>
          <w:szCs w:val="16"/>
        </w:rPr>
        <w:t>The overall term-deposit subscription rate is 47.4%, with 52.6% of customers not subscribing.</w:t>
      </w:r>
    </w:p>
    <w:p w14:paraId="0D548B47" w14:textId="77777777" w:rsidR="00D061C3" w:rsidRPr="00D061C3" w:rsidRDefault="00D061C3" w:rsidP="00D061C3">
      <w:pPr>
        <w:pStyle w:val="ListBullet"/>
        <w:tabs>
          <w:tab w:val="num" w:pos="360"/>
        </w:tabs>
        <w:spacing w:after="60"/>
        <w:ind w:left="360" w:hanging="360"/>
        <w:rPr>
          <w:rFonts w:ascii="Arial" w:hAnsi="Arial" w:cs="Arial"/>
          <w:sz w:val="16"/>
          <w:szCs w:val="16"/>
        </w:rPr>
      </w:pPr>
      <w:r w:rsidRPr="00D061C3">
        <w:rPr>
          <w:rFonts w:ascii="Arial" w:hAnsi="Arial" w:cs="Arial"/>
          <w:sz w:val="16"/>
          <w:szCs w:val="16"/>
        </w:rPr>
        <w:t>Customer age, occupation and education show substantial variation in the composition of the dataset.</w:t>
      </w:r>
    </w:p>
    <w:p w14:paraId="7F6FECAB" w14:textId="77777777" w:rsidR="00D061C3" w:rsidRPr="00D061C3" w:rsidRDefault="00D061C3" w:rsidP="00D061C3">
      <w:pPr>
        <w:pStyle w:val="ListBullet"/>
        <w:tabs>
          <w:tab w:val="num" w:pos="360"/>
        </w:tabs>
        <w:spacing w:after="60"/>
        <w:ind w:left="360" w:hanging="360"/>
        <w:rPr>
          <w:rFonts w:ascii="Arial" w:hAnsi="Arial" w:cs="Arial"/>
          <w:sz w:val="16"/>
          <w:szCs w:val="16"/>
        </w:rPr>
      </w:pPr>
      <w:r w:rsidRPr="00D061C3">
        <w:rPr>
          <w:rFonts w:ascii="Arial" w:hAnsi="Arial" w:cs="Arial"/>
          <w:sz w:val="16"/>
          <w:szCs w:val="16"/>
        </w:rPr>
        <w:t>student has the highest observed job-level subscription rate at 74.7%.</w:t>
      </w:r>
    </w:p>
    <w:p w14:paraId="03D76013" w14:textId="77777777" w:rsidR="00D061C3" w:rsidRPr="00D061C3" w:rsidRDefault="00D061C3" w:rsidP="00D061C3">
      <w:pPr>
        <w:pStyle w:val="ListBullet"/>
        <w:tabs>
          <w:tab w:val="num" w:pos="360"/>
        </w:tabs>
        <w:spacing w:after="60"/>
        <w:ind w:left="360" w:hanging="360"/>
        <w:rPr>
          <w:rFonts w:ascii="Arial" w:hAnsi="Arial" w:cs="Arial"/>
          <w:sz w:val="16"/>
          <w:szCs w:val="16"/>
        </w:rPr>
      </w:pPr>
      <w:r w:rsidRPr="00D061C3">
        <w:rPr>
          <w:rFonts w:ascii="Arial" w:hAnsi="Arial" w:cs="Arial"/>
          <w:sz w:val="16"/>
          <w:szCs w:val="16"/>
        </w:rPr>
        <w:t>tertiary has the highest observed education-level subscription rate at 54.1%.</w:t>
      </w:r>
    </w:p>
    <w:p w14:paraId="788D676E" w14:textId="77777777" w:rsidR="00D061C3" w:rsidRPr="00D061C3" w:rsidRDefault="00D061C3" w:rsidP="00D061C3">
      <w:pPr>
        <w:pStyle w:val="ListBullet"/>
        <w:tabs>
          <w:tab w:val="num" w:pos="360"/>
        </w:tabs>
        <w:spacing w:after="60"/>
        <w:ind w:left="360" w:hanging="360"/>
        <w:rPr>
          <w:rFonts w:ascii="Arial" w:hAnsi="Arial" w:cs="Arial"/>
          <w:sz w:val="16"/>
          <w:szCs w:val="16"/>
        </w:rPr>
      </w:pPr>
      <w:r w:rsidRPr="00D061C3">
        <w:rPr>
          <w:rFonts w:ascii="Arial" w:hAnsi="Arial" w:cs="Arial"/>
          <w:sz w:val="16"/>
          <w:szCs w:val="16"/>
        </w:rPr>
        <w:t>cellular has the highest observed subscription rate among the recorded contact methods at 54.3%.</w:t>
      </w:r>
    </w:p>
    <w:p w14:paraId="63C5DF72" w14:textId="77777777" w:rsidR="00D061C3" w:rsidRPr="00D061C3" w:rsidRDefault="00D061C3" w:rsidP="00D061C3">
      <w:pPr>
        <w:pStyle w:val="ListBullet"/>
        <w:tabs>
          <w:tab w:val="num" w:pos="360"/>
        </w:tabs>
        <w:spacing w:after="60"/>
        <w:ind w:left="360" w:hanging="360"/>
        <w:rPr>
          <w:rFonts w:ascii="Arial" w:hAnsi="Arial" w:cs="Arial"/>
          <w:sz w:val="16"/>
          <w:szCs w:val="16"/>
        </w:rPr>
      </w:pPr>
      <w:r w:rsidRPr="00D061C3">
        <w:rPr>
          <w:rFonts w:ascii="Arial" w:hAnsi="Arial" w:cs="Arial"/>
          <w:sz w:val="16"/>
          <w:szCs w:val="16"/>
        </w:rPr>
        <w:t>The previous campaign outcome is a particularly useful segmentation variable, with 'success' showing the highest observed rate of 91.3%.</w:t>
      </w:r>
    </w:p>
    <w:p w14:paraId="3919F540" w14:textId="54BA70DF" w:rsidR="00D061C3" w:rsidRPr="00D061C3" w:rsidRDefault="00D061C3" w:rsidP="00D061C3">
      <w:pPr>
        <w:pStyle w:val="ListBullet"/>
        <w:tabs>
          <w:tab w:val="num" w:pos="360"/>
        </w:tabs>
        <w:spacing w:after="60"/>
        <w:ind w:left="360" w:hanging="360"/>
        <w:rPr>
          <w:rFonts w:ascii="Arial" w:hAnsi="Arial" w:cs="Arial"/>
          <w:sz w:val="16"/>
          <w:szCs w:val="16"/>
        </w:rPr>
      </w:pPr>
      <w:r w:rsidRPr="00D061C3">
        <w:rPr>
          <w:rFonts w:ascii="Arial" w:hAnsi="Arial" w:cs="Arial"/>
          <w:sz w:val="16"/>
          <w:szCs w:val="16"/>
        </w:rPr>
        <w:t xml:space="preserve">Monthly subscription rates vary from 32.8% in </w:t>
      </w:r>
      <w:r w:rsidR="00127B2E">
        <w:rPr>
          <w:rFonts w:ascii="Arial" w:hAnsi="Arial" w:cs="Arial"/>
          <w:sz w:val="16"/>
          <w:szCs w:val="16"/>
        </w:rPr>
        <w:t>M</w:t>
      </w:r>
      <w:r w:rsidRPr="00D061C3">
        <w:rPr>
          <w:rFonts w:ascii="Arial" w:hAnsi="Arial" w:cs="Arial"/>
          <w:sz w:val="16"/>
          <w:szCs w:val="16"/>
        </w:rPr>
        <w:t>ay to 90.9% in dec.</w:t>
      </w:r>
    </w:p>
    <w:p w14:paraId="33E2741D" w14:textId="77777777" w:rsidR="00D061C3" w:rsidRPr="00D061C3" w:rsidRDefault="00D061C3" w:rsidP="00D061C3">
      <w:pPr>
        <w:pStyle w:val="Heading1"/>
        <w:spacing w:before="140"/>
        <w:rPr>
          <w:rFonts w:ascii="Arial" w:hAnsi="Arial" w:cs="Arial"/>
        </w:rPr>
      </w:pPr>
      <w:r w:rsidRPr="00D061C3">
        <w:rPr>
          <w:rFonts w:ascii="Arial" w:hAnsi="Arial" w:cs="Arial"/>
        </w:rPr>
        <w:t>7. Business Insights</w:t>
      </w:r>
    </w:p>
    <w:p w14:paraId="118D4A8A" w14:textId="77777777" w:rsidR="00D061C3" w:rsidRPr="00D061C3" w:rsidRDefault="00D061C3" w:rsidP="00D061C3">
      <w:pPr>
        <w:spacing w:after="100"/>
        <w:rPr>
          <w:rFonts w:ascii="Arial" w:hAnsi="Arial" w:cs="Arial"/>
          <w:sz w:val="16"/>
          <w:szCs w:val="16"/>
        </w:rPr>
      </w:pPr>
      <w:r w:rsidRPr="00D061C3">
        <w:rPr>
          <w:rFonts w:ascii="Arial" w:hAnsi="Arial" w:cs="Arial"/>
          <w:sz w:val="16"/>
          <w:szCs w:val="16"/>
        </w:rPr>
        <w:t>The findings suggest that the bank should avoid treating its customer base as a single homogeneous group. Different customer segments respond differently to marketing campaigns, and the distribution of customers across those segments is also uneven.</w:t>
      </w:r>
    </w:p>
    <w:p w14:paraId="747146FA" w14:textId="4740B5DE" w:rsidR="00D061C3" w:rsidRPr="00D061C3" w:rsidRDefault="00D061C3" w:rsidP="00D061C3">
      <w:pPr>
        <w:spacing w:after="100"/>
        <w:rPr>
          <w:rFonts w:ascii="Arial" w:hAnsi="Arial" w:cs="Arial"/>
          <w:sz w:val="16"/>
          <w:szCs w:val="16"/>
        </w:rPr>
      </w:pPr>
      <w:r w:rsidRPr="00D061C3">
        <w:rPr>
          <w:rFonts w:ascii="Arial" w:hAnsi="Arial" w:cs="Arial"/>
          <w:sz w:val="16"/>
          <w:szCs w:val="16"/>
        </w:rPr>
        <w:t xml:space="preserve">The previous campaign outcome stands out as a practical indicator of customer engagement. Customers who have previously responded positively appear substantially more likely to subscribe again. This creates an opportunity to </w:t>
      </w:r>
      <w:r w:rsidR="00127B2E" w:rsidRPr="00D061C3">
        <w:rPr>
          <w:rFonts w:ascii="Arial" w:hAnsi="Arial" w:cs="Arial"/>
          <w:sz w:val="16"/>
          <w:szCs w:val="16"/>
        </w:rPr>
        <w:t>prioritize</w:t>
      </w:r>
      <w:r w:rsidRPr="00D061C3">
        <w:rPr>
          <w:rFonts w:ascii="Arial" w:hAnsi="Arial" w:cs="Arial"/>
          <w:sz w:val="16"/>
          <w:szCs w:val="16"/>
        </w:rPr>
        <w:t xml:space="preserve"> customers with demonstrated interest rather than relying only on broad demographic targeting.</w:t>
      </w:r>
    </w:p>
    <w:p w14:paraId="38BCE386" w14:textId="135FC9CB" w:rsidR="00D061C3" w:rsidRPr="00D061C3" w:rsidRDefault="00D061C3" w:rsidP="00D061C3">
      <w:pPr>
        <w:spacing w:after="100"/>
        <w:rPr>
          <w:rFonts w:ascii="Arial" w:hAnsi="Arial" w:cs="Arial"/>
          <w:sz w:val="16"/>
          <w:szCs w:val="16"/>
        </w:rPr>
      </w:pPr>
      <w:r w:rsidRPr="00D061C3">
        <w:rPr>
          <w:rFonts w:ascii="Arial" w:hAnsi="Arial" w:cs="Arial"/>
          <w:sz w:val="16"/>
          <w:szCs w:val="16"/>
        </w:rPr>
        <w:t xml:space="preserve">The differences across contact methods and months also suggest that campaign execution matters. The bank can use these patterns as starting points for controlled tests, while </w:t>
      </w:r>
      <w:r w:rsidR="00127B2E" w:rsidRPr="00D061C3">
        <w:rPr>
          <w:rFonts w:ascii="Arial" w:hAnsi="Arial" w:cs="Arial"/>
          <w:sz w:val="16"/>
          <w:szCs w:val="16"/>
        </w:rPr>
        <w:t>recognizing</w:t>
      </w:r>
      <w:r w:rsidRPr="00D061C3">
        <w:rPr>
          <w:rFonts w:ascii="Arial" w:hAnsi="Arial" w:cs="Arial"/>
          <w:sz w:val="16"/>
          <w:szCs w:val="16"/>
        </w:rPr>
        <w:t xml:space="preserve"> that the current analysis is descriptive rather than causal.</w:t>
      </w:r>
    </w:p>
    <w:p w14:paraId="41716B83" w14:textId="77777777" w:rsidR="00D061C3" w:rsidRPr="00D061C3" w:rsidRDefault="00D061C3" w:rsidP="00D061C3">
      <w:pPr>
        <w:pStyle w:val="Heading1"/>
        <w:spacing w:before="140"/>
        <w:rPr>
          <w:rFonts w:ascii="Arial" w:hAnsi="Arial" w:cs="Arial"/>
        </w:rPr>
      </w:pPr>
      <w:r w:rsidRPr="00D061C3">
        <w:rPr>
          <w:rFonts w:ascii="Arial" w:hAnsi="Arial" w:cs="Arial"/>
        </w:rPr>
        <w:t>8. Actionable Business Recommendations</w:t>
      </w:r>
    </w:p>
    <w:p w14:paraId="373666A5" w14:textId="1592B249" w:rsidR="00D061C3" w:rsidRPr="00D061C3" w:rsidRDefault="00D061C3" w:rsidP="00D061C3">
      <w:pPr>
        <w:spacing w:after="100"/>
        <w:rPr>
          <w:rFonts w:ascii="Arial" w:hAnsi="Arial" w:cs="Arial"/>
          <w:sz w:val="16"/>
          <w:szCs w:val="16"/>
        </w:rPr>
      </w:pPr>
      <w:r w:rsidRPr="00D061C3">
        <w:rPr>
          <w:rFonts w:ascii="Arial" w:hAnsi="Arial" w:cs="Arial"/>
          <w:b/>
          <w:sz w:val="16"/>
          <w:szCs w:val="16"/>
        </w:rPr>
        <w:t xml:space="preserve">1. </w:t>
      </w:r>
      <w:r w:rsidR="00127B2E" w:rsidRPr="00D061C3">
        <w:rPr>
          <w:rFonts w:ascii="Arial" w:hAnsi="Arial" w:cs="Arial"/>
          <w:b/>
          <w:sz w:val="16"/>
          <w:szCs w:val="16"/>
        </w:rPr>
        <w:t>Prioritize</w:t>
      </w:r>
      <w:r w:rsidRPr="00D061C3">
        <w:rPr>
          <w:rFonts w:ascii="Arial" w:hAnsi="Arial" w:cs="Arial"/>
          <w:b/>
          <w:sz w:val="16"/>
          <w:szCs w:val="16"/>
        </w:rPr>
        <w:t xml:space="preserve"> high-intent customers. </w:t>
      </w:r>
      <w:r w:rsidRPr="00D061C3">
        <w:rPr>
          <w:rFonts w:ascii="Arial" w:hAnsi="Arial" w:cs="Arial"/>
          <w:sz w:val="16"/>
          <w:szCs w:val="16"/>
        </w:rPr>
        <w:t>Use previous successful campaign outcomes as an important targeting signal. Customers with demonstrated prior interest can receive more relevant follow-up communication.</w:t>
      </w:r>
    </w:p>
    <w:p w14:paraId="3D0C8A8E" w14:textId="77777777" w:rsidR="00D061C3" w:rsidRPr="00D061C3" w:rsidRDefault="00D061C3" w:rsidP="00D061C3">
      <w:pPr>
        <w:spacing w:after="100"/>
        <w:rPr>
          <w:rFonts w:ascii="Arial" w:hAnsi="Arial" w:cs="Arial"/>
          <w:sz w:val="16"/>
          <w:szCs w:val="16"/>
        </w:rPr>
      </w:pPr>
      <w:r w:rsidRPr="00D061C3">
        <w:rPr>
          <w:rFonts w:ascii="Arial" w:hAnsi="Arial" w:cs="Arial"/>
          <w:b/>
          <w:sz w:val="16"/>
          <w:szCs w:val="16"/>
        </w:rPr>
        <w:t xml:space="preserve">2. Develop customer segments. </w:t>
      </w:r>
      <w:r w:rsidRPr="00D061C3">
        <w:rPr>
          <w:rFonts w:ascii="Arial" w:hAnsi="Arial" w:cs="Arial"/>
          <w:sz w:val="16"/>
          <w:szCs w:val="16"/>
        </w:rPr>
        <w:t>Use occupation and education, together with other available customer information, to create more targeted campaign groups rather than using a single message for everyone.</w:t>
      </w:r>
    </w:p>
    <w:p w14:paraId="252C2F6C" w14:textId="77777777" w:rsidR="00D061C3" w:rsidRPr="00D061C3" w:rsidRDefault="00D061C3" w:rsidP="00D061C3">
      <w:pPr>
        <w:spacing w:after="100"/>
        <w:rPr>
          <w:rFonts w:ascii="Arial" w:hAnsi="Arial" w:cs="Arial"/>
          <w:sz w:val="16"/>
          <w:szCs w:val="16"/>
        </w:rPr>
      </w:pPr>
      <w:r w:rsidRPr="00D061C3">
        <w:rPr>
          <w:rFonts w:ascii="Arial" w:hAnsi="Arial" w:cs="Arial"/>
          <w:b/>
          <w:sz w:val="16"/>
          <w:szCs w:val="16"/>
        </w:rPr>
        <w:t xml:space="preserve">3. Evaluate contact channels. </w:t>
      </w:r>
      <w:r w:rsidRPr="00D061C3">
        <w:rPr>
          <w:rFonts w:ascii="Arial" w:hAnsi="Arial" w:cs="Arial"/>
          <w:sz w:val="16"/>
          <w:szCs w:val="16"/>
        </w:rPr>
        <w:t>Compare campaign performance by contact method and investigate why some channels show higher subscription rates. Use controlled testing before making large-scale channel changes.</w:t>
      </w:r>
    </w:p>
    <w:p w14:paraId="2B2400CD" w14:textId="77777777" w:rsidR="00D061C3" w:rsidRPr="00D061C3" w:rsidRDefault="00D061C3" w:rsidP="00D061C3">
      <w:pPr>
        <w:spacing w:after="100"/>
        <w:rPr>
          <w:rFonts w:ascii="Arial" w:hAnsi="Arial" w:cs="Arial"/>
          <w:sz w:val="16"/>
          <w:szCs w:val="16"/>
        </w:rPr>
      </w:pPr>
      <w:r w:rsidRPr="00D061C3">
        <w:rPr>
          <w:rFonts w:ascii="Arial" w:hAnsi="Arial" w:cs="Arial"/>
          <w:b/>
          <w:sz w:val="16"/>
          <w:szCs w:val="16"/>
        </w:rPr>
        <w:t xml:space="preserve">4. Test campaign timing. </w:t>
      </w:r>
      <w:r w:rsidRPr="00D061C3">
        <w:rPr>
          <w:rFonts w:ascii="Arial" w:hAnsi="Arial" w:cs="Arial"/>
          <w:sz w:val="16"/>
          <w:szCs w:val="16"/>
        </w:rPr>
        <w:t>The large differences between monthly subscription rates justify further testing of campaign timing. The bank should run structured experiments rather than assuming a particular month directly causes higher conversion.</w:t>
      </w:r>
    </w:p>
    <w:p w14:paraId="1F3F85A7" w14:textId="77777777" w:rsidR="00D061C3" w:rsidRPr="00D061C3" w:rsidRDefault="00D061C3" w:rsidP="00D061C3">
      <w:pPr>
        <w:spacing w:after="100"/>
        <w:rPr>
          <w:rFonts w:ascii="Arial" w:hAnsi="Arial" w:cs="Arial"/>
          <w:sz w:val="16"/>
          <w:szCs w:val="16"/>
        </w:rPr>
      </w:pPr>
      <w:r w:rsidRPr="00D061C3">
        <w:rPr>
          <w:rFonts w:ascii="Arial" w:hAnsi="Arial" w:cs="Arial"/>
          <w:b/>
          <w:sz w:val="16"/>
          <w:szCs w:val="16"/>
        </w:rPr>
        <w:lastRenderedPageBreak/>
        <w:t xml:space="preserve">5. Monitor conversion KPIs. </w:t>
      </w:r>
      <w:r w:rsidRPr="00D061C3">
        <w:rPr>
          <w:rFonts w:ascii="Arial" w:hAnsi="Arial" w:cs="Arial"/>
          <w:sz w:val="16"/>
          <w:szCs w:val="16"/>
        </w:rPr>
        <w:t>Track overall subscription rate, subscription rate by segment, conversion by contact method, and conversion by campaign period. This will allow management to evaluate whether targeting improvements are working.</w:t>
      </w:r>
    </w:p>
    <w:p w14:paraId="62F70E97" w14:textId="77777777" w:rsidR="00D061C3" w:rsidRPr="00D061C3" w:rsidRDefault="00D061C3" w:rsidP="00D061C3">
      <w:pPr>
        <w:pStyle w:val="Heading1"/>
        <w:spacing w:before="140"/>
        <w:rPr>
          <w:rFonts w:ascii="Arial" w:hAnsi="Arial" w:cs="Arial"/>
        </w:rPr>
      </w:pPr>
      <w:r w:rsidRPr="00D061C3">
        <w:rPr>
          <w:rFonts w:ascii="Arial" w:hAnsi="Arial" w:cs="Arial"/>
        </w:rPr>
        <w:t>9. Challenges and Limitations</w:t>
      </w:r>
    </w:p>
    <w:p w14:paraId="3AF7962A" w14:textId="77777777" w:rsidR="00D061C3" w:rsidRPr="00D061C3" w:rsidRDefault="00D061C3" w:rsidP="00D061C3">
      <w:pPr>
        <w:pStyle w:val="ListBullet"/>
        <w:tabs>
          <w:tab w:val="num" w:pos="360"/>
        </w:tabs>
        <w:spacing w:after="60"/>
        <w:ind w:left="360" w:hanging="360"/>
        <w:rPr>
          <w:rFonts w:ascii="Arial" w:hAnsi="Arial" w:cs="Arial"/>
          <w:sz w:val="16"/>
          <w:szCs w:val="16"/>
        </w:rPr>
      </w:pPr>
      <w:r w:rsidRPr="00D061C3">
        <w:rPr>
          <w:rFonts w:ascii="Arial" w:hAnsi="Arial" w:cs="Arial"/>
          <w:sz w:val="16"/>
          <w:szCs w:val="16"/>
        </w:rPr>
        <w:t>The analysis is primarily descriptive and therefore identifies associations rather than proving causation.</w:t>
      </w:r>
    </w:p>
    <w:p w14:paraId="4748A4E5" w14:textId="77777777" w:rsidR="00D061C3" w:rsidRPr="00D061C3" w:rsidRDefault="00D061C3" w:rsidP="00D061C3">
      <w:pPr>
        <w:pStyle w:val="ListBullet"/>
        <w:tabs>
          <w:tab w:val="num" w:pos="360"/>
        </w:tabs>
        <w:spacing w:after="60"/>
        <w:ind w:left="360" w:hanging="360"/>
        <w:rPr>
          <w:rFonts w:ascii="Arial" w:hAnsi="Arial" w:cs="Arial"/>
          <w:sz w:val="16"/>
          <w:szCs w:val="16"/>
        </w:rPr>
      </w:pPr>
      <w:r w:rsidRPr="00D061C3">
        <w:rPr>
          <w:rFonts w:ascii="Arial" w:hAnsi="Arial" w:cs="Arial"/>
          <w:sz w:val="16"/>
          <w:szCs w:val="16"/>
        </w:rPr>
        <w:t>Some categories may contain different numbers of observations, so a high rate in a small group should be interpreted carefully.</w:t>
      </w:r>
    </w:p>
    <w:p w14:paraId="48EAC4A6" w14:textId="77777777" w:rsidR="00D061C3" w:rsidRPr="00D061C3" w:rsidRDefault="00D061C3" w:rsidP="00D061C3">
      <w:pPr>
        <w:pStyle w:val="ListBullet"/>
        <w:tabs>
          <w:tab w:val="num" w:pos="360"/>
        </w:tabs>
        <w:spacing w:after="60"/>
        <w:ind w:left="360" w:hanging="360"/>
        <w:rPr>
          <w:rFonts w:ascii="Arial" w:hAnsi="Arial" w:cs="Arial"/>
          <w:sz w:val="16"/>
          <w:szCs w:val="16"/>
        </w:rPr>
      </w:pPr>
      <w:r w:rsidRPr="00D061C3">
        <w:rPr>
          <w:rFonts w:ascii="Arial" w:hAnsi="Arial" w:cs="Arial"/>
          <w:sz w:val="16"/>
          <w:szCs w:val="16"/>
        </w:rPr>
        <w:t>The 'unknown' previous-campaign-outcome category is large, which limits how precisely previous campaign history can be interpreted.</w:t>
      </w:r>
    </w:p>
    <w:p w14:paraId="7186FDE0" w14:textId="77777777" w:rsidR="00D061C3" w:rsidRPr="00D061C3" w:rsidRDefault="00D061C3" w:rsidP="00D061C3">
      <w:pPr>
        <w:pStyle w:val="ListBullet"/>
        <w:tabs>
          <w:tab w:val="num" w:pos="360"/>
        </w:tabs>
        <w:spacing w:after="60"/>
        <w:ind w:left="360" w:hanging="360"/>
        <w:rPr>
          <w:rFonts w:ascii="Arial" w:hAnsi="Arial" w:cs="Arial"/>
          <w:sz w:val="16"/>
          <w:szCs w:val="16"/>
        </w:rPr>
      </w:pPr>
      <w:r w:rsidRPr="00D061C3">
        <w:rPr>
          <w:rFonts w:ascii="Arial" w:hAnsi="Arial" w:cs="Arial"/>
          <w:sz w:val="16"/>
          <w:szCs w:val="16"/>
        </w:rPr>
        <w:t>Subscription rates by month may reflect differences in customer composition and campaign activity, not only timing effects.</w:t>
      </w:r>
    </w:p>
    <w:p w14:paraId="62C677F4" w14:textId="77777777" w:rsidR="00D061C3" w:rsidRPr="00D061C3" w:rsidRDefault="00D061C3" w:rsidP="00D061C3">
      <w:pPr>
        <w:pStyle w:val="ListBullet"/>
        <w:tabs>
          <w:tab w:val="num" w:pos="360"/>
        </w:tabs>
        <w:spacing w:after="60"/>
        <w:ind w:left="360" w:hanging="360"/>
        <w:rPr>
          <w:rFonts w:ascii="Arial" w:hAnsi="Arial" w:cs="Arial"/>
          <w:sz w:val="16"/>
          <w:szCs w:val="16"/>
        </w:rPr>
      </w:pPr>
      <w:r w:rsidRPr="00D061C3">
        <w:rPr>
          <w:rFonts w:ascii="Arial" w:hAnsi="Arial" w:cs="Arial"/>
          <w:sz w:val="16"/>
          <w:szCs w:val="16"/>
        </w:rPr>
        <w:t>Further statistical modelling could be used to evaluate the simultaneous influence of multiple variables.</w:t>
      </w:r>
    </w:p>
    <w:p w14:paraId="72F4B5F6" w14:textId="77777777" w:rsidR="00D061C3" w:rsidRPr="00D061C3" w:rsidRDefault="00D061C3" w:rsidP="00D061C3">
      <w:pPr>
        <w:pStyle w:val="Heading1"/>
        <w:spacing w:before="140"/>
        <w:rPr>
          <w:rFonts w:ascii="Arial" w:hAnsi="Arial" w:cs="Arial"/>
        </w:rPr>
      </w:pPr>
      <w:r w:rsidRPr="00D061C3">
        <w:rPr>
          <w:rFonts w:ascii="Arial" w:hAnsi="Arial" w:cs="Arial"/>
        </w:rPr>
        <w:t>10. Conclusion</w:t>
      </w:r>
    </w:p>
    <w:p w14:paraId="30F594E8" w14:textId="7F81ED97" w:rsidR="00D061C3" w:rsidRPr="00D061C3" w:rsidRDefault="00D061C3" w:rsidP="00D061C3">
      <w:pPr>
        <w:spacing w:after="100"/>
        <w:rPr>
          <w:rFonts w:ascii="Arial" w:hAnsi="Arial" w:cs="Arial"/>
          <w:sz w:val="16"/>
          <w:szCs w:val="16"/>
        </w:rPr>
      </w:pPr>
      <w:r w:rsidRPr="00D061C3">
        <w:rPr>
          <w:rFonts w:ascii="Arial" w:hAnsi="Arial" w:cs="Arial"/>
          <w:sz w:val="16"/>
          <w:szCs w:val="16"/>
        </w:rPr>
        <w:t xml:space="preserve">This case study </w:t>
      </w:r>
      <w:r w:rsidR="00127B2E" w:rsidRPr="00D061C3">
        <w:rPr>
          <w:rFonts w:ascii="Arial" w:hAnsi="Arial" w:cs="Arial"/>
          <w:sz w:val="16"/>
          <w:szCs w:val="16"/>
        </w:rPr>
        <w:t>analyzed</w:t>
      </w:r>
      <w:r w:rsidRPr="00D061C3">
        <w:rPr>
          <w:rFonts w:ascii="Arial" w:hAnsi="Arial" w:cs="Arial"/>
          <w:sz w:val="16"/>
          <w:szCs w:val="16"/>
        </w:rPr>
        <w:t xml:space="preserve"> 11,162 Bank Marketing customer records to understand factors associated with term-deposit subscription. The overall subscription rate was 47.4%, and the exploratory analysis showed differences across customer segments, contact methods, previous campaign outcomes and months.</w:t>
      </w:r>
    </w:p>
    <w:p w14:paraId="585E498B" w14:textId="77777777" w:rsidR="00D061C3" w:rsidRPr="00D061C3" w:rsidRDefault="00D061C3" w:rsidP="00D061C3">
      <w:pPr>
        <w:spacing w:after="100"/>
        <w:rPr>
          <w:rFonts w:ascii="Arial" w:hAnsi="Arial" w:cs="Arial"/>
          <w:sz w:val="16"/>
          <w:szCs w:val="16"/>
        </w:rPr>
      </w:pPr>
      <w:r w:rsidRPr="00D061C3">
        <w:rPr>
          <w:rFonts w:ascii="Arial" w:hAnsi="Arial" w:cs="Arial"/>
          <w:sz w:val="16"/>
          <w:szCs w:val="16"/>
        </w:rPr>
        <w:t>The main business implication is that the bank can potentially improve campaign effectiveness by moving from broad outreach toward evidence-based customer segmentation. Previous campaign outcomes provide a particularly useful indicator of customer engagement, while occupation, education, contact method and timing provide additional segmentation opportunities.</w:t>
      </w:r>
    </w:p>
    <w:p w14:paraId="34383B5A" w14:textId="77777777" w:rsidR="00D061C3" w:rsidRPr="00D061C3" w:rsidRDefault="00D061C3" w:rsidP="00D061C3">
      <w:pPr>
        <w:spacing w:after="100"/>
        <w:rPr>
          <w:rFonts w:ascii="Arial" w:hAnsi="Arial" w:cs="Arial"/>
          <w:sz w:val="16"/>
          <w:szCs w:val="16"/>
        </w:rPr>
      </w:pPr>
      <w:r w:rsidRPr="00D061C3">
        <w:rPr>
          <w:rFonts w:ascii="Arial" w:hAnsi="Arial" w:cs="Arial"/>
          <w:sz w:val="16"/>
          <w:szCs w:val="16"/>
        </w:rPr>
        <w:t>The recommended next step would be to build a predictive model using the same variables and evaluate it with appropriate classification metrics. This would extend the current descriptive analysis from identifying patterns to estimating the probability that an individual customer will subscribe.</w:t>
      </w:r>
    </w:p>
    <w:p w14:paraId="6C49CE13" w14:textId="77777777" w:rsidR="00D061C3" w:rsidRPr="00D061C3" w:rsidRDefault="00D061C3" w:rsidP="00D061C3">
      <w:pPr>
        <w:pStyle w:val="Heading1"/>
        <w:spacing w:before="140"/>
        <w:rPr>
          <w:rFonts w:ascii="Arial" w:hAnsi="Arial" w:cs="Arial"/>
        </w:rPr>
      </w:pPr>
      <w:r w:rsidRPr="00D061C3">
        <w:rPr>
          <w:rFonts w:ascii="Arial" w:hAnsi="Arial" w:cs="Arial"/>
        </w:rPr>
        <w:t>11. Skills Applied</w:t>
      </w:r>
    </w:p>
    <w:p w14:paraId="66739BB2" w14:textId="77777777" w:rsidR="00D061C3" w:rsidRPr="00D061C3" w:rsidRDefault="00D061C3" w:rsidP="00D061C3">
      <w:pPr>
        <w:pStyle w:val="ListBullet"/>
        <w:tabs>
          <w:tab w:val="num" w:pos="360"/>
        </w:tabs>
        <w:spacing w:after="60"/>
        <w:ind w:left="360" w:hanging="360"/>
        <w:rPr>
          <w:rFonts w:ascii="Arial" w:hAnsi="Arial" w:cs="Arial"/>
          <w:sz w:val="16"/>
          <w:szCs w:val="16"/>
        </w:rPr>
      </w:pPr>
      <w:r w:rsidRPr="00D061C3">
        <w:rPr>
          <w:rFonts w:ascii="Arial" w:hAnsi="Arial" w:cs="Arial"/>
          <w:sz w:val="16"/>
          <w:szCs w:val="16"/>
        </w:rPr>
        <w:t>Python programming</w:t>
      </w:r>
    </w:p>
    <w:p w14:paraId="7C28F1F9" w14:textId="77777777" w:rsidR="00D061C3" w:rsidRPr="00D061C3" w:rsidRDefault="00D061C3" w:rsidP="00D061C3">
      <w:pPr>
        <w:pStyle w:val="ListBullet"/>
        <w:tabs>
          <w:tab w:val="num" w:pos="360"/>
        </w:tabs>
        <w:spacing w:after="60"/>
        <w:ind w:left="360" w:hanging="360"/>
        <w:rPr>
          <w:rFonts w:ascii="Arial" w:hAnsi="Arial" w:cs="Arial"/>
          <w:sz w:val="16"/>
          <w:szCs w:val="16"/>
        </w:rPr>
      </w:pPr>
      <w:r w:rsidRPr="00D061C3">
        <w:rPr>
          <w:rFonts w:ascii="Arial" w:hAnsi="Arial" w:cs="Arial"/>
          <w:sz w:val="16"/>
          <w:szCs w:val="16"/>
        </w:rPr>
        <w:t>Pandas for data loading, cleaning and analysis</w:t>
      </w:r>
    </w:p>
    <w:p w14:paraId="49D7D664" w14:textId="1DFF3678" w:rsidR="00D061C3" w:rsidRPr="00D061C3" w:rsidRDefault="00D061C3" w:rsidP="00D061C3">
      <w:pPr>
        <w:pStyle w:val="ListBullet"/>
        <w:tabs>
          <w:tab w:val="num" w:pos="360"/>
        </w:tabs>
        <w:spacing w:after="60"/>
        <w:ind w:left="360" w:hanging="360"/>
        <w:rPr>
          <w:rFonts w:ascii="Arial" w:hAnsi="Arial" w:cs="Arial"/>
          <w:sz w:val="16"/>
          <w:szCs w:val="16"/>
        </w:rPr>
      </w:pPr>
      <w:r w:rsidRPr="00D061C3">
        <w:rPr>
          <w:rFonts w:ascii="Arial" w:hAnsi="Arial" w:cs="Arial"/>
          <w:sz w:val="16"/>
          <w:szCs w:val="16"/>
        </w:rPr>
        <w:t xml:space="preserve">Matplotlib for data </w:t>
      </w:r>
      <w:r w:rsidR="00127B2E" w:rsidRPr="00D061C3">
        <w:rPr>
          <w:rFonts w:ascii="Arial" w:hAnsi="Arial" w:cs="Arial"/>
          <w:sz w:val="16"/>
          <w:szCs w:val="16"/>
        </w:rPr>
        <w:t>visualization</w:t>
      </w:r>
    </w:p>
    <w:p w14:paraId="78489AC2" w14:textId="77777777" w:rsidR="00D061C3" w:rsidRPr="00D061C3" w:rsidRDefault="00D061C3" w:rsidP="00D061C3">
      <w:pPr>
        <w:pStyle w:val="ListBullet"/>
        <w:tabs>
          <w:tab w:val="num" w:pos="360"/>
        </w:tabs>
        <w:spacing w:after="60"/>
        <w:ind w:left="360" w:hanging="360"/>
        <w:rPr>
          <w:rFonts w:ascii="Arial" w:hAnsi="Arial" w:cs="Arial"/>
          <w:sz w:val="16"/>
          <w:szCs w:val="16"/>
        </w:rPr>
      </w:pPr>
      <w:r w:rsidRPr="00D061C3">
        <w:rPr>
          <w:rFonts w:ascii="Arial" w:hAnsi="Arial" w:cs="Arial"/>
          <w:sz w:val="16"/>
          <w:szCs w:val="16"/>
        </w:rPr>
        <w:t>Exploratory Data Analysis (EDA)</w:t>
      </w:r>
    </w:p>
    <w:p w14:paraId="1465FBEA" w14:textId="77777777" w:rsidR="00D061C3" w:rsidRPr="00D061C3" w:rsidRDefault="00D061C3" w:rsidP="00D061C3">
      <w:pPr>
        <w:pStyle w:val="ListBullet"/>
        <w:tabs>
          <w:tab w:val="num" w:pos="360"/>
        </w:tabs>
        <w:spacing w:after="60"/>
        <w:ind w:left="360" w:hanging="360"/>
        <w:rPr>
          <w:rFonts w:ascii="Arial" w:hAnsi="Arial" w:cs="Arial"/>
          <w:sz w:val="16"/>
          <w:szCs w:val="16"/>
        </w:rPr>
      </w:pPr>
      <w:r w:rsidRPr="00D061C3">
        <w:rPr>
          <w:rFonts w:ascii="Arial" w:hAnsi="Arial" w:cs="Arial"/>
          <w:sz w:val="16"/>
          <w:szCs w:val="16"/>
        </w:rPr>
        <w:t>Descriptive statistics</w:t>
      </w:r>
    </w:p>
    <w:p w14:paraId="277E082A" w14:textId="77777777" w:rsidR="00D061C3" w:rsidRPr="00D061C3" w:rsidRDefault="00D061C3" w:rsidP="00D061C3">
      <w:pPr>
        <w:pStyle w:val="ListBullet"/>
        <w:tabs>
          <w:tab w:val="num" w:pos="360"/>
        </w:tabs>
        <w:spacing w:after="60"/>
        <w:ind w:left="360" w:hanging="360"/>
        <w:rPr>
          <w:rFonts w:ascii="Arial" w:hAnsi="Arial" w:cs="Arial"/>
          <w:sz w:val="16"/>
          <w:szCs w:val="16"/>
        </w:rPr>
      </w:pPr>
      <w:r w:rsidRPr="00D061C3">
        <w:rPr>
          <w:rFonts w:ascii="Arial" w:hAnsi="Arial" w:cs="Arial"/>
          <w:sz w:val="16"/>
          <w:szCs w:val="16"/>
        </w:rPr>
        <w:t>Categorical segmentation and subscription-rate analysis</w:t>
      </w:r>
    </w:p>
    <w:p w14:paraId="290C0A07" w14:textId="77777777" w:rsidR="00D061C3" w:rsidRPr="00D061C3" w:rsidRDefault="00D061C3" w:rsidP="00D061C3">
      <w:pPr>
        <w:pStyle w:val="ListBullet"/>
        <w:tabs>
          <w:tab w:val="num" w:pos="360"/>
        </w:tabs>
        <w:spacing w:after="60"/>
        <w:ind w:left="360" w:hanging="360"/>
        <w:rPr>
          <w:rFonts w:ascii="Arial" w:hAnsi="Arial" w:cs="Arial"/>
          <w:sz w:val="16"/>
          <w:szCs w:val="16"/>
        </w:rPr>
      </w:pPr>
      <w:r w:rsidRPr="00D061C3">
        <w:rPr>
          <w:rFonts w:ascii="Arial" w:hAnsi="Arial" w:cs="Arial"/>
          <w:sz w:val="16"/>
          <w:szCs w:val="16"/>
        </w:rPr>
        <w:t>Business insight generation</w:t>
      </w:r>
    </w:p>
    <w:p w14:paraId="4DE96F0E" w14:textId="77777777" w:rsidR="00D061C3" w:rsidRPr="00D061C3" w:rsidRDefault="00D061C3" w:rsidP="00D061C3">
      <w:pPr>
        <w:pStyle w:val="ListBullet"/>
        <w:tabs>
          <w:tab w:val="num" w:pos="360"/>
        </w:tabs>
        <w:spacing w:after="60"/>
        <w:ind w:left="360" w:hanging="360"/>
        <w:rPr>
          <w:rFonts w:ascii="Arial" w:hAnsi="Arial" w:cs="Arial"/>
          <w:sz w:val="16"/>
          <w:szCs w:val="16"/>
        </w:rPr>
      </w:pPr>
      <w:r w:rsidRPr="00D061C3">
        <w:rPr>
          <w:rFonts w:ascii="Arial" w:hAnsi="Arial" w:cs="Arial"/>
          <w:sz w:val="16"/>
          <w:szCs w:val="16"/>
        </w:rPr>
        <w:t>Data-driven recommendations</w:t>
      </w:r>
    </w:p>
    <w:p w14:paraId="67EF06A3" w14:textId="77777777" w:rsidR="00D061C3" w:rsidRDefault="00D061C3"/>
    <w:sectPr w:rsidR="00D061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787A7540"/>
    <w:lvl w:ilvl="0">
      <w:start w:val="1"/>
      <w:numFmt w:val="bullet"/>
      <w:pStyle w:val="ListBullet"/>
      <w:lvlText w:val=""/>
      <w:lvlJc w:val="left"/>
      <w:pPr>
        <w:tabs>
          <w:tab w:val="num" w:pos="360"/>
        </w:tabs>
        <w:ind w:left="360" w:hanging="360"/>
      </w:pPr>
      <w:rPr>
        <w:rFonts w:ascii="Symbol" w:hAnsi="Symbol" w:hint="default"/>
      </w:rPr>
    </w:lvl>
  </w:abstractNum>
  <w:num w:numId="1" w16cid:durableId="10006207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61C3"/>
    <w:rsid w:val="00127B2E"/>
    <w:rsid w:val="007F477B"/>
    <w:rsid w:val="00D061C3"/>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03FBBD02"/>
  <w15:chartTrackingRefBased/>
  <w15:docId w15:val="{3FF8AD46-AE64-4146-B506-D0B1FDDD45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61C3"/>
    <w:pPr>
      <w:spacing w:after="200" w:line="276" w:lineRule="auto"/>
    </w:pPr>
    <w:rPr>
      <w:rFonts w:ascii="Aptos" w:eastAsiaTheme="minorEastAsia" w:hAnsi="Aptos"/>
      <w:kern w:val="0"/>
      <w:sz w:val="21"/>
      <w:szCs w:val="22"/>
      <w:lang w:val="en-US"/>
      <w14:ligatures w14:val="none"/>
    </w:rPr>
  </w:style>
  <w:style w:type="paragraph" w:styleId="Heading1">
    <w:name w:val="heading 1"/>
    <w:basedOn w:val="Normal"/>
    <w:next w:val="Normal"/>
    <w:link w:val="Heading1Char"/>
    <w:uiPriority w:val="9"/>
    <w:qFormat/>
    <w:rsid w:val="00D061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061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61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61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61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61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61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61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61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61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061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61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61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61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61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61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61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61C3"/>
    <w:rPr>
      <w:rFonts w:eastAsiaTheme="majorEastAsia" w:cstheme="majorBidi"/>
      <w:color w:val="272727" w:themeColor="text1" w:themeTint="D8"/>
    </w:rPr>
  </w:style>
  <w:style w:type="paragraph" w:styleId="Title">
    <w:name w:val="Title"/>
    <w:basedOn w:val="Normal"/>
    <w:next w:val="Normal"/>
    <w:link w:val="TitleChar"/>
    <w:uiPriority w:val="10"/>
    <w:qFormat/>
    <w:rsid w:val="00D061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61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61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61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61C3"/>
    <w:pPr>
      <w:spacing w:before="160"/>
      <w:jc w:val="center"/>
    </w:pPr>
    <w:rPr>
      <w:i/>
      <w:iCs/>
      <w:color w:val="404040" w:themeColor="text1" w:themeTint="BF"/>
    </w:rPr>
  </w:style>
  <w:style w:type="character" w:customStyle="1" w:styleId="QuoteChar">
    <w:name w:val="Quote Char"/>
    <w:basedOn w:val="DefaultParagraphFont"/>
    <w:link w:val="Quote"/>
    <w:uiPriority w:val="29"/>
    <w:rsid w:val="00D061C3"/>
    <w:rPr>
      <w:i/>
      <w:iCs/>
      <w:color w:val="404040" w:themeColor="text1" w:themeTint="BF"/>
    </w:rPr>
  </w:style>
  <w:style w:type="paragraph" w:styleId="ListParagraph">
    <w:name w:val="List Paragraph"/>
    <w:basedOn w:val="Normal"/>
    <w:uiPriority w:val="34"/>
    <w:qFormat/>
    <w:rsid w:val="00D061C3"/>
    <w:pPr>
      <w:ind w:left="720"/>
      <w:contextualSpacing/>
    </w:pPr>
  </w:style>
  <w:style w:type="character" w:styleId="IntenseEmphasis">
    <w:name w:val="Intense Emphasis"/>
    <w:basedOn w:val="DefaultParagraphFont"/>
    <w:uiPriority w:val="21"/>
    <w:qFormat/>
    <w:rsid w:val="00D061C3"/>
    <w:rPr>
      <w:i/>
      <w:iCs/>
      <w:color w:val="0F4761" w:themeColor="accent1" w:themeShade="BF"/>
    </w:rPr>
  </w:style>
  <w:style w:type="paragraph" w:styleId="IntenseQuote">
    <w:name w:val="Intense Quote"/>
    <w:basedOn w:val="Normal"/>
    <w:next w:val="Normal"/>
    <w:link w:val="IntenseQuoteChar"/>
    <w:uiPriority w:val="30"/>
    <w:qFormat/>
    <w:rsid w:val="00D061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61C3"/>
    <w:rPr>
      <w:i/>
      <w:iCs/>
      <w:color w:val="0F4761" w:themeColor="accent1" w:themeShade="BF"/>
    </w:rPr>
  </w:style>
  <w:style w:type="character" w:styleId="IntenseReference">
    <w:name w:val="Intense Reference"/>
    <w:basedOn w:val="DefaultParagraphFont"/>
    <w:uiPriority w:val="32"/>
    <w:qFormat/>
    <w:rsid w:val="00D061C3"/>
    <w:rPr>
      <w:b/>
      <w:bCs/>
      <w:smallCaps/>
      <w:color w:val="0F4761" w:themeColor="accent1" w:themeShade="BF"/>
      <w:spacing w:val="5"/>
    </w:rPr>
  </w:style>
  <w:style w:type="paragraph" w:styleId="ListBullet">
    <w:name w:val="List Bullet"/>
    <w:basedOn w:val="Normal"/>
    <w:uiPriority w:val="99"/>
    <w:unhideWhenUsed/>
    <w:rsid w:val="00D061C3"/>
    <w:pPr>
      <w:numPr>
        <w:numId w:val="1"/>
      </w:numPr>
      <w:tabs>
        <w:tab w:val="clear" w:pos="360"/>
      </w:tabs>
      <w:ind w:left="0" w:firstLine="0"/>
      <w:contextualSpacing/>
    </w:pPr>
  </w:style>
  <w:style w:type="table" w:styleId="TableGrid">
    <w:name w:val="Table Grid"/>
    <w:basedOn w:val="TableNormal"/>
    <w:uiPriority w:val="59"/>
    <w:rsid w:val="00D061C3"/>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6</Pages>
  <Words>1504</Words>
  <Characters>8575</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K Malatji</dc:creator>
  <cp:keywords/>
  <dc:description/>
  <cp:lastModifiedBy>Mr. K Malatji</cp:lastModifiedBy>
  <cp:revision>1</cp:revision>
  <dcterms:created xsi:type="dcterms:W3CDTF">2026-07-29T10:32:00Z</dcterms:created>
  <dcterms:modified xsi:type="dcterms:W3CDTF">2026-07-29T10:46:00Z</dcterms:modified>
</cp:coreProperties>
</file>