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C354" w14:textId="77777777" w:rsidR="00F07026" w:rsidRPr="00A62A97" w:rsidRDefault="00000000">
      <w:pPr>
        <w:jc w:val="center"/>
        <w:rPr>
          <w:rFonts w:ascii="Arial" w:hAnsi="Arial" w:cs="Arial"/>
          <w:sz w:val="28"/>
          <w:szCs w:val="28"/>
        </w:rPr>
      </w:pPr>
      <w:r w:rsidRPr="00A62A97">
        <w:rPr>
          <w:rFonts w:ascii="Arial" w:hAnsi="Arial" w:cs="Arial"/>
          <w:b/>
          <w:sz w:val="28"/>
          <w:szCs w:val="28"/>
        </w:rPr>
        <w:t>Week 6 Insight Summary</w:t>
      </w:r>
      <w:r w:rsidRPr="00A62A97">
        <w:rPr>
          <w:rFonts w:ascii="Arial" w:hAnsi="Arial" w:cs="Arial"/>
          <w:b/>
          <w:sz w:val="28"/>
          <w:szCs w:val="28"/>
        </w:rPr>
        <w:br/>
        <w:t>Advanced Python Analysis – Apple Inc. (AAPL)</w:t>
      </w:r>
    </w:p>
    <w:p w14:paraId="4CCC4D0C" w14:textId="77777777" w:rsidR="00F07026" w:rsidRPr="00A62A97" w:rsidRDefault="00000000">
      <w:pPr>
        <w:jc w:val="center"/>
        <w:rPr>
          <w:rFonts w:ascii="Arial" w:hAnsi="Arial" w:cs="Arial"/>
          <w:sz w:val="22"/>
        </w:rPr>
      </w:pPr>
      <w:r w:rsidRPr="00A62A97">
        <w:rPr>
          <w:rFonts w:ascii="Arial" w:hAnsi="Arial" w:cs="Arial"/>
          <w:i/>
          <w:sz w:val="22"/>
        </w:rPr>
        <w:t>AnalystLab Africa Data Analytics Internship – Batch B | Historical period: 29 July 2021–28 July 2026</w:t>
      </w:r>
    </w:p>
    <w:p w14:paraId="54B4B5E7" w14:textId="77777777" w:rsidR="00F07026" w:rsidRPr="00A62A97" w:rsidRDefault="00000000">
      <w:pPr>
        <w:spacing w:before="100" w:after="40"/>
        <w:rPr>
          <w:rFonts w:ascii="Arial" w:hAnsi="Arial" w:cs="Arial"/>
          <w:sz w:val="22"/>
        </w:rPr>
      </w:pPr>
      <w:r w:rsidRPr="00A62A97">
        <w:rPr>
          <w:rFonts w:ascii="Arial" w:hAnsi="Arial" w:cs="Arial"/>
          <w:b/>
          <w:sz w:val="22"/>
        </w:rPr>
        <w:t>1. Dataset Overview</w:t>
      </w:r>
    </w:p>
    <w:p w14:paraId="33B33204" w14:textId="7F13AF59" w:rsidR="00F07026" w:rsidRPr="00A62A97" w:rsidRDefault="00000000">
      <w:pPr>
        <w:spacing w:after="60" w:line="240" w:lineRule="auto"/>
        <w:rPr>
          <w:rFonts w:ascii="Arial" w:hAnsi="Arial" w:cs="Arial"/>
          <w:sz w:val="22"/>
        </w:rPr>
      </w:pPr>
      <w:r w:rsidRPr="00A62A97">
        <w:rPr>
          <w:rFonts w:ascii="Arial" w:hAnsi="Arial" w:cs="Arial"/>
          <w:sz w:val="22"/>
        </w:rPr>
        <w:t xml:space="preserve">The analysis uses approximately five years of Apple Inc. (AAPL) historical stock-market data downloaded with the yfinance Python library. The final dataset contains 1,254 trading-day observations and seven original variables: Date, Open, High, Low, Close, Adjusted Close and Volume. The data covers 29 July 2021 to 28 July 2026. The initial inspection found no duplicate rows. One missing observation was identified in both Close and Adjusted Close; numeric fields were converted to numeric </w:t>
      </w:r>
      <w:r w:rsidR="00A62A97" w:rsidRPr="00A62A97">
        <w:rPr>
          <w:rFonts w:ascii="Arial" w:hAnsi="Arial" w:cs="Arial"/>
          <w:sz w:val="22"/>
        </w:rPr>
        <w:t>types,</w:t>
      </w:r>
      <w:r w:rsidRPr="00A62A97">
        <w:rPr>
          <w:rFonts w:ascii="Arial" w:hAnsi="Arial" w:cs="Arial"/>
          <w:sz w:val="22"/>
        </w:rPr>
        <w:t xml:space="preserve"> and the missing value was handled during preprocessing.</w:t>
      </w:r>
    </w:p>
    <w:p w14:paraId="7C9287C9" w14:textId="77777777" w:rsidR="00F07026" w:rsidRPr="00A62A97" w:rsidRDefault="00000000">
      <w:pPr>
        <w:spacing w:before="100" w:after="40"/>
        <w:rPr>
          <w:rFonts w:ascii="Arial" w:hAnsi="Arial" w:cs="Arial"/>
          <w:sz w:val="22"/>
        </w:rPr>
      </w:pPr>
      <w:r w:rsidRPr="00A62A97">
        <w:rPr>
          <w:rFonts w:ascii="Arial" w:hAnsi="Arial" w:cs="Arial"/>
          <w:b/>
          <w:sz w:val="22"/>
        </w:rPr>
        <w:t>2. Data Transformation Techniques Applied</w:t>
      </w:r>
    </w:p>
    <w:p w14:paraId="1C701D09" w14:textId="77777777" w:rsidR="00F07026" w:rsidRPr="00A62A97" w:rsidRDefault="00000000">
      <w:pPr>
        <w:spacing w:after="60" w:line="240" w:lineRule="auto"/>
        <w:rPr>
          <w:rFonts w:ascii="Arial" w:hAnsi="Arial" w:cs="Arial"/>
          <w:sz w:val="22"/>
        </w:rPr>
      </w:pPr>
      <w:r w:rsidRPr="00A62A97">
        <w:rPr>
          <w:rFonts w:ascii="Arial" w:hAnsi="Arial" w:cs="Arial"/>
          <w:sz w:val="22"/>
        </w:rPr>
        <w:t>Pandas was used extensively to prepare and restructure the time-series data. The Date column was converted to datetime format, observations were sorted chronologically, duplicate dates were removed, and Date was set as the time-series index. Filtering and sorting were used to identify high-volume trading days and observations above the median closing price. The median closing price was $187.07, with 627 trading days above that level. Monthly and yearly resampling was also used to aggregate closing prices, highs, lows and trading volume.</w:t>
      </w:r>
    </w:p>
    <w:p w14:paraId="1416B538" w14:textId="77777777" w:rsidR="00F07026" w:rsidRPr="00A62A97" w:rsidRDefault="00000000">
      <w:pPr>
        <w:spacing w:before="100" w:after="40"/>
        <w:rPr>
          <w:rFonts w:ascii="Arial" w:hAnsi="Arial" w:cs="Arial"/>
          <w:sz w:val="22"/>
        </w:rPr>
      </w:pPr>
      <w:r w:rsidRPr="00A62A97">
        <w:rPr>
          <w:rFonts w:ascii="Arial" w:hAnsi="Arial" w:cs="Arial"/>
          <w:b/>
          <w:sz w:val="22"/>
        </w:rPr>
        <w:t>3. Features Created</w:t>
      </w:r>
    </w:p>
    <w:p w14:paraId="4632DBBE" w14:textId="77777777" w:rsidR="00F07026" w:rsidRPr="00A62A97" w:rsidRDefault="00000000">
      <w:pPr>
        <w:spacing w:after="60" w:line="240" w:lineRule="auto"/>
        <w:rPr>
          <w:rFonts w:ascii="Arial" w:hAnsi="Arial" w:cs="Arial"/>
          <w:sz w:val="22"/>
        </w:rPr>
      </w:pPr>
      <w:r w:rsidRPr="00A62A97">
        <w:rPr>
          <w:rFonts w:ascii="Arial" w:hAnsi="Arial" w:cs="Arial"/>
          <w:sz w:val="22"/>
        </w:rPr>
        <w:t>Feature engineering added Daily Price Change, Daily Return, 7-day Moving Average (MA_7), 30-day Moving Average (MA_30), Daily Trading Range, Range Percentage, 30-day Rolling Volatility, Year, Month and Month Name. These features transform the raw market data into variables that can be used to examine short-term price movement, trend, trading activity and volatility.</w:t>
      </w:r>
    </w:p>
    <w:p w14:paraId="2824DCEB" w14:textId="77777777" w:rsidR="00F07026" w:rsidRPr="00A62A97" w:rsidRDefault="00000000">
      <w:pPr>
        <w:spacing w:before="100" w:after="40"/>
        <w:rPr>
          <w:rFonts w:ascii="Arial" w:hAnsi="Arial" w:cs="Arial"/>
          <w:sz w:val="22"/>
        </w:rPr>
      </w:pPr>
      <w:r w:rsidRPr="00A62A97">
        <w:rPr>
          <w:rFonts w:ascii="Arial" w:hAnsi="Arial" w:cs="Arial"/>
          <w:b/>
          <w:sz w:val="22"/>
        </w:rPr>
        <w:t>4. Trends and Key Insights</w:t>
      </w:r>
    </w:p>
    <w:tbl>
      <w:tblPr>
        <w:tblStyle w:val="TableGrid"/>
        <w:tblW w:w="0" w:type="auto"/>
        <w:jc w:val="center"/>
        <w:tblLook w:val="04A0" w:firstRow="1" w:lastRow="0" w:firstColumn="1" w:lastColumn="0" w:noHBand="0" w:noVBand="1"/>
      </w:tblPr>
      <w:tblGrid>
        <w:gridCol w:w="5179"/>
        <w:gridCol w:w="5179"/>
      </w:tblGrid>
      <w:tr w:rsidR="00F07026" w:rsidRPr="00A62A97" w14:paraId="1AD49F89" w14:textId="77777777">
        <w:trPr>
          <w:jc w:val="center"/>
        </w:trPr>
        <w:tc>
          <w:tcPr>
            <w:tcW w:w="5184" w:type="dxa"/>
          </w:tcPr>
          <w:p w14:paraId="293BF57F" w14:textId="77777777" w:rsidR="00F07026" w:rsidRPr="00A62A97" w:rsidRDefault="00000000">
            <w:pPr>
              <w:rPr>
                <w:rFonts w:ascii="Arial" w:hAnsi="Arial" w:cs="Arial"/>
                <w:sz w:val="22"/>
              </w:rPr>
            </w:pPr>
            <w:r w:rsidRPr="00A62A97">
              <w:rPr>
                <w:rFonts w:ascii="Arial" w:hAnsi="Arial" w:cs="Arial"/>
                <w:sz w:val="22"/>
              </w:rPr>
              <w:t>Metric</w:t>
            </w:r>
          </w:p>
        </w:tc>
        <w:tc>
          <w:tcPr>
            <w:tcW w:w="5184" w:type="dxa"/>
          </w:tcPr>
          <w:p w14:paraId="7C45BF9B" w14:textId="77777777" w:rsidR="00F07026" w:rsidRPr="00A62A97" w:rsidRDefault="00000000">
            <w:pPr>
              <w:rPr>
                <w:rFonts w:ascii="Arial" w:hAnsi="Arial" w:cs="Arial"/>
                <w:sz w:val="22"/>
              </w:rPr>
            </w:pPr>
            <w:r w:rsidRPr="00A62A97">
              <w:rPr>
                <w:rFonts w:ascii="Arial" w:hAnsi="Arial" w:cs="Arial"/>
                <w:sz w:val="22"/>
              </w:rPr>
              <w:t>Result</w:t>
            </w:r>
          </w:p>
        </w:tc>
      </w:tr>
      <w:tr w:rsidR="00F07026" w:rsidRPr="00A62A97" w14:paraId="23F4F06B" w14:textId="77777777">
        <w:trPr>
          <w:jc w:val="center"/>
        </w:trPr>
        <w:tc>
          <w:tcPr>
            <w:tcW w:w="5184" w:type="dxa"/>
            <w:vAlign w:val="center"/>
          </w:tcPr>
          <w:p w14:paraId="69F918EB" w14:textId="77777777" w:rsidR="00F07026" w:rsidRPr="00A62A97" w:rsidRDefault="00000000">
            <w:pPr>
              <w:rPr>
                <w:rFonts w:ascii="Arial" w:hAnsi="Arial" w:cs="Arial"/>
                <w:sz w:val="22"/>
              </w:rPr>
            </w:pPr>
            <w:r w:rsidRPr="00A62A97">
              <w:rPr>
                <w:rFonts w:ascii="Arial" w:hAnsi="Arial" w:cs="Arial"/>
                <w:sz w:val="22"/>
              </w:rPr>
              <w:t>Starting closing price</w:t>
            </w:r>
          </w:p>
        </w:tc>
        <w:tc>
          <w:tcPr>
            <w:tcW w:w="5184" w:type="dxa"/>
            <w:vAlign w:val="center"/>
          </w:tcPr>
          <w:p w14:paraId="143DDA86" w14:textId="77777777" w:rsidR="00F07026" w:rsidRPr="00A62A97" w:rsidRDefault="00000000">
            <w:pPr>
              <w:rPr>
                <w:rFonts w:ascii="Arial" w:hAnsi="Arial" w:cs="Arial"/>
                <w:sz w:val="22"/>
              </w:rPr>
            </w:pPr>
            <w:r w:rsidRPr="00A62A97">
              <w:rPr>
                <w:rFonts w:ascii="Arial" w:hAnsi="Arial" w:cs="Arial"/>
                <w:sz w:val="22"/>
              </w:rPr>
              <w:t>$145.64</w:t>
            </w:r>
          </w:p>
        </w:tc>
      </w:tr>
      <w:tr w:rsidR="00F07026" w:rsidRPr="00A62A97" w14:paraId="4F9CA405" w14:textId="77777777">
        <w:trPr>
          <w:jc w:val="center"/>
        </w:trPr>
        <w:tc>
          <w:tcPr>
            <w:tcW w:w="5184" w:type="dxa"/>
            <w:vAlign w:val="center"/>
          </w:tcPr>
          <w:p w14:paraId="06B7F305" w14:textId="77777777" w:rsidR="00F07026" w:rsidRPr="00A62A97" w:rsidRDefault="00000000">
            <w:pPr>
              <w:rPr>
                <w:rFonts w:ascii="Arial" w:hAnsi="Arial" w:cs="Arial"/>
                <w:sz w:val="22"/>
              </w:rPr>
            </w:pPr>
            <w:r w:rsidRPr="00A62A97">
              <w:rPr>
                <w:rFonts w:ascii="Arial" w:hAnsi="Arial" w:cs="Arial"/>
                <w:sz w:val="22"/>
              </w:rPr>
              <w:t>Ending closing price</w:t>
            </w:r>
          </w:p>
        </w:tc>
        <w:tc>
          <w:tcPr>
            <w:tcW w:w="5184" w:type="dxa"/>
            <w:vAlign w:val="center"/>
          </w:tcPr>
          <w:p w14:paraId="59F2B87E" w14:textId="77777777" w:rsidR="00F07026" w:rsidRPr="00A62A97" w:rsidRDefault="00000000">
            <w:pPr>
              <w:rPr>
                <w:rFonts w:ascii="Arial" w:hAnsi="Arial" w:cs="Arial"/>
                <w:sz w:val="22"/>
              </w:rPr>
            </w:pPr>
            <w:r w:rsidRPr="00A62A97">
              <w:rPr>
                <w:rFonts w:ascii="Arial" w:hAnsi="Arial" w:cs="Arial"/>
                <w:sz w:val="22"/>
              </w:rPr>
              <w:t>$336.91</w:t>
            </w:r>
          </w:p>
        </w:tc>
      </w:tr>
      <w:tr w:rsidR="00F07026" w:rsidRPr="00A62A97" w14:paraId="103E6213" w14:textId="77777777">
        <w:trPr>
          <w:jc w:val="center"/>
        </w:trPr>
        <w:tc>
          <w:tcPr>
            <w:tcW w:w="5184" w:type="dxa"/>
            <w:vAlign w:val="center"/>
          </w:tcPr>
          <w:p w14:paraId="474D4362" w14:textId="77777777" w:rsidR="00F07026" w:rsidRPr="00A62A97" w:rsidRDefault="00000000">
            <w:pPr>
              <w:rPr>
                <w:rFonts w:ascii="Arial" w:hAnsi="Arial" w:cs="Arial"/>
                <w:sz w:val="22"/>
              </w:rPr>
            </w:pPr>
            <w:r w:rsidRPr="00A62A97">
              <w:rPr>
                <w:rFonts w:ascii="Arial" w:hAnsi="Arial" w:cs="Arial"/>
                <w:sz w:val="22"/>
              </w:rPr>
              <w:t>Overall price return</w:t>
            </w:r>
          </w:p>
        </w:tc>
        <w:tc>
          <w:tcPr>
            <w:tcW w:w="5184" w:type="dxa"/>
            <w:vAlign w:val="center"/>
          </w:tcPr>
          <w:p w14:paraId="7A1EF232" w14:textId="77777777" w:rsidR="00F07026" w:rsidRPr="00A62A97" w:rsidRDefault="00000000">
            <w:pPr>
              <w:rPr>
                <w:rFonts w:ascii="Arial" w:hAnsi="Arial" w:cs="Arial"/>
                <w:sz w:val="22"/>
              </w:rPr>
            </w:pPr>
            <w:r w:rsidRPr="00A62A97">
              <w:rPr>
                <w:rFonts w:ascii="Arial" w:hAnsi="Arial" w:cs="Arial"/>
                <w:sz w:val="22"/>
              </w:rPr>
              <w:t>+131.33%</w:t>
            </w:r>
          </w:p>
        </w:tc>
      </w:tr>
      <w:tr w:rsidR="00F07026" w:rsidRPr="00A62A97" w14:paraId="2FA4CE4C" w14:textId="77777777">
        <w:trPr>
          <w:jc w:val="center"/>
        </w:trPr>
        <w:tc>
          <w:tcPr>
            <w:tcW w:w="5184" w:type="dxa"/>
            <w:vAlign w:val="center"/>
          </w:tcPr>
          <w:p w14:paraId="44453AC2" w14:textId="77777777" w:rsidR="00F07026" w:rsidRPr="00A62A97" w:rsidRDefault="00000000">
            <w:pPr>
              <w:rPr>
                <w:rFonts w:ascii="Arial" w:hAnsi="Arial" w:cs="Arial"/>
                <w:sz w:val="22"/>
              </w:rPr>
            </w:pPr>
            <w:r w:rsidRPr="00A62A97">
              <w:rPr>
                <w:rFonts w:ascii="Arial" w:hAnsi="Arial" w:cs="Arial"/>
                <w:sz w:val="22"/>
              </w:rPr>
              <w:t>Average daily return</w:t>
            </w:r>
          </w:p>
        </w:tc>
        <w:tc>
          <w:tcPr>
            <w:tcW w:w="5184" w:type="dxa"/>
            <w:vAlign w:val="center"/>
          </w:tcPr>
          <w:p w14:paraId="2EEC05BC" w14:textId="77777777" w:rsidR="00F07026" w:rsidRPr="00A62A97" w:rsidRDefault="00000000">
            <w:pPr>
              <w:rPr>
                <w:rFonts w:ascii="Arial" w:hAnsi="Arial" w:cs="Arial"/>
                <w:sz w:val="22"/>
              </w:rPr>
            </w:pPr>
            <w:r w:rsidRPr="00A62A97">
              <w:rPr>
                <w:rFonts w:ascii="Arial" w:hAnsi="Arial" w:cs="Arial"/>
                <w:sz w:val="22"/>
              </w:rPr>
              <w:t>0.0822%</w:t>
            </w:r>
          </w:p>
        </w:tc>
      </w:tr>
      <w:tr w:rsidR="00F07026" w:rsidRPr="00A62A97" w14:paraId="7D24CF5B" w14:textId="77777777">
        <w:trPr>
          <w:jc w:val="center"/>
        </w:trPr>
        <w:tc>
          <w:tcPr>
            <w:tcW w:w="5184" w:type="dxa"/>
            <w:vAlign w:val="center"/>
          </w:tcPr>
          <w:p w14:paraId="608AFAA5" w14:textId="77777777" w:rsidR="00F07026" w:rsidRPr="00A62A97" w:rsidRDefault="00000000">
            <w:pPr>
              <w:rPr>
                <w:rFonts w:ascii="Arial" w:hAnsi="Arial" w:cs="Arial"/>
                <w:sz w:val="22"/>
              </w:rPr>
            </w:pPr>
            <w:r w:rsidRPr="00A62A97">
              <w:rPr>
                <w:rFonts w:ascii="Arial" w:hAnsi="Arial" w:cs="Arial"/>
                <w:sz w:val="22"/>
              </w:rPr>
              <w:t>Daily return volatility</w:t>
            </w:r>
          </w:p>
        </w:tc>
        <w:tc>
          <w:tcPr>
            <w:tcW w:w="5184" w:type="dxa"/>
            <w:vAlign w:val="center"/>
          </w:tcPr>
          <w:p w14:paraId="4EBE7F41" w14:textId="77777777" w:rsidR="00F07026" w:rsidRPr="00A62A97" w:rsidRDefault="00000000">
            <w:pPr>
              <w:rPr>
                <w:rFonts w:ascii="Arial" w:hAnsi="Arial" w:cs="Arial"/>
                <w:sz w:val="22"/>
              </w:rPr>
            </w:pPr>
            <w:r w:rsidRPr="00A62A97">
              <w:rPr>
                <w:rFonts w:ascii="Arial" w:hAnsi="Arial" w:cs="Arial"/>
                <w:sz w:val="22"/>
              </w:rPr>
              <w:t>1.75%</w:t>
            </w:r>
          </w:p>
        </w:tc>
      </w:tr>
      <w:tr w:rsidR="00F07026" w:rsidRPr="00A62A97" w14:paraId="2F59C84F" w14:textId="77777777">
        <w:trPr>
          <w:jc w:val="center"/>
        </w:trPr>
        <w:tc>
          <w:tcPr>
            <w:tcW w:w="5184" w:type="dxa"/>
            <w:vAlign w:val="center"/>
          </w:tcPr>
          <w:p w14:paraId="0833C1BC" w14:textId="77777777" w:rsidR="00F07026" w:rsidRPr="00A62A97" w:rsidRDefault="00000000">
            <w:pPr>
              <w:rPr>
                <w:rFonts w:ascii="Arial" w:hAnsi="Arial" w:cs="Arial"/>
                <w:sz w:val="22"/>
              </w:rPr>
            </w:pPr>
            <w:r w:rsidRPr="00A62A97">
              <w:rPr>
                <w:rFonts w:ascii="Arial" w:hAnsi="Arial" w:cs="Arial"/>
                <w:sz w:val="22"/>
              </w:rPr>
              <w:t>Best daily return</w:t>
            </w:r>
          </w:p>
        </w:tc>
        <w:tc>
          <w:tcPr>
            <w:tcW w:w="5184" w:type="dxa"/>
            <w:vAlign w:val="center"/>
          </w:tcPr>
          <w:p w14:paraId="449BFD86" w14:textId="77777777" w:rsidR="00F07026" w:rsidRPr="00A62A97" w:rsidRDefault="00000000">
            <w:pPr>
              <w:rPr>
                <w:rFonts w:ascii="Arial" w:hAnsi="Arial" w:cs="Arial"/>
                <w:sz w:val="22"/>
              </w:rPr>
            </w:pPr>
            <w:r w:rsidRPr="00A62A97">
              <w:rPr>
                <w:rFonts w:ascii="Arial" w:hAnsi="Arial" w:cs="Arial"/>
                <w:sz w:val="22"/>
              </w:rPr>
              <w:t>+15.33%</w:t>
            </w:r>
          </w:p>
        </w:tc>
      </w:tr>
      <w:tr w:rsidR="00F07026" w:rsidRPr="00A62A97" w14:paraId="3469C00A" w14:textId="77777777">
        <w:trPr>
          <w:jc w:val="center"/>
        </w:trPr>
        <w:tc>
          <w:tcPr>
            <w:tcW w:w="5184" w:type="dxa"/>
            <w:vAlign w:val="center"/>
          </w:tcPr>
          <w:p w14:paraId="2266553E" w14:textId="77777777" w:rsidR="00F07026" w:rsidRPr="00A62A97" w:rsidRDefault="00000000">
            <w:pPr>
              <w:rPr>
                <w:rFonts w:ascii="Arial" w:hAnsi="Arial" w:cs="Arial"/>
                <w:sz w:val="22"/>
              </w:rPr>
            </w:pPr>
            <w:r w:rsidRPr="00A62A97">
              <w:rPr>
                <w:rFonts w:ascii="Arial" w:hAnsi="Arial" w:cs="Arial"/>
                <w:sz w:val="22"/>
              </w:rPr>
              <w:t>Worst daily return</w:t>
            </w:r>
          </w:p>
        </w:tc>
        <w:tc>
          <w:tcPr>
            <w:tcW w:w="5184" w:type="dxa"/>
            <w:vAlign w:val="center"/>
          </w:tcPr>
          <w:p w14:paraId="4AE0FD7F" w14:textId="77777777" w:rsidR="00F07026" w:rsidRPr="00A62A97" w:rsidRDefault="00000000">
            <w:pPr>
              <w:rPr>
                <w:rFonts w:ascii="Arial" w:hAnsi="Arial" w:cs="Arial"/>
                <w:sz w:val="22"/>
              </w:rPr>
            </w:pPr>
            <w:r w:rsidRPr="00A62A97">
              <w:rPr>
                <w:rFonts w:ascii="Arial" w:hAnsi="Arial" w:cs="Arial"/>
                <w:sz w:val="22"/>
              </w:rPr>
              <w:t>-9.25%</w:t>
            </w:r>
          </w:p>
        </w:tc>
      </w:tr>
      <w:tr w:rsidR="00F07026" w:rsidRPr="00A62A97" w14:paraId="2559C4E2" w14:textId="77777777">
        <w:trPr>
          <w:jc w:val="center"/>
        </w:trPr>
        <w:tc>
          <w:tcPr>
            <w:tcW w:w="5184" w:type="dxa"/>
            <w:vAlign w:val="center"/>
          </w:tcPr>
          <w:p w14:paraId="57F8FD5F" w14:textId="77777777" w:rsidR="00F07026" w:rsidRPr="00A62A97" w:rsidRDefault="00000000">
            <w:pPr>
              <w:rPr>
                <w:rFonts w:ascii="Arial" w:hAnsi="Arial" w:cs="Arial"/>
                <w:sz w:val="22"/>
              </w:rPr>
            </w:pPr>
            <w:r w:rsidRPr="00A62A97">
              <w:rPr>
                <w:rFonts w:ascii="Arial" w:hAnsi="Arial" w:cs="Arial"/>
                <w:sz w:val="22"/>
              </w:rPr>
              <w:t>Highest closing price</w:t>
            </w:r>
          </w:p>
        </w:tc>
        <w:tc>
          <w:tcPr>
            <w:tcW w:w="5184" w:type="dxa"/>
            <w:vAlign w:val="center"/>
          </w:tcPr>
          <w:p w14:paraId="061D1921" w14:textId="77777777" w:rsidR="00F07026" w:rsidRPr="00A62A97" w:rsidRDefault="00000000">
            <w:pPr>
              <w:rPr>
                <w:rFonts w:ascii="Arial" w:hAnsi="Arial" w:cs="Arial"/>
                <w:sz w:val="22"/>
              </w:rPr>
            </w:pPr>
            <w:r w:rsidRPr="00A62A97">
              <w:rPr>
                <w:rFonts w:ascii="Arial" w:hAnsi="Arial" w:cs="Arial"/>
                <w:sz w:val="22"/>
              </w:rPr>
              <w:t>$336.91 on 27 July 2026</w:t>
            </w:r>
          </w:p>
        </w:tc>
      </w:tr>
      <w:tr w:rsidR="00F07026" w:rsidRPr="00A62A97" w14:paraId="391F641C" w14:textId="77777777">
        <w:trPr>
          <w:jc w:val="center"/>
        </w:trPr>
        <w:tc>
          <w:tcPr>
            <w:tcW w:w="5184" w:type="dxa"/>
            <w:vAlign w:val="center"/>
          </w:tcPr>
          <w:p w14:paraId="7FE2C6EC" w14:textId="77777777" w:rsidR="00F07026" w:rsidRPr="00A62A97" w:rsidRDefault="00000000">
            <w:pPr>
              <w:rPr>
                <w:rFonts w:ascii="Arial" w:hAnsi="Arial" w:cs="Arial"/>
                <w:sz w:val="22"/>
              </w:rPr>
            </w:pPr>
            <w:r w:rsidRPr="00A62A97">
              <w:rPr>
                <w:rFonts w:ascii="Arial" w:hAnsi="Arial" w:cs="Arial"/>
                <w:sz w:val="22"/>
              </w:rPr>
              <w:t>Lowest closing price</w:t>
            </w:r>
          </w:p>
        </w:tc>
        <w:tc>
          <w:tcPr>
            <w:tcW w:w="5184" w:type="dxa"/>
            <w:vAlign w:val="center"/>
          </w:tcPr>
          <w:p w14:paraId="39F64E1C" w14:textId="77777777" w:rsidR="00F07026" w:rsidRPr="00A62A97" w:rsidRDefault="00000000">
            <w:pPr>
              <w:rPr>
                <w:rFonts w:ascii="Arial" w:hAnsi="Arial" w:cs="Arial"/>
                <w:sz w:val="22"/>
              </w:rPr>
            </w:pPr>
            <w:r w:rsidRPr="00A62A97">
              <w:rPr>
                <w:rFonts w:ascii="Arial" w:hAnsi="Arial" w:cs="Arial"/>
                <w:sz w:val="22"/>
              </w:rPr>
              <w:t>$125.02 on 5 January 2023</w:t>
            </w:r>
          </w:p>
        </w:tc>
      </w:tr>
      <w:tr w:rsidR="00F07026" w:rsidRPr="00A62A97" w14:paraId="412E4356" w14:textId="77777777">
        <w:trPr>
          <w:jc w:val="center"/>
        </w:trPr>
        <w:tc>
          <w:tcPr>
            <w:tcW w:w="5184" w:type="dxa"/>
            <w:vAlign w:val="center"/>
          </w:tcPr>
          <w:p w14:paraId="04505B25" w14:textId="77777777" w:rsidR="00F07026" w:rsidRPr="00A62A97" w:rsidRDefault="00000000">
            <w:pPr>
              <w:rPr>
                <w:rFonts w:ascii="Arial" w:hAnsi="Arial" w:cs="Arial"/>
                <w:sz w:val="22"/>
              </w:rPr>
            </w:pPr>
            <w:r w:rsidRPr="00A62A97">
              <w:rPr>
                <w:rFonts w:ascii="Arial" w:hAnsi="Arial" w:cs="Arial"/>
                <w:sz w:val="22"/>
              </w:rPr>
              <w:t>Highest recorded trading volume</w:t>
            </w:r>
          </w:p>
        </w:tc>
        <w:tc>
          <w:tcPr>
            <w:tcW w:w="5184" w:type="dxa"/>
            <w:vAlign w:val="center"/>
          </w:tcPr>
          <w:p w14:paraId="19C54D2C" w14:textId="77777777" w:rsidR="00F07026" w:rsidRPr="00A62A97" w:rsidRDefault="00000000">
            <w:pPr>
              <w:rPr>
                <w:rFonts w:ascii="Arial" w:hAnsi="Arial" w:cs="Arial"/>
                <w:sz w:val="22"/>
              </w:rPr>
            </w:pPr>
            <w:r w:rsidRPr="00A62A97">
              <w:rPr>
                <w:rFonts w:ascii="Arial" w:hAnsi="Arial" w:cs="Arial"/>
                <w:sz w:val="22"/>
              </w:rPr>
              <w:t>318,679,900 shares on 20 September 2024</w:t>
            </w:r>
          </w:p>
        </w:tc>
      </w:tr>
    </w:tbl>
    <w:p w14:paraId="26DA167B" w14:textId="77777777" w:rsidR="00F07026" w:rsidRPr="00A62A97" w:rsidRDefault="00000000">
      <w:pPr>
        <w:spacing w:after="60" w:line="240" w:lineRule="auto"/>
        <w:rPr>
          <w:rFonts w:ascii="Arial" w:hAnsi="Arial" w:cs="Arial"/>
          <w:sz w:val="22"/>
        </w:rPr>
      </w:pPr>
      <w:r w:rsidRPr="00A62A97">
        <w:rPr>
          <w:rFonts w:ascii="Arial" w:hAnsi="Arial" w:cs="Arial"/>
          <w:sz w:val="22"/>
        </w:rPr>
        <w:t>The five-year period shows a strong overall upward movement in AAPL's closing price. The closing price increased from $145.64 at the beginning of the period to $336.91 at the end, equivalent to a 131.33% increase. The lowest closing price in the dataset was $125.02 on 5 January 2023, while the highest was $336.91 on 27 July 2026. The yearly summary shows a substantial decline in 2022 (-26.83%), followed by strong recovery in 2023 (+48.18%) and 2024 (+30.07%). The 2025 annual return was more moderate at +8.56%, while the 2026 figure in the notebook represents year-to-date performance through the available July data (+23.93%), rather than a completed calendar-year return.</w:t>
      </w:r>
    </w:p>
    <w:p w14:paraId="179D372A" w14:textId="77777777" w:rsidR="00F07026" w:rsidRPr="00A62A97" w:rsidRDefault="00000000">
      <w:pPr>
        <w:spacing w:after="60" w:line="240" w:lineRule="auto"/>
        <w:rPr>
          <w:rFonts w:ascii="Arial" w:hAnsi="Arial" w:cs="Arial"/>
          <w:sz w:val="22"/>
        </w:rPr>
      </w:pPr>
      <w:r w:rsidRPr="00A62A97">
        <w:rPr>
          <w:rFonts w:ascii="Arial" w:hAnsi="Arial" w:cs="Arial"/>
          <w:sz w:val="22"/>
        </w:rPr>
        <w:t>Trading activity was not constant across the period. The highest-volume trading day recorded 318.68 million shares on 20 September 2024. Daily returns also demonstrate meaningful short-term variation: the best daily return was +15.33%, while the worst was -9.25%. The 1.75% standard deviation of daily returns indicates that short-term price movements can be considerably different from the longer-term upward trend.</w:t>
      </w:r>
    </w:p>
    <w:p w14:paraId="055A0EDE" w14:textId="77777777" w:rsidR="00F07026" w:rsidRPr="00A62A97" w:rsidRDefault="00000000">
      <w:pPr>
        <w:spacing w:before="100" w:after="40"/>
        <w:rPr>
          <w:rFonts w:ascii="Arial" w:hAnsi="Arial" w:cs="Arial"/>
          <w:sz w:val="22"/>
        </w:rPr>
      </w:pPr>
      <w:r w:rsidRPr="00A62A97">
        <w:rPr>
          <w:rFonts w:ascii="Arial" w:hAnsi="Arial" w:cs="Arial"/>
          <w:b/>
          <w:sz w:val="22"/>
        </w:rPr>
        <w:t>5. Required Visualizations</w:t>
      </w:r>
    </w:p>
    <w:p w14:paraId="6AF90E7F" w14:textId="77777777" w:rsidR="00F07026" w:rsidRPr="00A62A97" w:rsidRDefault="00000000">
      <w:pPr>
        <w:spacing w:after="60" w:line="240" w:lineRule="auto"/>
        <w:rPr>
          <w:rFonts w:ascii="Arial" w:hAnsi="Arial" w:cs="Arial"/>
          <w:sz w:val="22"/>
        </w:rPr>
      </w:pPr>
      <w:r w:rsidRPr="00A62A97">
        <w:rPr>
          <w:rFonts w:ascii="Arial" w:hAnsi="Arial" w:cs="Arial"/>
          <w:sz w:val="22"/>
        </w:rPr>
        <w:t xml:space="preserve">The notebook includes six visualizations, exceeding the minimum requirement of four: (1) AAPL Closing Price Trend, (2) Trading Volume Trend, (3) Closing Price with 7-day and 30-day Moving Averages, (4) </w:t>
      </w:r>
      <w:r w:rsidRPr="00A62A97">
        <w:rPr>
          <w:rFonts w:ascii="Arial" w:hAnsi="Arial" w:cs="Arial"/>
          <w:sz w:val="22"/>
        </w:rPr>
        <w:lastRenderedPageBreak/>
        <w:t>Daily Percentage Returns, (5) 30-day Rolling Volatility, and (6) Monthly Returns. Together, these charts provide complementary views of long-term price direction, market activity, short-term performance and changing volatility.</w:t>
      </w:r>
    </w:p>
    <w:p w14:paraId="6FAE12A6" w14:textId="77777777" w:rsidR="00F07026" w:rsidRPr="00A62A97" w:rsidRDefault="00000000">
      <w:pPr>
        <w:spacing w:before="100" w:after="40"/>
        <w:rPr>
          <w:rFonts w:ascii="Arial" w:hAnsi="Arial" w:cs="Arial"/>
          <w:sz w:val="22"/>
        </w:rPr>
      </w:pPr>
      <w:r w:rsidRPr="00A62A97">
        <w:rPr>
          <w:rFonts w:ascii="Arial" w:hAnsi="Arial" w:cs="Arial"/>
          <w:b/>
          <w:sz w:val="22"/>
        </w:rPr>
        <w:t>6. Recommendations</w:t>
      </w:r>
    </w:p>
    <w:p w14:paraId="040E5588" w14:textId="77777777" w:rsidR="00F07026" w:rsidRPr="00A62A97" w:rsidRDefault="00000000">
      <w:pPr>
        <w:spacing w:after="40"/>
        <w:ind w:left="259" w:hanging="173"/>
        <w:rPr>
          <w:rFonts w:ascii="Arial" w:hAnsi="Arial" w:cs="Arial"/>
          <w:sz w:val="22"/>
        </w:rPr>
      </w:pPr>
      <w:r w:rsidRPr="00A62A97">
        <w:rPr>
          <w:rFonts w:ascii="Arial" w:hAnsi="Arial" w:cs="Arial"/>
          <w:b/>
          <w:sz w:val="22"/>
        </w:rPr>
        <w:t xml:space="preserve">• </w:t>
      </w:r>
      <w:r w:rsidRPr="00A62A97">
        <w:rPr>
          <w:rFonts w:ascii="Arial" w:hAnsi="Arial" w:cs="Arial"/>
          <w:sz w:val="22"/>
        </w:rPr>
        <w:t>Use rolling averages together with daily returns when monitoring short- and medium-term price trends, because the moving averages smooth short-term noise while returns show individual-period movements.</w:t>
      </w:r>
    </w:p>
    <w:p w14:paraId="34F3F330" w14:textId="77777777" w:rsidR="00F07026" w:rsidRPr="00A62A97" w:rsidRDefault="00000000">
      <w:pPr>
        <w:spacing w:after="40"/>
        <w:ind w:left="259" w:hanging="173"/>
        <w:rPr>
          <w:rFonts w:ascii="Arial" w:hAnsi="Arial" w:cs="Arial"/>
          <w:sz w:val="22"/>
        </w:rPr>
      </w:pPr>
      <w:r w:rsidRPr="00A62A97">
        <w:rPr>
          <w:rFonts w:ascii="Arial" w:hAnsi="Arial" w:cs="Arial"/>
          <w:b/>
          <w:sz w:val="22"/>
        </w:rPr>
        <w:t xml:space="preserve">• </w:t>
      </w:r>
      <w:r w:rsidRPr="00A62A97">
        <w:rPr>
          <w:rFonts w:ascii="Arial" w:hAnsi="Arial" w:cs="Arial"/>
          <w:sz w:val="22"/>
        </w:rPr>
        <w:t>Monitor trading volume alongside price movements. Unusually high volume can help identify periods of increased market activity and should be investigated alongside the corresponding price movement.</w:t>
      </w:r>
    </w:p>
    <w:p w14:paraId="0DC5356F" w14:textId="77777777" w:rsidR="00F07026" w:rsidRPr="00A62A97" w:rsidRDefault="00000000">
      <w:pPr>
        <w:spacing w:after="40"/>
        <w:ind w:left="259" w:hanging="173"/>
        <w:rPr>
          <w:rFonts w:ascii="Arial" w:hAnsi="Arial" w:cs="Arial"/>
          <w:sz w:val="22"/>
        </w:rPr>
      </w:pPr>
      <w:r w:rsidRPr="00A62A97">
        <w:rPr>
          <w:rFonts w:ascii="Arial" w:hAnsi="Arial" w:cs="Arial"/>
          <w:b/>
          <w:sz w:val="22"/>
        </w:rPr>
        <w:t xml:space="preserve">• </w:t>
      </w:r>
      <w:r w:rsidRPr="00A62A97">
        <w:rPr>
          <w:rFonts w:ascii="Arial" w:hAnsi="Arial" w:cs="Arial"/>
          <w:sz w:val="22"/>
        </w:rPr>
        <w:t>Track rolling volatility when comparing different periods. Periods with elevated volatility require greater caution when interpreting short-term price changes.</w:t>
      </w:r>
    </w:p>
    <w:p w14:paraId="619F9141" w14:textId="77777777" w:rsidR="00F07026" w:rsidRPr="00A62A97" w:rsidRDefault="00000000">
      <w:pPr>
        <w:spacing w:after="40"/>
        <w:ind w:left="259" w:hanging="173"/>
        <w:rPr>
          <w:rFonts w:ascii="Arial" w:hAnsi="Arial" w:cs="Arial"/>
          <w:sz w:val="22"/>
        </w:rPr>
      </w:pPr>
      <w:r w:rsidRPr="00A62A97">
        <w:rPr>
          <w:rFonts w:ascii="Arial" w:hAnsi="Arial" w:cs="Arial"/>
          <w:b/>
          <w:sz w:val="22"/>
        </w:rPr>
        <w:t xml:space="preserve">• </w:t>
      </w:r>
      <w:r w:rsidRPr="00A62A97">
        <w:rPr>
          <w:rFonts w:ascii="Arial" w:hAnsi="Arial" w:cs="Arial"/>
          <w:sz w:val="22"/>
        </w:rPr>
        <w:t>For future analysis, extend the project into predictive time-series modelling, risk metrics or event-based analysis, while separating descriptive historical findings from forecasts.</w:t>
      </w:r>
    </w:p>
    <w:p w14:paraId="419451B7" w14:textId="77777777" w:rsidR="00F07026" w:rsidRPr="00A62A97" w:rsidRDefault="00000000">
      <w:pPr>
        <w:spacing w:after="40"/>
        <w:ind w:left="259" w:hanging="173"/>
        <w:rPr>
          <w:rFonts w:ascii="Arial" w:hAnsi="Arial" w:cs="Arial"/>
          <w:sz w:val="22"/>
        </w:rPr>
      </w:pPr>
      <w:r w:rsidRPr="00A62A97">
        <w:rPr>
          <w:rFonts w:ascii="Arial" w:hAnsi="Arial" w:cs="Arial"/>
          <w:b/>
          <w:sz w:val="22"/>
        </w:rPr>
        <w:t xml:space="preserve">• </w:t>
      </w:r>
      <w:r w:rsidRPr="00A62A97">
        <w:rPr>
          <w:rFonts w:ascii="Arial" w:hAnsi="Arial" w:cs="Arial"/>
          <w:sz w:val="22"/>
        </w:rPr>
        <w:t>Keep the engineered dataset and summary tables as reusable inputs for future Python or machine-learning projects.</w:t>
      </w:r>
    </w:p>
    <w:p w14:paraId="720FB0EB" w14:textId="77777777" w:rsidR="00F07026" w:rsidRPr="00A62A97" w:rsidRDefault="00000000">
      <w:pPr>
        <w:spacing w:before="100" w:after="40"/>
        <w:rPr>
          <w:rFonts w:ascii="Arial" w:hAnsi="Arial" w:cs="Arial"/>
          <w:sz w:val="22"/>
        </w:rPr>
      </w:pPr>
      <w:r w:rsidRPr="00A62A97">
        <w:rPr>
          <w:rFonts w:ascii="Arial" w:hAnsi="Arial" w:cs="Arial"/>
          <w:b/>
          <w:sz w:val="22"/>
        </w:rPr>
        <w:t>7. Conclusion</w:t>
      </w:r>
    </w:p>
    <w:p w14:paraId="5F032699" w14:textId="77777777" w:rsidR="00F07026" w:rsidRPr="00A62A97" w:rsidRDefault="00000000">
      <w:pPr>
        <w:spacing w:after="60" w:line="240" w:lineRule="auto"/>
        <w:rPr>
          <w:rFonts w:ascii="Arial" w:hAnsi="Arial" w:cs="Arial"/>
          <w:sz w:val="22"/>
        </w:rPr>
      </w:pPr>
      <w:r w:rsidRPr="00A62A97">
        <w:rPr>
          <w:rFonts w:ascii="Arial" w:hAnsi="Arial" w:cs="Arial"/>
          <w:sz w:val="22"/>
        </w:rPr>
        <w:t>This project demonstrates how advanced Python and Pandas techniques can convert raw historical stock data into a structured time-series analysis. Data cleaning, transformation, resampling, rolling calculations, feature engineering and visualization were combined to identify AAPL's long-term price trend, changes in market activity and periods of greater short-term variability. The results are descriptive of the historical dataset and should not be interpreted as a guarantee of future stock performance.</w:t>
      </w:r>
    </w:p>
    <w:sectPr w:rsidR="00F07026" w:rsidRPr="00A62A97"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671362">
    <w:abstractNumId w:val="8"/>
  </w:num>
  <w:num w:numId="2" w16cid:durableId="549733191">
    <w:abstractNumId w:val="6"/>
  </w:num>
  <w:num w:numId="3" w16cid:durableId="382757456">
    <w:abstractNumId w:val="5"/>
  </w:num>
  <w:num w:numId="4" w16cid:durableId="1116217408">
    <w:abstractNumId w:val="4"/>
  </w:num>
  <w:num w:numId="5" w16cid:durableId="97532594">
    <w:abstractNumId w:val="7"/>
  </w:num>
  <w:num w:numId="6" w16cid:durableId="1388531962">
    <w:abstractNumId w:val="3"/>
  </w:num>
  <w:num w:numId="7" w16cid:durableId="962270150">
    <w:abstractNumId w:val="2"/>
  </w:num>
  <w:num w:numId="8" w16cid:durableId="1683120275">
    <w:abstractNumId w:val="1"/>
  </w:num>
  <w:num w:numId="9" w16cid:durableId="9923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62A97"/>
    <w:rsid w:val="00AA1D8D"/>
    <w:rsid w:val="00B47730"/>
    <w:rsid w:val="00CB0664"/>
    <w:rsid w:val="00D51EF6"/>
    <w:rsid w:val="00F07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17352"/>
  <w14:defaultImageDpi w14:val="300"/>
  <w15:docId w15:val="{93682EF5-F1D9-294D-B5E0-442670FC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K Malatji</cp:lastModifiedBy>
  <cp:revision>2</cp:revision>
  <dcterms:created xsi:type="dcterms:W3CDTF">2026-08-09T18:12:00Z</dcterms:created>
  <dcterms:modified xsi:type="dcterms:W3CDTF">2026-08-09T18:12:00Z</dcterms:modified>
  <cp:category/>
</cp:coreProperties>
</file>