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4F818E">
      <w:pPr>
        <w:spacing w:line="360" w:lineRule="auto"/>
        <w:jc w:val="center"/>
        <w:rPr>
          <w:rFonts w:hint="eastAsia" w:ascii="宋体" w:hAnsi="宋体" w:cs="宋体"/>
          <w:b/>
          <w:sz w:val="36"/>
          <w:szCs w:val="36"/>
        </w:rPr>
      </w:pPr>
      <w:r>
        <w:rPr>
          <w:rFonts w:hint="eastAsia" w:ascii="宋体" w:hAnsi="宋体" w:cs="宋体"/>
          <w:b/>
          <w:sz w:val="36"/>
          <w:szCs w:val="36"/>
        </w:rPr>
        <w:t>采  购  合  同</w:t>
      </w:r>
    </w:p>
    <w:p w14:paraId="6129E878">
      <w:pPr>
        <w:spacing w:line="360" w:lineRule="auto"/>
        <w:jc w:val="right"/>
        <w:rPr>
          <w:rFonts w:hint="eastAsia" w:ascii="宋体" w:hAnsi="宋体" w:cs="宋体"/>
          <w:sz w:val="20"/>
          <w:szCs w:val="20"/>
        </w:rPr>
      </w:pPr>
      <w:r>
        <w:rPr>
          <w:rFonts w:hint="eastAsia" w:ascii="宋体" w:hAnsi="宋体" w:cs="宋体"/>
          <w:sz w:val="24"/>
        </w:rPr>
        <w:t>合同编号：{{采购合同号}}</w:t>
      </w:r>
    </w:p>
    <w:p w14:paraId="1FC8332A">
      <w:pPr>
        <w:spacing w:line="360" w:lineRule="auto"/>
        <w:jc w:val="right"/>
        <w:rPr>
          <w:rFonts w:hint="eastAsia" w:ascii="宋体" w:hAnsi="宋体" w:cs="宋体"/>
          <w:i/>
          <w:iCs/>
          <w:sz w:val="24"/>
        </w:rPr>
      </w:pPr>
      <w:r>
        <w:rPr>
          <w:rFonts w:hint="eastAsia" w:ascii="宋体" w:hAnsi="宋体" w:cs="宋体"/>
          <w:sz w:val="24"/>
        </w:rPr>
        <w:t>合同签订地：深圳市</w:t>
      </w:r>
    </w:p>
    <w:p w14:paraId="5E5F977D">
      <w:pPr>
        <w:spacing w:line="360" w:lineRule="auto"/>
        <w:rPr>
          <w:rFonts w:hint="eastAsia" w:ascii="宋体" w:hAnsi="宋体" w:cs="宋体"/>
          <w:b/>
        </w:rPr>
      </w:pPr>
    </w:p>
    <w:p w14:paraId="14439052">
      <w:pPr>
        <w:spacing w:line="360" w:lineRule="auto"/>
        <w:ind w:left="420" w:hanging="420"/>
        <w:rPr>
          <w:rFonts w:hint="eastAsia" w:ascii="宋体" w:hAnsi="宋体" w:cs="宋体"/>
          <w:b/>
          <w:sz w:val="24"/>
        </w:rPr>
      </w:pPr>
      <w:r>
        <w:rPr>
          <w:rFonts w:hint="eastAsia" w:ascii="宋体" w:hAnsi="宋体" w:cs="宋体"/>
          <w:b/>
          <w:sz w:val="24"/>
        </w:rPr>
        <w:t>甲方（供方）： {{供应商名称}}</w:t>
      </w:r>
    </w:p>
    <w:p w14:paraId="7F046191">
      <w:pPr>
        <w:spacing w:line="360" w:lineRule="auto"/>
        <w:ind w:left="420" w:hanging="420"/>
        <w:rPr>
          <w:rFonts w:hint="eastAsia" w:ascii="宋体" w:hAnsi="宋体" w:cs="宋体"/>
          <w:bCs/>
          <w:sz w:val="24"/>
        </w:rPr>
      </w:pPr>
      <w:r>
        <w:rPr>
          <w:rFonts w:hint="eastAsia" w:ascii="宋体" w:hAnsi="宋体" w:cs="宋体"/>
          <w:b/>
          <w:sz w:val="24"/>
          <w:lang w:val="zh-CN"/>
        </w:rPr>
        <w:t>地</w:t>
      </w:r>
      <w:r>
        <w:rPr>
          <w:rFonts w:hint="eastAsia" w:ascii="宋体" w:hAnsi="宋体" w:cs="宋体"/>
          <w:b/>
          <w:sz w:val="24"/>
        </w:rPr>
        <w:t xml:space="preserve">        </w:t>
      </w:r>
      <w:r>
        <w:rPr>
          <w:rFonts w:hint="eastAsia" w:ascii="宋体" w:hAnsi="宋体" w:cs="宋体"/>
          <w:b/>
          <w:sz w:val="24"/>
          <w:lang w:val="zh-CN"/>
        </w:rPr>
        <w:t>址</w:t>
      </w:r>
      <w:r>
        <w:rPr>
          <w:rFonts w:hint="eastAsia" w:ascii="宋体" w:hAnsi="宋体" w:cs="宋体"/>
          <w:b/>
          <w:sz w:val="24"/>
        </w:rPr>
        <w:t xml:space="preserve">：{{供应商地址}} </w:t>
      </w:r>
    </w:p>
    <w:p w14:paraId="661FF853">
      <w:pPr>
        <w:widowControl/>
        <w:spacing w:line="360" w:lineRule="auto"/>
        <w:jc w:val="left"/>
        <w:rPr>
          <w:rFonts w:hint="eastAsia" w:ascii="宋体" w:hAnsi="宋体" w:cs="宋体"/>
          <w:b/>
          <w:sz w:val="24"/>
        </w:rPr>
      </w:pPr>
    </w:p>
    <w:p w14:paraId="738683B5">
      <w:pPr>
        <w:spacing w:line="360" w:lineRule="auto"/>
        <w:rPr>
          <w:rFonts w:hint="eastAsia" w:ascii="宋体" w:hAnsi="宋体" w:cs="宋体"/>
          <w:b/>
          <w:sz w:val="24"/>
        </w:rPr>
      </w:pPr>
      <w:r>
        <w:rPr>
          <w:rFonts w:hint="eastAsia" w:ascii="宋体" w:hAnsi="宋体" w:cs="宋体"/>
          <w:b/>
          <w:sz w:val="24"/>
        </w:rPr>
        <w:t xml:space="preserve">乙方（需方）：{{玉湖主体}}  </w:t>
      </w:r>
    </w:p>
    <w:p w14:paraId="0A77A4C1">
      <w:pPr>
        <w:spacing w:line="400" w:lineRule="exact"/>
        <w:rPr>
          <w:rFonts w:hint="eastAsia" w:ascii="宋体" w:hAnsi="宋体" w:cs="宋体"/>
          <w:b/>
          <w:sz w:val="24"/>
        </w:rPr>
      </w:pPr>
      <w:r>
        <w:rPr>
          <w:rFonts w:hint="eastAsia" w:ascii="宋体" w:hAnsi="宋体" w:cs="宋体"/>
          <w:b/>
          <w:sz w:val="24"/>
        </w:rPr>
        <w:t>地        址：{{玉湖主体地址}}</w:t>
      </w:r>
    </w:p>
    <w:p w14:paraId="6F616C2E">
      <w:pPr>
        <w:spacing w:line="400" w:lineRule="exact"/>
        <w:ind w:firstLine="480" w:firstLineChars="200"/>
        <w:rPr>
          <w:rFonts w:hint="eastAsia" w:ascii="宋体" w:hAnsi="宋体" w:cs="宋体"/>
          <w:sz w:val="24"/>
        </w:rPr>
      </w:pPr>
    </w:p>
    <w:p w14:paraId="2AF8261B">
      <w:pPr>
        <w:spacing w:line="400" w:lineRule="exact"/>
        <w:ind w:firstLine="480" w:firstLineChars="200"/>
        <w:rPr>
          <w:rFonts w:hint="eastAsia" w:ascii="宋体" w:hAnsi="宋体" w:cs="宋体"/>
          <w:sz w:val="24"/>
        </w:rPr>
      </w:pPr>
      <w:r>
        <w:rPr>
          <w:rFonts w:hint="eastAsia" w:ascii="宋体" w:hAnsi="宋体" w:cs="宋体"/>
          <w:sz w:val="24"/>
        </w:rPr>
        <w:t>甲、乙双方在平等、自愿、协商一致的基础上，根据《中华人民共和国民法典》及相关法律法规的规定，就甲方供给乙方【           】事宜特签订本合同，双方共同遵守：</w:t>
      </w:r>
    </w:p>
    <w:p w14:paraId="0CDA90CF">
      <w:pPr>
        <w:spacing w:line="360" w:lineRule="auto"/>
        <w:rPr>
          <w:rFonts w:hint="eastAsia" w:ascii="宋体" w:hAnsi="宋体" w:cs="宋体"/>
          <w:b/>
          <w:bCs/>
          <w:sz w:val="24"/>
        </w:rPr>
      </w:pPr>
      <w:r>
        <w:rPr>
          <w:rFonts w:hint="eastAsia" w:ascii="宋体" w:hAnsi="宋体" w:cs="宋体"/>
          <w:b/>
          <w:bCs/>
          <w:sz w:val="24"/>
        </w:rPr>
        <w:t>第一条：供货货物信息</w:t>
      </w:r>
    </w:p>
    <w:tbl>
      <w:tblPr>
        <w:tblStyle w:val="8"/>
        <w:tblW w:w="10627" w:type="dxa"/>
        <w:jc w:val="center"/>
        <w:tblLayout w:type="fixed"/>
        <w:tblCellMar>
          <w:top w:w="0" w:type="dxa"/>
          <w:left w:w="108" w:type="dxa"/>
          <w:bottom w:w="0" w:type="dxa"/>
          <w:right w:w="108" w:type="dxa"/>
        </w:tblCellMar>
      </w:tblPr>
      <w:tblGrid>
        <w:gridCol w:w="562"/>
        <w:gridCol w:w="1276"/>
        <w:gridCol w:w="1276"/>
        <w:gridCol w:w="992"/>
        <w:gridCol w:w="1276"/>
        <w:gridCol w:w="1134"/>
        <w:gridCol w:w="1417"/>
        <w:gridCol w:w="851"/>
        <w:gridCol w:w="1134"/>
        <w:gridCol w:w="709"/>
      </w:tblGrid>
      <w:tr w14:paraId="26B59B99">
        <w:trPr>
          <w:jc w:val="center"/>
        </w:trPr>
        <w:tc>
          <w:tcPr>
            <w:tcW w:w="562" w:type="dxa"/>
            <w:tcBorders>
              <w:top w:val="single" w:color="000000" w:sz="4" w:space="0"/>
              <w:left w:val="single" w:color="000000" w:sz="4" w:space="0"/>
              <w:bottom w:val="single" w:color="000000" w:sz="4" w:space="0"/>
              <w:right w:val="single" w:color="000000" w:sz="4" w:space="0"/>
            </w:tcBorders>
            <w:noWrap/>
            <w:vAlign w:val="center"/>
          </w:tcPr>
          <w:p w14:paraId="37F2151D">
            <w:pPr>
              <w:widowControl/>
              <w:snapToGrid w:val="0"/>
              <w:jc w:val="center"/>
              <w:textAlignment w:val="center"/>
              <w:rPr>
                <w:rFonts w:hint="eastAsia" w:ascii="宋体" w:hAnsi="宋体" w:cs="宋体"/>
                <w:color w:val="000000"/>
                <w:sz w:val="24"/>
              </w:rPr>
            </w:pPr>
            <w:r>
              <w:rPr>
                <w:rFonts w:hint="eastAsia" w:ascii="宋体" w:hAnsi="宋体" w:cs="宋体"/>
                <w:color w:val="000000"/>
                <w:kern w:val="0"/>
                <w:sz w:val="24"/>
                <w:lang w:bidi="ar"/>
              </w:rPr>
              <w:t>序号</w:t>
            </w:r>
          </w:p>
        </w:tc>
        <w:tc>
          <w:tcPr>
            <w:tcW w:w="1276" w:type="dxa"/>
            <w:tcBorders>
              <w:top w:val="single" w:color="000000" w:sz="4" w:space="0"/>
              <w:left w:val="single" w:color="000000" w:sz="4" w:space="0"/>
              <w:bottom w:val="single" w:color="000000" w:sz="4" w:space="0"/>
              <w:right w:val="single" w:color="000000" w:sz="4" w:space="0"/>
            </w:tcBorders>
            <w:noWrap/>
            <w:vAlign w:val="center"/>
          </w:tcPr>
          <w:p w14:paraId="5D20D10D">
            <w:pPr>
              <w:widowControl/>
              <w:snapToGrid w:val="0"/>
              <w:jc w:val="center"/>
              <w:textAlignment w:val="center"/>
              <w:rPr>
                <w:rFonts w:hint="eastAsia" w:ascii="宋体" w:hAnsi="宋体" w:cs="宋体"/>
                <w:color w:val="000000"/>
                <w:sz w:val="24"/>
              </w:rPr>
            </w:pPr>
            <w:r>
              <w:rPr>
                <w:rFonts w:hint="eastAsia" w:ascii="宋体" w:hAnsi="宋体" w:cs="宋体"/>
                <w:color w:val="000000"/>
                <w:kern w:val="0"/>
                <w:sz w:val="24"/>
                <w:lang w:bidi="ar"/>
              </w:rPr>
              <w:t>货物名称</w:t>
            </w:r>
          </w:p>
        </w:tc>
        <w:tc>
          <w:tcPr>
            <w:tcW w:w="1276" w:type="dxa"/>
            <w:tcBorders>
              <w:top w:val="single" w:color="000000" w:sz="4" w:space="0"/>
              <w:left w:val="single" w:color="000000" w:sz="4" w:space="0"/>
              <w:bottom w:val="single" w:color="000000" w:sz="4" w:space="0"/>
              <w:right w:val="single" w:color="000000" w:sz="4" w:space="0"/>
            </w:tcBorders>
            <w:noWrap/>
            <w:vAlign w:val="center"/>
          </w:tcPr>
          <w:p w14:paraId="4F00BF8E">
            <w:pPr>
              <w:widowControl/>
              <w:snapToGrid w:val="0"/>
              <w:jc w:val="center"/>
              <w:textAlignment w:val="center"/>
              <w:rPr>
                <w:rFonts w:hint="eastAsia" w:ascii="宋体" w:hAnsi="宋体" w:cs="宋体"/>
                <w:color w:val="000000"/>
                <w:sz w:val="24"/>
              </w:rPr>
            </w:pPr>
            <w:r>
              <w:rPr>
                <w:rFonts w:hint="eastAsia" w:ascii="宋体" w:hAnsi="宋体" w:cs="宋体"/>
                <w:color w:val="000000"/>
                <w:kern w:val="0"/>
                <w:sz w:val="24"/>
                <w:lang w:bidi="ar"/>
              </w:rPr>
              <w:t>柜号</w:t>
            </w:r>
          </w:p>
        </w:tc>
        <w:tc>
          <w:tcPr>
            <w:tcW w:w="992" w:type="dxa"/>
            <w:tcBorders>
              <w:top w:val="single" w:color="000000" w:sz="4" w:space="0"/>
              <w:left w:val="single" w:color="000000" w:sz="4" w:space="0"/>
              <w:bottom w:val="single" w:color="000000" w:sz="4" w:space="0"/>
              <w:right w:val="single" w:color="000000" w:sz="4" w:space="0"/>
            </w:tcBorders>
            <w:noWrap/>
            <w:vAlign w:val="center"/>
          </w:tcPr>
          <w:p w14:paraId="6AC190A3">
            <w:pPr>
              <w:widowControl/>
              <w:snapToGrid w:val="0"/>
              <w:jc w:val="center"/>
              <w:textAlignment w:val="center"/>
              <w:rPr>
                <w:rFonts w:hint="eastAsia" w:ascii="宋体" w:hAnsi="宋体" w:cs="宋体"/>
                <w:color w:val="000000"/>
                <w:sz w:val="24"/>
              </w:rPr>
            </w:pPr>
            <w:r>
              <w:rPr>
                <w:rFonts w:hint="eastAsia" w:ascii="宋体" w:hAnsi="宋体" w:cs="宋体"/>
                <w:color w:val="000000"/>
                <w:kern w:val="0"/>
                <w:sz w:val="24"/>
                <w:lang w:bidi="ar"/>
              </w:rPr>
              <w:t>件数</w:t>
            </w:r>
          </w:p>
        </w:tc>
        <w:tc>
          <w:tcPr>
            <w:tcW w:w="1276" w:type="dxa"/>
            <w:tcBorders>
              <w:top w:val="single" w:color="000000" w:sz="4" w:space="0"/>
              <w:left w:val="single" w:color="000000" w:sz="4" w:space="0"/>
              <w:bottom w:val="single" w:color="000000" w:sz="4" w:space="0"/>
              <w:right w:val="single" w:color="000000" w:sz="4" w:space="0"/>
            </w:tcBorders>
            <w:noWrap/>
            <w:vAlign w:val="center"/>
          </w:tcPr>
          <w:p w14:paraId="1ED6A631">
            <w:pPr>
              <w:widowControl/>
              <w:snapToGrid w:val="0"/>
              <w:jc w:val="center"/>
              <w:textAlignment w:val="center"/>
              <w:rPr>
                <w:rFonts w:hint="eastAsia" w:ascii="宋体" w:hAnsi="宋体" w:cs="宋体"/>
                <w:color w:val="000000"/>
                <w:sz w:val="24"/>
              </w:rPr>
            </w:pPr>
            <w:r>
              <w:rPr>
                <w:rFonts w:hint="eastAsia" w:ascii="宋体" w:hAnsi="宋体" w:cs="宋体"/>
                <w:color w:val="000000"/>
                <w:kern w:val="0"/>
                <w:sz w:val="24"/>
                <w:lang w:bidi="ar"/>
              </w:rPr>
              <w:t>重量（KG）</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BB26BA3">
            <w:pPr>
              <w:widowControl/>
              <w:snapToGrid w:val="0"/>
              <w:jc w:val="center"/>
              <w:textAlignment w:val="center"/>
              <w:rPr>
                <w:rFonts w:hint="eastAsia" w:ascii="宋体" w:hAnsi="宋体" w:cs="宋体"/>
                <w:color w:val="000000"/>
                <w:sz w:val="24"/>
              </w:rPr>
            </w:pPr>
            <w:r>
              <w:rPr>
                <w:rFonts w:hint="eastAsia" w:ascii="宋体" w:hAnsi="宋体" w:cs="宋体"/>
                <w:color w:val="000000"/>
                <w:kern w:val="0"/>
                <w:sz w:val="24"/>
                <w:lang w:bidi="ar"/>
              </w:rPr>
              <w:t>单价 (元 / KG)</w:t>
            </w:r>
          </w:p>
        </w:tc>
        <w:tc>
          <w:tcPr>
            <w:tcW w:w="1417" w:type="dxa"/>
            <w:tcBorders>
              <w:top w:val="single" w:color="000000" w:sz="4" w:space="0"/>
              <w:left w:val="single" w:color="000000" w:sz="4" w:space="0"/>
              <w:bottom w:val="single" w:color="000000" w:sz="4" w:space="0"/>
              <w:right w:val="single" w:color="000000" w:sz="4" w:space="0"/>
            </w:tcBorders>
            <w:noWrap/>
            <w:vAlign w:val="center"/>
          </w:tcPr>
          <w:p w14:paraId="76D80AC7">
            <w:pPr>
              <w:widowControl/>
              <w:snapToGrid w:val="0"/>
              <w:jc w:val="center"/>
              <w:textAlignment w:val="center"/>
              <w:rPr>
                <w:rFonts w:hint="eastAsia" w:ascii="宋体" w:hAnsi="宋体" w:cs="宋体"/>
                <w:color w:val="000000"/>
                <w:sz w:val="24"/>
              </w:rPr>
            </w:pPr>
            <w:r>
              <w:rPr>
                <w:rFonts w:hint="eastAsia" w:ascii="宋体" w:hAnsi="宋体" w:cs="宋体"/>
                <w:color w:val="000000"/>
                <w:kern w:val="0"/>
                <w:sz w:val="24"/>
                <w:lang w:bidi="ar"/>
              </w:rPr>
              <w:t>金额（人民币元）</w:t>
            </w:r>
          </w:p>
        </w:tc>
        <w:tc>
          <w:tcPr>
            <w:tcW w:w="851" w:type="dxa"/>
            <w:tcBorders>
              <w:top w:val="single" w:color="000000" w:sz="4" w:space="0"/>
              <w:left w:val="single" w:color="000000" w:sz="4" w:space="0"/>
              <w:bottom w:val="single" w:color="000000" w:sz="4" w:space="0"/>
              <w:right w:val="single" w:color="000000" w:sz="4" w:space="0"/>
            </w:tcBorders>
            <w:noWrap/>
            <w:vAlign w:val="center"/>
          </w:tcPr>
          <w:p w14:paraId="592267D5">
            <w:pPr>
              <w:widowControl/>
              <w:snapToGrid w:val="0"/>
              <w:jc w:val="center"/>
              <w:textAlignment w:val="center"/>
              <w:rPr>
                <w:rFonts w:hint="eastAsia" w:ascii="宋体" w:hAnsi="宋体" w:cs="宋体"/>
                <w:color w:val="000000"/>
                <w:sz w:val="24"/>
              </w:rPr>
            </w:pPr>
            <w:r>
              <w:rPr>
                <w:rFonts w:hint="eastAsia" w:ascii="宋体" w:hAnsi="宋体" w:cs="宋体"/>
                <w:color w:val="000000"/>
                <w:kern w:val="0"/>
                <w:sz w:val="24"/>
                <w:lang w:bidi="ar"/>
              </w:rPr>
              <w:t>规格</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7F633D1">
            <w:pPr>
              <w:widowControl/>
              <w:snapToGrid w:val="0"/>
              <w:jc w:val="center"/>
              <w:textAlignment w:val="center"/>
              <w:rPr>
                <w:rFonts w:hint="eastAsia" w:ascii="宋体" w:hAnsi="宋体" w:cs="宋体"/>
                <w:color w:val="000000"/>
                <w:sz w:val="24"/>
              </w:rPr>
            </w:pPr>
            <w:r>
              <w:rPr>
                <w:rFonts w:hint="eastAsia" w:ascii="宋体" w:hAnsi="宋体" w:cs="宋体"/>
                <w:color w:val="000000"/>
                <w:kern w:val="0"/>
                <w:sz w:val="24"/>
                <w:lang w:bidi="ar"/>
              </w:rPr>
              <w:t>生产日期</w:t>
            </w:r>
          </w:p>
        </w:tc>
        <w:tc>
          <w:tcPr>
            <w:tcW w:w="709" w:type="dxa"/>
            <w:tcBorders>
              <w:top w:val="single" w:color="000000" w:sz="4" w:space="0"/>
              <w:left w:val="single" w:color="000000" w:sz="4" w:space="0"/>
              <w:bottom w:val="single" w:color="000000" w:sz="4" w:space="0"/>
              <w:right w:val="single" w:color="000000" w:sz="4" w:space="0"/>
            </w:tcBorders>
            <w:vAlign w:val="center"/>
          </w:tcPr>
          <w:p w14:paraId="5B2E9FCE">
            <w:pPr>
              <w:widowControl/>
              <w:snapToGrid w:val="0"/>
              <w:jc w:val="center"/>
              <w:textAlignment w:val="center"/>
              <w:rPr>
                <w:rFonts w:hint="eastAsia" w:ascii="宋体" w:hAnsi="宋体" w:cs="宋体"/>
                <w:color w:val="000000"/>
                <w:kern w:val="0"/>
                <w:sz w:val="24"/>
                <w:lang w:bidi="ar"/>
              </w:rPr>
            </w:pPr>
            <w:r>
              <w:rPr>
                <w:rFonts w:hint="eastAsia" w:ascii="宋体" w:hAnsi="宋体" w:cs="宋体"/>
                <w:color w:val="000000"/>
                <w:kern w:val="0"/>
                <w:sz w:val="24"/>
                <w:lang w:bidi="ar"/>
              </w:rPr>
              <w:t>厂号</w:t>
            </w:r>
          </w:p>
        </w:tc>
      </w:tr>
      <w:tr w14:paraId="105436AA">
        <w:trPr>
          <w:jc w:val="center"/>
        </w:trPr>
        <w:tc>
          <w:tcPr>
            <w:tcW w:w="562" w:type="dxa"/>
            <w:tcBorders>
              <w:top w:val="single" w:color="000000" w:sz="4" w:space="0"/>
              <w:left w:val="single" w:color="000000" w:sz="4" w:space="0"/>
              <w:bottom w:val="single" w:color="000000" w:sz="4" w:space="0"/>
              <w:right w:val="single" w:color="000000" w:sz="4" w:space="0"/>
            </w:tcBorders>
            <w:noWrap/>
            <w:vAlign w:val="center"/>
          </w:tcPr>
          <w:p w14:paraId="201EF66E">
            <w:pPr>
              <w:widowControl/>
              <w:snapToGrid w:val="0"/>
              <w:jc w:val="center"/>
              <w:textAlignment w:val="center"/>
              <w:rPr>
                <w:rFonts w:hint="eastAsia" w:ascii="宋体" w:hAnsi="宋体" w:cs="宋体"/>
                <w:color w:val="000000"/>
                <w:kern w:val="0"/>
                <w:sz w:val="24"/>
                <w:lang w:bidi="ar"/>
              </w:rPr>
            </w:pPr>
            <w:r>
              <w:rPr>
                <w:rFonts w:hint="eastAsia" w:ascii="宋体" w:hAnsi="宋体" w:cs="宋体"/>
                <w:color w:val="000000"/>
                <w:kern w:val="0"/>
                <w:sz w:val="24"/>
                <w:lang w:bidi="ar"/>
              </w:rPr>
              <w:t>1</w:t>
            </w:r>
          </w:p>
        </w:tc>
        <w:tc>
          <w:tcPr>
            <w:tcW w:w="1276" w:type="dxa"/>
            <w:tcBorders>
              <w:top w:val="single" w:color="000000" w:sz="4" w:space="0"/>
              <w:left w:val="single" w:color="000000" w:sz="4" w:space="0"/>
              <w:bottom w:val="single" w:color="000000" w:sz="4" w:space="0"/>
              <w:right w:val="single" w:color="000000" w:sz="4" w:space="0"/>
            </w:tcBorders>
            <w:noWrap/>
            <w:vAlign w:val="center"/>
          </w:tcPr>
          <w:p w14:paraId="5EE09620">
            <w:pPr>
              <w:widowControl/>
              <w:snapToGrid w:val="0"/>
              <w:jc w:val="center"/>
              <w:textAlignment w:val="center"/>
              <w:rPr>
                <w:rFonts w:hint="eastAsia" w:ascii="宋体" w:hAnsi="宋体" w:cs="宋体"/>
                <w:color w:val="000000"/>
                <w:kern w:val="0"/>
                <w:sz w:val="24"/>
                <w:lang w:bidi="ar"/>
              </w:rPr>
            </w:pPr>
            <w:r>
              <w:rPr>
                <w:rFonts w:hint="eastAsia" w:ascii="宋体" w:hAnsi="宋体" w:cs="宋体"/>
                <w:color w:val="000000"/>
                <w:kern w:val="0"/>
                <w:sz w:val="24"/>
                <w:lang w:bidi="ar"/>
              </w:rPr>
              <w:t>{{合同产品名称}}</w:t>
            </w:r>
          </w:p>
        </w:tc>
        <w:tc>
          <w:tcPr>
            <w:tcW w:w="1276" w:type="dxa"/>
            <w:tcBorders>
              <w:top w:val="single" w:color="000000" w:sz="4" w:space="0"/>
              <w:left w:val="single" w:color="000000" w:sz="4" w:space="0"/>
              <w:bottom w:val="single" w:color="000000" w:sz="4" w:space="0"/>
              <w:right w:val="single" w:color="000000" w:sz="4" w:space="0"/>
            </w:tcBorders>
            <w:noWrap/>
            <w:vAlign w:val="center"/>
          </w:tcPr>
          <w:p w14:paraId="68EC445B">
            <w:pPr>
              <w:widowControl/>
              <w:snapToGrid w:val="0"/>
              <w:jc w:val="center"/>
              <w:textAlignment w:val="center"/>
              <w:rPr>
                <w:rFonts w:hint="eastAsia" w:ascii="宋体" w:hAnsi="宋体" w:cs="宋体"/>
                <w:color w:val="000000"/>
                <w:kern w:val="0"/>
                <w:sz w:val="24"/>
                <w:lang w:bidi="ar"/>
              </w:rPr>
            </w:pPr>
            <w:r>
              <w:rPr>
                <w:rFonts w:hint="eastAsia" w:ascii="宋体" w:hAnsi="宋体" w:cs="宋体"/>
                <w:color w:val="000000"/>
                <w:kern w:val="0"/>
                <w:sz w:val="24"/>
                <w:lang w:bidi="ar"/>
              </w:rPr>
              <w:t>{{柜号}}</w:t>
            </w:r>
          </w:p>
        </w:tc>
        <w:tc>
          <w:tcPr>
            <w:tcW w:w="992" w:type="dxa"/>
            <w:tcBorders>
              <w:top w:val="single" w:color="000000" w:sz="4" w:space="0"/>
              <w:left w:val="single" w:color="000000" w:sz="4" w:space="0"/>
              <w:bottom w:val="single" w:color="000000" w:sz="4" w:space="0"/>
              <w:right w:val="single" w:color="000000" w:sz="4" w:space="0"/>
            </w:tcBorders>
            <w:noWrap/>
            <w:vAlign w:val="center"/>
          </w:tcPr>
          <w:p w14:paraId="4B074521">
            <w:pPr>
              <w:widowControl/>
              <w:snapToGrid w:val="0"/>
              <w:jc w:val="center"/>
              <w:textAlignment w:val="center"/>
              <w:rPr>
                <w:rFonts w:hint="eastAsia" w:ascii="宋体" w:hAnsi="宋体" w:cs="宋体"/>
                <w:color w:val="000000"/>
                <w:kern w:val="0"/>
                <w:sz w:val="24"/>
                <w:lang w:bidi="ar"/>
              </w:rPr>
            </w:pPr>
            <w:r>
              <w:rPr>
                <w:rFonts w:hint="eastAsia" w:ascii="宋体" w:hAnsi="宋体" w:cs="宋体"/>
                <w:color w:val="000000"/>
                <w:kern w:val="0"/>
                <w:sz w:val="24"/>
                <w:lang w:bidi="ar"/>
              </w:rPr>
              <w:t>{{件数}}</w:t>
            </w:r>
          </w:p>
        </w:tc>
        <w:tc>
          <w:tcPr>
            <w:tcW w:w="1276" w:type="dxa"/>
            <w:tcBorders>
              <w:top w:val="single" w:color="000000" w:sz="4" w:space="0"/>
              <w:left w:val="single" w:color="000000" w:sz="4" w:space="0"/>
              <w:bottom w:val="single" w:color="000000" w:sz="4" w:space="0"/>
              <w:right w:val="single" w:color="000000" w:sz="4" w:space="0"/>
            </w:tcBorders>
            <w:noWrap/>
            <w:vAlign w:val="center"/>
          </w:tcPr>
          <w:p w14:paraId="70F3D64E">
            <w:pPr>
              <w:widowControl/>
              <w:snapToGrid w:val="0"/>
              <w:jc w:val="center"/>
              <w:textAlignment w:val="center"/>
              <w:rPr>
                <w:rFonts w:hint="eastAsia" w:ascii="宋体" w:hAnsi="宋体" w:cs="宋体"/>
                <w:color w:val="000000"/>
                <w:kern w:val="0"/>
                <w:sz w:val="24"/>
                <w:lang w:bidi="ar"/>
              </w:rPr>
            </w:pPr>
            <w:r>
              <w:rPr>
                <w:rFonts w:hint="eastAsia" w:ascii="宋体" w:hAnsi="宋体" w:cs="宋体"/>
                <w:color w:val="000000"/>
                <w:kern w:val="0"/>
                <w:sz w:val="24"/>
                <w:lang w:bidi="ar"/>
              </w:rPr>
              <w:t>{{重量}}</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5716DF0">
            <w:pPr>
              <w:widowControl/>
              <w:snapToGrid w:val="0"/>
              <w:jc w:val="center"/>
              <w:textAlignment w:val="center"/>
              <w:rPr>
                <w:rFonts w:hint="eastAsia" w:ascii="宋体" w:hAnsi="宋体" w:cs="宋体"/>
                <w:b/>
                <w:bCs/>
                <w:color w:val="000000"/>
                <w:sz w:val="24"/>
              </w:rPr>
            </w:pPr>
            <w:r>
              <w:rPr>
                <w:rFonts w:hint="eastAsia" w:ascii="宋体" w:hAnsi="宋体" w:cs="宋体"/>
                <w:color w:val="000000"/>
                <w:kern w:val="0"/>
                <w:sz w:val="24"/>
                <w:lang w:bidi="ar"/>
              </w:rPr>
              <w:t>{{采购单价}}</w:t>
            </w:r>
          </w:p>
        </w:tc>
        <w:tc>
          <w:tcPr>
            <w:tcW w:w="1417" w:type="dxa"/>
            <w:tcBorders>
              <w:top w:val="single" w:color="000000" w:sz="4" w:space="0"/>
              <w:left w:val="single" w:color="000000" w:sz="4" w:space="0"/>
              <w:bottom w:val="single" w:color="000000" w:sz="4" w:space="0"/>
              <w:right w:val="single" w:color="000000" w:sz="4" w:space="0"/>
            </w:tcBorders>
            <w:noWrap/>
            <w:vAlign w:val="center"/>
          </w:tcPr>
          <w:p w14:paraId="7B9376E9">
            <w:pPr>
              <w:widowControl/>
              <w:snapToGrid w:val="0"/>
              <w:jc w:val="center"/>
              <w:textAlignment w:val="center"/>
              <w:rPr>
                <w:rFonts w:hint="eastAsia" w:ascii="宋体" w:hAnsi="宋体" w:cs="宋体"/>
                <w:color w:val="000000"/>
                <w:kern w:val="0"/>
                <w:sz w:val="24"/>
                <w:lang w:bidi="ar"/>
              </w:rPr>
            </w:pPr>
            <w:r>
              <w:rPr>
                <w:rFonts w:hint="eastAsia" w:ascii="宋体" w:hAnsi="宋体" w:cs="宋体"/>
                <w:color w:val="000000"/>
                <w:kern w:val="0"/>
                <w:sz w:val="24"/>
                <w:lang w:bidi="ar"/>
              </w:rPr>
              <w:t>{{金额}}</w:t>
            </w:r>
          </w:p>
        </w:tc>
        <w:tc>
          <w:tcPr>
            <w:tcW w:w="851" w:type="dxa"/>
            <w:tcBorders>
              <w:top w:val="single" w:color="000000" w:sz="4" w:space="0"/>
              <w:left w:val="single" w:color="000000" w:sz="4" w:space="0"/>
              <w:bottom w:val="single" w:color="000000" w:sz="4" w:space="0"/>
              <w:right w:val="single" w:color="000000" w:sz="4" w:space="0"/>
            </w:tcBorders>
            <w:noWrap/>
            <w:vAlign w:val="center"/>
          </w:tcPr>
          <w:p w14:paraId="6345C9F8">
            <w:pPr>
              <w:widowControl/>
              <w:snapToGrid w:val="0"/>
              <w:jc w:val="center"/>
              <w:textAlignment w:val="center"/>
              <w:rPr>
                <w:rFonts w:hint="eastAsia" w:ascii="宋体" w:hAnsi="宋体" w:cs="宋体"/>
                <w:b/>
                <w:bCs/>
                <w:color w:val="000000"/>
                <w:sz w:val="24"/>
              </w:rPr>
            </w:pPr>
            <w:r>
              <w:rPr>
                <w:rFonts w:hint="eastAsia" w:ascii="宋体" w:hAnsi="宋体" w:cs="宋体"/>
                <w:color w:val="000000"/>
                <w:kern w:val="0"/>
                <w:sz w:val="24"/>
                <w:lang w:bidi="ar"/>
              </w:rPr>
              <w:t>{{规格}}</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7621CB8">
            <w:pPr>
              <w:widowControl/>
              <w:snapToGrid w:val="0"/>
              <w:jc w:val="center"/>
              <w:textAlignment w:val="center"/>
              <w:rPr>
                <w:rFonts w:hint="eastAsia" w:ascii="MS Sans Serif" w:hAnsi="MS Sans Serif" w:cs="MS Sans Serif"/>
                <w:color w:val="000000"/>
                <w:sz w:val="24"/>
              </w:rPr>
            </w:pPr>
            <w:r>
              <w:rPr>
                <w:rFonts w:hint="eastAsia" w:ascii="宋体" w:hAnsi="宋体" w:cs="宋体"/>
                <w:color w:val="000000"/>
                <w:kern w:val="0"/>
                <w:sz w:val="24"/>
                <w:lang w:bidi="ar"/>
              </w:rPr>
              <w:t>{{生产日期}}</w:t>
            </w:r>
          </w:p>
        </w:tc>
        <w:tc>
          <w:tcPr>
            <w:tcW w:w="709" w:type="dxa"/>
            <w:tcBorders>
              <w:top w:val="single" w:color="000000" w:sz="4" w:space="0"/>
              <w:left w:val="single" w:color="000000" w:sz="4" w:space="0"/>
              <w:bottom w:val="single" w:color="000000" w:sz="4" w:space="0"/>
              <w:right w:val="single" w:color="000000" w:sz="4" w:space="0"/>
            </w:tcBorders>
            <w:vAlign w:val="center"/>
          </w:tcPr>
          <w:p w14:paraId="59F4685A">
            <w:pPr>
              <w:widowControl/>
              <w:snapToGrid w:val="0"/>
              <w:jc w:val="center"/>
              <w:textAlignment w:val="center"/>
              <w:rPr>
                <w:rFonts w:hint="eastAsia" w:ascii="宋体" w:hAnsi="宋体" w:cs="宋体"/>
                <w:color w:val="000000"/>
                <w:kern w:val="0"/>
                <w:sz w:val="24"/>
                <w:lang w:bidi="ar"/>
              </w:rPr>
            </w:pPr>
            <w:r>
              <w:rPr>
                <w:rFonts w:hint="eastAsia" w:ascii="宋体" w:hAnsi="宋体" w:cs="宋体"/>
                <w:color w:val="000000"/>
                <w:kern w:val="0"/>
                <w:sz w:val="24"/>
                <w:lang w:bidi="ar"/>
              </w:rPr>
              <w:t>{{厂号}}</w:t>
            </w:r>
          </w:p>
        </w:tc>
      </w:tr>
      <w:tr w14:paraId="0E10FA3D">
        <w:trPr>
          <w:jc w:val="center"/>
        </w:trPr>
        <w:tc>
          <w:tcPr>
            <w:tcW w:w="562" w:type="dxa"/>
            <w:tcBorders>
              <w:top w:val="single" w:color="000000" w:sz="4" w:space="0"/>
              <w:left w:val="single" w:color="000000" w:sz="4" w:space="0"/>
              <w:bottom w:val="single" w:color="000000" w:sz="4" w:space="0"/>
              <w:right w:val="single" w:color="000000" w:sz="4" w:space="0"/>
            </w:tcBorders>
            <w:noWrap/>
            <w:vAlign w:val="center"/>
          </w:tcPr>
          <w:p w14:paraId="09C1D5CD">
            <w:pPr>
              <w:widowControl/>
              <w:snapToGrid w:val="0"/>
              <w:jc w:val="center"/>
              <w:textAlignment w:val="center"/>
              <w:rPr>
                <w:rFonts w:hint="eastAsia" w:ascii="宋体" w:hAnsi="宋体" w:cs="宋体"/>
                <w:color w:val="000000"/>
                <w:sz w:val="24"/>
              </w:rPr>
            </w:pPr>
            <w:r>
              <w:rPr>
                <w:rFonts w:hint="eastAsia" w:ascii="宋体" w:hAnsi="宋体" w:cs="宋体"/>
                <w:color w:val="000000"/>
                <w:kern w:val="0"/>
                <w:sz w:val="24"/>
                <w:lang w:bidi="ar"/>
              </w:rPr>
              <w:t>合计</w:t>
            </w:r>
          </w:p>
        </w:tc>
        <w:tc>
          <w:tcPr>
            <w:tcW w:w="1276" w:type="dxa"/>
            <w:tcBorders>
              <w:top w:val="single" w:color="000000" w:sz="4" w:space="0"/>
              <w:left w:val="single" w:color="000000" w:sz="4" w:space="0"/>
              <w:bottom w:val="single" w:color="000000" w:sz="4" w:space="0"/>
              <w:right w:val="single" w:color="000000" w:sz="4" w:space="0"/>
            </w:tcBorders>
            <w:noWrap/>
            <w:vAlign w:val="center"/>
          </w:tcPr>
          <w:p w14:paraId="6C33DC3B">
            <w:pPr>
              <w:snapToGrid w:val="0"/>
              <w:jc w:val="center"/>
              <w:rPr>
                <w:rFonts w:hint="eastAsia" w:ascii="宋体" w:hAnsi="宋体" w:cs="宋体"/>
                <w:b/>
                <w:bCs/>
                <w:color w:val="000000"/>
                <w:sz w:val="24"/>
              </w:rPr>
            </w:pPr>
          </w:p>
        </w:tc>
        <w:tc>
          <w:tcPr>
            <w:tcW w:w="1276" w:type="dxa"/>
            <w:tcBorders>
              <w:top w:val="single" w:color="000000" w:sz="4" w:space="0"/>
              <w:left w:val="single" w:color="000000" w:sz="4" w:space="0"/>
              <w:bottom w:val="single" w:color="000000" w:sz="4" w:space="0"/>
              <w:right w:val="single" w:color="000000" w:sz="4" w:space="0"/>
            </w:tcBorders>
            <w:noWrap/>
            <w:vAlign w:val="center"/>
          </w:tcPr>
          <w:p w14:paraId="1C94BD92">
            <w:pPr>
              <w:snapToGrid w:val="0"/>
              <w:jc w:val="center"/>
              <w:rPr>
                <w:rFonts w:hint="eastAsia" w:ascii="宋体" w:hAnsi="宋体" w:cs="宋体"/>
                <w:b/>
                <w:bCs/>
                <w:color w:val="000000"/>
                <w:sz w:val="24"/>
              </w:rPr>
            </w:pPr>
          </w:p>
        </w:tc>
        <w:tc>
          <w:tcPr>
            <w:tcW w:w="992" w:type="dxa"/>
            <w:tcBorders>
              <w:top w:val="single" w:color="000000" w:sz="4" w:space="0"/>
              <w:left w:val="single" w:color="000000" w:sz="4" w:space="0"/>
              <w:bottom w:val="single" w:color="000000" w:sz="4" w:space="0"/>
              <w:right w:val="single" w:color="000000" w:sz="4" w:space="0"/>
            </w:tcBorders>
            <w:noWrap/>
            <w:vAlign w:val="center"/>
          </w:tcPr>
          <w:p w14:paraId="11394084">
            <w:pPr>
              <w:widowControl/>
              <w:snapToGrid w:val="0"/>
              <w:jc w:val="center"/>
              <w:textAlignment w:val="center"/>
              <w:rPr>
                <w:rFonts w:hint="eastAsia" w:ascii="宋体" w:hAnsi="宋体" w:cs="宋体"/>
                <w:color w:val="000000"/>
                <w:sz w:val="24"/>
              </w:rPr>
            </w:pPr>
            <w:r>
              <w:rPr>
                <w:rFonts w:hint="eastAsia" w:ascii="宋体" w:hAnsi="宋体" w:cs="宋体"/>
                <w:color w:val="000000"/>
                <w:kern w:val="0"/>
                <w:sz w:val="24"/>
                <w:lang w:bidi="ar"/>
              </w:rPr>
              <w:t>{{总件数}}</w:t>
            </w:r>
          </w:p>
        </w:tc>
        <w:tc>
          <w:tcPr>
            <w:tcW w:w="1276" w:type="dxa"/>
            <w:tcBorders>
              <w:top w:val="single" w:color="000000" w:sz="4" w:space="0"/>
              <w:left w:val="single" w:color="000000" w:sz="4" w:space="0"/>
              <w:bottom w:val="single" w:color="000000" w:sz="4" w:space="0"/>
              <w:right w:val="single" w:color="000000" w:sz="4" w:space="0"/>
            </w:tcBorders>
            <w:noWrap/>
            <w:vAlign w:val="center"/>
          </w:tcPr>
          <w:p w14:paraId="5C6CBD73">
            <w:pPr>
              <w:widowControl/>
              <w:snapToGrid w:val="0"/>
              <w:jc w:val="center"/>
              <w:textAlignment w:val="center"/>
              <w:rPr>
                <w:rFonts w:hint="eastAsia" w:ascii="宋体" w:hAnsi="宋体" w:cs="宋体"/>
                <w:color w:val="000000"/>
                <w:sz w:val="24"/>
              </w:rPr>
            </w:pPr>
            <w:r>
              <w:rPr>
                <w:rFonts w:hint="eastAsia" w:ascii="宋体" w:hAnsi="宋体" w:cs="宋体"/>
                <w:color w:val="000000"/>
                <w:kern w:val="0"/>
                <w:sz w:val="24"/>
                <w:lang w:bidi="ar"/>
              </w:rPr>
              <w:t>{{总重量}}</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2ACD924">
            <w:pPr>
              <w:widowControl/>
              <w:snapToGrid w:val="0"/>
              <w:jc w:val="center"/>
              <w:textAlignment w:val="center"/>
              <w:rPr>
                <w:rFonts w:hint="eastAsia" w:ascii="宋体" w:hAnsi="宋体" w:cs="宋体"/>
                <w:b/>
                <w:bCs/>
                <w:color w:val="000000"/>
                <w:sz w:val="24"/>
              </w:rPr>
            </w:pPr>
            <w:r>
              <w:rPr>
                <w:rFonts w:hint="eastAsia" w:ascii="宋体" w:hAnsi="宋体" w:cs="宋体"/>
                <w:color w:val="000000"/>
                <w:kern w:val="0"/>
                <w:sz w:val="24"/>
                <w:lang w:bidi="ar"/>
              </w:rPr>
              <w:t>—</w:t>
            </w:r>
          </w:p>
        </w:tc>
        <w:tc>
          <w:tcPr>
            <w:tcW w:w="1417" w:type="dxa"/>
            <w:tcBorders>
              <w:top w:val="single" w:color="000000" w:sz="4" w:space="0"/>
              <w:left w:val="single" w:color="000000" w:sz="4" w:space="0"/>
              <w:bottom w:val="single" w:color="000000" w:sz="4" w:space="0"/>
              <w:right w:val="single" w:color="000000" w:sz="4" w:space="0"/>
            </w:tcBorders>
            <w:noWrap/>
            <w:vAlign w:val="center"/>
          </w:tcPr>
          <w:p w14:paraId="4C13174A">
            <w:pPr>
              <w:widowControl/>
              <w:snapToGrid w:val="0"/>
              <w:jc w:val="center"/>
              <w:textAlignment w:val="center"/>
              <w:rPr>
                <w:rFonts w:hint="eastAsia" w:ascii="宋体" w:hAnsi="宋体" w:cs="宋体"/>
                <w:color w:val="000000"/>
                <w:sz w:val="24"/>
              </w:rPr>
            </w:pPr>
            <w:r>
              <w:rPr>
                <w:rFonts w:hint="eastAsia" w:ascii="宋体" w:hAnsi="宋体" w:cs="宋体"/>
                <w:color w:val="000000"/>
                <w:kern w:val="0"/>
                <w:sz w:val="24"/>
                <w:lang w:bidi="ar"/>
              </w:rPr>
              <w:t>{{总金额}}</w:t>
            </w:r>
          </w:p>
        </w:tc>
        <w:tc>
          <w:tcPr>
            <w:tcW w:w="851" w:type="dxa"/>
            <w:tcBorders>
              <w:top w:val="single" w:color="000000" w:sz="4" w:space="0"/>
              <w:left w:val="single" w:color="000000" w:sz="4" w:space="0"/>
              <w:bottom w:val="single" w:color="000000" w:sz="4" w:space="0"/>
              <w:right w:val="single" w:color="000000" w:sz="4" w:space="0"/>
            </w:tcBorders>
            <w:noWrap/>
            <w:vAlign w:val="center"/>
          </w:tcPr>
          <w:p w14:paraId="13714A3A">
            <w:pPr>
              <w:snapToGrid w:val="0"/>
              <w:jc w:val="center"/>
              <w:rPr>
                <w:rFonts w:hint="eastAsia" w:ascii="宋体" w:hAnsi="宋体" w:cs="宋体"/>
                <w:b/>
                <w:bCs/>
                <w:color w:val="000000"/>
                <w:sz w:val="24"/>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C394C76">
            <w:pPr>
              <w:snapToGrid w:val="0"/>
              <w:jc w:val="center"/>
              <w:rPr>
                <w:rFonts w:ascii="MS Sans Serif" w:hAnsi="MS Sans Serif" w:eastAsia="MS Sans Serif" w:cs="MS Sans Serif"/>
                <w:color w:val="000000"/>
                <w:sz w:val="24"/>
              </w:rPr>
            </w:pPr>
          </w:p>
        </w:tc>
        <w:tc>
          <w:tcPr>
            <w:tcW w:w="709" w:type="dxa"/>
            <w:tcBorders>
              <w:top w:val="single" w:color="000000" w:sz="4" w:space="0"/>
              <w:left w:val="single" w:color="000000" w:sz="4" w:space="0"/>
              <w:bottom w:val="single" w:color="000000" w:sz="4" w:space="0"/>
              <w:right w:val="single" w:color="000000" w:sz="4" w:space="0"/>
            </w:tcBorders>
            <w:vAlign w:val="center"/>
          </w:tcPr>
          <w:p w14:paraId="3D375051">
            <w:pPr>
              <w:snapToGrid w:val="0"/>
              <w:jc w:val="center"/>
              <w:rPr>
                <w:rFonts w:ascii="MS Sans Serif" w:hAnsi="MS Sans Serif" w:eastAsia="MS Sans Serif" w:cs="MS Sans Serif"/>
                <w:color w:val="000000"/>
                <w:sz w:val="24"/>
              </w:rPr>
            </w:pPr>
          </w:p>
        </w:tc>
      </w:tr>
      <w:tr w14:paraId="48340A6D">
        <w:trPr>
          <w:jc w:val="center"/>
        </w:trPr>
        <w:tc>
          <w:tcPr>
            <w:tcW w:w="1838" w:type="dxa"/>
            <w:gridSpan w:val="2"/>
            <w:tcBorders>
              <w:top w:val="single" w:color="000000" w:sz="4" w:space="0"/>
              <w:left w:val="single" w:color="000000" w:sz="4" w:space="0"/>
              <w:bottom w:val="single" w:color="000000" w:sz="4" w:space="0"/>
              <w:right w:val="single" w:color="000000" w:sz="4" w:space="0"/>
            </w:tcBorders>
            <w:noWrap/>
            <w:vAlign w:val="center"/>
          </w:tcPr>
          <w:p w14:paraId="3C5C9C39">
            <w:pPr>
              <w:widowControl/>
              <w:snapToGrid w:val="0"/>
              <w:jc w:val="left"/>
              <w:textAlignment w:val="center"/>
              <w:rPr>
                <w:rFonts w:hint="eastAsia" w:ascii="宋体" w:hAnsi="宋体" w:cs="宋体"/>
                <w:color w:val="000000"/>
                <w:sz w:val="24"/>
              </w:rPr>
            </w:pPr>
            <w:r>
              <w:rPr>
                <w:rFonts w:hint="eastAsia" w:ascii="宋体" w:hAnsi="宋体" w:cs="宋体"/>
                <w:color w:val="000000"/>
                <w:kern w:val="0"/>
                <w:sz w:val="24"/>
                <w:lang w:bidi="ar"/>
              </w:rPr>
              <w:t>人民币大写</w:t>
            </w:r>
          </w:p>
        </w:tc>
        <w:tc>
          <w:tcPr>
            <w:tcW w:w="8789" w:type="dxa"/>
            <w:gridSpan w:val="8"/>
            <w:tcBorders>
              <w:top w:val="single" w:color="000000" w:sz="4" w:space="0"/>
              <w:left w:val="single" w:color="000000" w:sz="4" w:space="0"/>
              <w:bottom w:val="single" w:color="000000" w:sz="4" w:space="0"/>
              <w:right w:val="single" w:color="000000" w:sz="4" w:space="0"/>
            </w:tcBorders>
            <w:noWrap/>
            <w:vAlign w:val="center"/>
          </w:tcPr>
          <w:p w14:paraId="47E21B09">
            <w:pPr>
              <w:widowControl/>
              <w:snapToGrid w:val="0"/>
              <w:jc w:val="center"/>
              <w:textAlignment w:val="center"/>
              <w:rPr>
                <w:rFonts w:hint="eastAsia" w:ascii="宋体" w:hAnsi="宋体" w:cs="宋体"/>
                <w:sz w:val="24"/>
              </w:rPr>
            </w:pPr>
            <w:r>
              <w:rPr>
                <w:rFonts w:hint="eastAsia" w:ascii="宋体" w:hAnsi="宋体" w:cs="宋体"/>
                <w:color w:val="000000"/>
                <w:kern w:val="0"/>
                <w:sz w:val="24"/>
                <w:lang w:bidi="ar"/>
              </w:rPr>
              <w:t>{{总金额大写}}</w:t>
            </w:r>
          </w:p>
        </w:tc>
      </w:tr>
      <w:tr w14:paraId="5C01ECA7">
        <w:trPr>
          <w:jc w:val="center"/>
        </w:trPr>
        <w:tc>
          <w:tcPr>
            <w:tcW w:w="1838" w:type="dxa"/>
            <w:gridSpan w:val="2"/>
            <w:tcBorders>
              <w:top w:val="single" w:color="000000" w:sz="4" w:space="0"/>
              <w:left w:val="single" w:color="000000" w:sz="4" w:space="0"/>
              <w:bottom w:val="single" w:color="000000" w:sz="4" w:space="0"/>
              <w:right w:val="single" w:color="000000" w:sz="4" w:space="0"/>
            </w:tcBorders>
            <w:noWrap/>
            <w:vAlign w:val="center"/>
          </w:tcPr>
          <w:p w14:paraId="0F80CF7E">
            <w:pPr>
              <w:widowControl/>
              <w:snapToGrid w:val="0"/>
              <w:jc w:val="left"/>
              <w:textAlignment w:val="center"/>
              <w:rPr>
                <w:rFonts w:hint="eastAsia" w:ascii="宋体" w:hAnsi="宋体" w:cs="宋体"/>
                <w:color w:val="000000"/>
                <w:sz w:val="24"/>
              </w:rPr>
            </w:pPr>
            <w:r>
              <w:rPr>
                <w:rFonts w:hint="eastAsia" w:ascii="宋体" w:hAnsi="宋体" w:cs="宋体"/>
                <w:color w:val="000000"/>
                <w:kern w:val="0"/>
                <w:sz w:val="24"/>
                <w:lang w:bidi="ar"/>
              </w:rPr>
              <w:t>备注</w:t>
            </w:r>
          </w:p>
        </w:tc>
        <w:tc>
          <w:tcPr>
            <w:tcW w:w="8789" w:type="dxa"/>
            <w:gridSpan w:val="8"/>
            <w:tcBorders>
              <w:top w:val="single" w:color="000000" w:sz="4" w:space="0"/>
              <w:left w:val="single" w:color="000000" w:sz="4" w:space="0"/>
              <w:bottom w:val="single" w:color="000000" w:sz="4" w:space="0"/>
              <w:right w:val="single" w:color="000000" w:sz="4" w:space="0"/>
            </w:tcBorders>
            <w:noWrap/>
            <w:vAlign w:val="center"/>
          </w:tcPr>
          <w:p w14:paraId="5BA4CAB8">
            <w:pPr>
              <w:widowControl/>
              <w:snapToGrid w:val="0"/>
              <w:jc w:val="center"/>
              <w:textAlignment w:val="center"/>
              <w:rPr>
                <w:rFonts w:hint="eastAsia" w:ascii="宋体" w:hAnsi="宋体" w:cs="宋体"/>
                <w:color w:val="000000"/>
                <w:sz w:val="24"/>
              </w:rPr>
            </w:pPr>
            <w:r>
              <w:rPr>
                <w:rFonts w:hint="eastAsia" w:ascii="宋体" w:hAnsi="宋体" w:cs="宋体"/>
                <w:color w:val="000000"/>
                <w:kern w:val="0"/>
                <w:sz w:val="24"/>
                <w:lang w:bidi="ar"/>
              </w:rPr>
              <w:t>税点：{{税点}} 不含税金额：{{不含税金额}}元 增值税：{{增值税}}元 含税总额：{{总金额}}元</w:t>
            </w:r>
          </w:p>
        </w:tc>
      </w:tr>
    </w:tbl>
    <w:p w14:paraId="50E0AD84">
      <w:pPr>
        <w:spacing w:line="360" w:lineRule="auto"/>
        <w:rPr>
          <w:rFonts w:hint="eastAsia" w:ascii="宋体" w:hAnsi="宋体" w:cs="宋体"/>
          <w:b/>
          <w:bCs/>
          <w:sz w:val="24"/>
        </w:rPr>
      </w:pPr>
    </w:p>
    <w:p w14:paraId="566D7B8A">
      <w:pPr>
        <w:spacing w:line="400" w:lineRule="exact"/>
        <w:ind w:firstLine="480" w:firstLineChars="200"/>
        <w:rPr>
          <w:rFonts w:hint="eastAsia" w:ascii="宋体" w:hAnsi="宋体" w:cs="宋体"/>
          <w:sz w:val="24"/>
        </w:rPr>
      </w:pPr>
      <w:r>
        <w:rPr>
          <w:rFonts w:hint="eastAsia" w:ascii="宋体" w:hAnsi="宋体" w:cs="宋体"/>
          <w:sz w:val="24"/>
        </w:rPr>
        <w:t>1、上表中的“单价”为含税到货价；</w:t>
      </w:r>
    </w:p>
    <w:p w14:paraId="41294E20">
      <w:pPr>
        <w:spacing w:line="400" w:lineRule="exact"/>
        <w:ind w:firstLine="480" w:firstLineChars="200"/>
        <w:rPr>
          <w:rFonts w:hint="eastAsia" w:ascii="宋体" w:hAnsi="宋体" w:cs="宋体"/>
          <w:sz w:val="24"/>
        </w:rPr>
      </w:pPr>
      <w:r>
        <w:rPr>
          <w:rFonts w:hint="eastAsia" w:ascii="宋体" w:hAnsi="宋体" w:cs="宋体"/>
          <w:sz w:val="24"/>
        </w:rPr>
        <w:t>2、包装：纸箱，甲方需保证包装完好；</w:t>
      </w:r>
    </w:p>
    <w:p w14:paraId="68A6F82A">
      <w:pPr>
        <w:spacing w:line="400" w:lineRule="exact"/>
        <w:ind w:firstLine="480" w:firstLineChars="200"/>
        <w:rPr>
          <w:rFonts w:hint="eastAsia" w:ascii="宋体" w:hAnsi="宋体" w:cs="宋体"/>
          <w:sz w:val="24"/>
        </w:rPr>
      </w:pPr>
      <w:r>
        <w:rPr>
          <w:rFonts w:hint="eastAsia" w:ascii="宋体" w:hAnsi="宋体" w:cs="宋体"/>
          <w:sz w:val="24"/>
        </w:rPr>
        <w:t>3、货物产地为</w:t>
      </w:r>
      <w:r>
        <w:rPr>
          <w:rFonts w:hint="eastAsia" w:ascii="宋体" w:hAnsi="宋体" w:cs="宋体"/>
          <w:sz w:val="24"/>
          <w:u w:val="single"/>
        </w:rPr>
        <w:t xml:space="preserve"> </w:t>
      </w:r>
      <w:bookmarkStart w:id="0" w:name="_GoBack"/>
      <w:bookmarkEnd w:id="0"/>
      <w:r>
        <w:rPr>
          <w:rFonts w:hint="eastAsia" w:ascii="宋体" w:hAnsi="宋体" w:cs="宋体"/>
          <w:sz w:val="24"/>
          <w:u w:val="single"/>
        </w:rPr>
        <w:t xml:space="preserve"> {{国家}}   </w:t>
      </w:r>
      <w:r>
        <w:rPr>
          <w:rFonts w:hint="eastAsia" w:ascii="宋体" w:hAnsi="宋体" w:cs="宋体"/>
          <w:sz w:val="24"/>
        </w:rPr>
        <w:t>；货物厂号</w:t>
      </w:r>
      <w:r>
        <w:rPr>
          <w:rFonts w:hint="eastAsia" w:ascii="宋体" w:hAnsi="宋体" w:cs="宋体"/>
          <w:sz w:val="24"/>
          <w:u w:val="single"/>
        </w:rPr>
        <w:t xml:space="preserve">  {{厂号}}   </w:t>
      </w:r>
      <w:r>
        <w:rPr>
          <w:rFonts w:hint="eastAsia" w:ascii="宋体" w:hAnsi="宋体" w:cs="宋体"/>
          <w:sz w:val="24"/>
        </w:rPr>
        <w:t>。</w:t>
      </w:r>
    </w:p>
    <w:p w14:paraId="688B5B97">
      <w:pPr>
        <w:spacing w:line="400" w:lineRule="exact"/>
        <w:rPr>
          <w:rFonts w:hint="eastAsia" w:ascii="宋体" w:hAnsi="宋体" w:cs="宋体"/>
          <w:b/>
          <w:bCs/>
          <w:sz w:val="24"/>
        </w:rPr>
      </w:pPr>
      <w:r>
        <w:rPr>
          <w:rFonts w:hint="eastAsia" w:ascii="宋体" w:hAnsi="宋体" w:cs="宋体"/>
          <w:b/>
          <w:bCs/>
          <w:sz w:val="24"/>
        </w:rPr>
        <w:t>第二条：交货及运输</w:t>
      </w:r>
    </w:p>
    <w:p w14:paraId="4545A51E">
      <w:pPr>
        <w:spacing w:line="400" w:lineRule="exact"/>
        <w:ind w:firstLine="480" w:firstLineChars="200"/>
        <w:rPr>
          <w:rFonts w:hint="eastAsia" w:ascii="宋体" w:hAnsi="宋体" w:cs="宋体"/>
          <w:sz w:val="24"/>
        </w:rPr>
      </w:pPr>
      <w:r>
        <w:rPr>
          <w:rFonts w:hint="eastAsia" w:ascii="宋体" w:hAnsi="宋体" w:cs="宋体"/>
          <w:sz w:val="24"/>
        </w:rPr>
        <w:t>1、交货时间：【      】年【      】月 【      】日前；</w:t>
      </w:r>
    </w:p>
    <w:p w14:paraId="1BDC5401">
      <w:pPr>
        <w:spacing w:line="400" w:lineRule="exact"/>
        <w:ind w:firstLine="480" w:firstLineChars="200"/>
        <w:rPr>
          <w:rFonts w:hint="eastAsia" w:ascii="宋体" w:hAnsi="宋体" w:cs="宋体"/>
          <w:sz w:val="24"/>
        </w:rPr>
      </w:pPr>
      <w:r>
        <w:rPr>
          <w:rFonts w:hint="eastAsia" w:ascii="宋体" w:hAnsi="宋体" w:cs="宋体"/>
          <w:sz w:val="24"/>
        </w:rPr>
        <w:t>2、交货地点：</w:t>
      </w:r>
      <w:r>
        <w:rPr>
          <w:rFonts w:hint="eastAsia" w:ascii="宋体" w:hAnsi="宋体" w:cs="宋体"/>
          <w:sz w:val="24"/>
          <w:u w:val="single"/>
        </w:rPr>
        <w:t xml:space="preserve"> {{仓库}} </w:t>
      </w:r>
      <w:r>
        <w:rPr>
          <w:rFonts w:hint="eastAsia" w:ascii="宋体" w:hAnsi="宋体" w:cs="宋体"/>
          <w:sz w:val="24"/>
        </w:rPr>
        <w:t>；货物运达交货地点的运输费用由甲方承担；</w:t>
      </w:r>
    </w:p>
    <w:p w14:paraId="6E8F779D">
      <w:pPr>
        <w:spacing w:line="400" w:lineRule="exact"/>
        <w:ind w:firstLine="480" w:firstLineChars="200"/>
        <w:rPr>
          <w:rFonts w:hint="eastAsia" w:ascii="宋体" w:hAnsi="宋体" w:cs="宋体"/>
          <w:sz w:val="24"/>
        </w:rPr>
      </w:pPr>
      <w:r>
        <w:rPr>
          <w:rFonts w:hint="eastAsia" w:ascii="宋体" w:hAnsi="宋体" w:cs="宋体"/>
          <w:sz w:val="24"/>
        </w:rPr>
        <w:t>3、交货方式：</w:t>
      </w:r>
      <w:r>
        <w:rPr>
          <w:rFonts w:hint="eastAsia" w:ascii="宋体" w:hAnsi="宋体" w:cs="宋体"/>
          <w:sz w:val="24"/>
          <w:u w:val="single"/>
        </w:rPr>
        <w:t>乙方自行或乙方授权指定专人于交货地点自行提货验货</w:t>
      </w:r>
      <w:r>
        <w:rPr>
          <w:rFonts w:hint="eastAsia" w:ascii="宋体" w:hAnsi="宋体" w:cs="宋体"/>
          <w:sz w:val="24"/>
        </w:rPr>
        <w:t xml:space="preserve">。 </w:t>
      </w:r>
    </w:p>
    <w:p w14:paraId="10ECA64B">
      <w:pPr>
        <w:spacing w:line="400" w:lineRule="exact"/>
        <w:rPr>
          <w:rFonts w:hint="eastAsia" w:ascii="宋体" w:hAnsi="宋体" w:cs="宋体"/>
          <w:b/>
          <w:bCs/>
          <w:sz w:val="24"/>
        </w:rPr>
      </w:pPr>
      <w:r>
        <w:rPr>
          <w:rFonts w:hint="eastAsia" w:ascii="宋体" w:hAnsi="宋体" w:cs="宋体"/>
          <w:b/>
          <w:bCs/>
          <w:sz w:val="24"/>
        </w:rPr>
        <w:t>第三条：货款结算</w:t>
      </w:r>
    </w:p>
    <w:p w14:paraId="61B44038">
      <w:pPr>
        <w:pStyle w:val="17"/>
        <w:numPr>
          <w:ilvl w:val="0"/>
          <w:numId w:val="1"/>
        </w:numPr>
        <w:spacing w:line="400" w:lineRule="exact"/>
        <w:ind w:firstLine="480"/>
        <w:rPr>
          <w:rFonts w:hint="eastAsia" w:ascii="宋体" w:hAnsi="宋体" w:cs="宋体"/>
          <w:sz w:val="24"/>
        </w:rPr>
      </w:pPr>
      <w:r>
        <w:rPr>
          <w:rFonts w:hint="eastAsia" w:ascii="宋体" w:hAnsi="宋体" w:cs="宋体"/>
          <w:sz w:val="24"/>
        </w:rPr>
        <w:t>支付方式：乙方采用银行转账方式支付或由银行根据乙方委托支付。</w:t>
      </w:r>
    </w:p>
    <w:p w14:paraId="5B108E4B">
      <w:pPr>
        <w:pStyle w:val="17"/>
        <w:spacing w:line="400" w:lineRule="exact"/>
        <w:ind w:left="480" w:firstLine="0" w:firstLineChars="0"/>
        <w:rPr>
          <w:rFonts w:hint="eastAsia" w:ascii="宋体" w:hAnsi="宋体" w:cs="宋体"/>
          <w:sz w:val="24"/>
        </w:rPr>
      </w:pPr>
      <w:r>
        <w:rPr>
          <w:rFonts w:hint="eastAsia" w:ascii="宋体" w:hAnsi="宋体" w:cs="宋体"/>
          <w:sz w:val="24"/>
        </w:rPr>
        <w:t>甲方收款账户：{{供应商名称}}</w:t>
      </w:r>
      <w:r>
        <w:rPr>
          <w:rFonts w:ascii="宋体" w:hAnsi="宋体" w:cs="宋体"/>
          <w:sz w:val="24"/>
        </w:rPr>
        <w:br w:type="textWrapping"/>
      </w:r>
      <w:r>
        <w:rPr>
          <w:rFonts w:hint="eastAsia" w:ascii="宋体" w:hAnsi="宋体" w:cs="宋体"/>
          <w:sz w:val="24"/>
        </w:rPr>
        <w:t>甲方收款账号：{{甲方收款账号}}</w:t>
      </w:r>
      <w:r>
        <w:rPr>
          <w:rFonts w:ascii="宋体" w:hAnsi="宋体" w:cs="宋体"/>
          <w:sz w:val="24"/>
        </w:rPr>
        <w:br w:type="textWrapping"/>
      </w:r>
      <w:r>
        <w:rPr>
          <w:rFonts w:hint="eastAsia" w:ascii="宋体" w:hAnsi="宋体" w:cs="宋体"/>
          <w:sz w:val="24"/>
        </w:rPr>
        <w:t>开户行：{{甲方开户行}}</w:t>
      </w:r>
    </w:p>
    <w:p w14:paraId="252FA6F1">
      <w:pPr>
        <w:pStyle w:val="17"/>
        <w:numPr>
          <w:ilvl w:val="0"/>
          <w:numId w:val="1"/>
        </w:numPr>
        <w:spacing w:line="400" w:lineRule="exact"/>
        <w:ind w:firstLine="480"/>
        <w:rPr>
          <w:rFonts w:hint="eastAsia" w:ascii="宋体" w:hAnsi="宋体" w:cs="宋体"/>
          <w:sz w:val="24"/>
        </w:rPr>
      </w:pPr>
      <w:r>
        <w:rPr>
          <w:rFonts w:hint="eastAsia" w:ascii="宋体" w:hAnsi="宋体" w:cs="宋体"/>
          <w:sz w:val="24"/>
        </w:rPr>
        <w:t>结算方式（以勾选为准）：</w:t>
      </w:r>
    </w:p>
    <w:p w14:paraId="30244145">
      <w:pPr>
        <w:pStyle w:val="17"/>
        <w:spacing w:line="400" w:lineRule="exact"/>
        <w:ind w:firstLine="480" w:firstLineChars="0"/>
        <w:rPr>
          <w:rFonts w:hint="eastAsia" w:ascii="宋体" w:hAnsi="宋体" w:cs="宋体"/>
          <w:sz w:val="24"/>
        </w:rPr>
      </w:pPr>
      <w:r>
        <w:rPr>
          <w:rFonts w:hint="eastAsia" w:ascii="宋体" w:hAnsi="宋体" w:cs="宋体"/>
          <w:sz w:val="24"/>
        </w:rPr>
        <w:t>☑先货后款：甲方将货物全部交付至乙方或乙方指定专人后，乙方向甲方支付全部货款。</w:t>
      </w:r>
    </w:p>
    <w:p w14:paraId="79E8C61C">
      <w:pPr>
        <w:pStyle w:val="17"/>
        <w:spacing w:line="400" w:lineRule="exact"/>
        <w:ind w:firstLine="480" w:firstLineChars="0"/>
        <w:rPr>
          <w:rFonts w:hint="eastAsia" w:ascii="宋体" w:hAnsi="宋体" w:cs="宋体"/>
          <w:sz w:val="24"/>
        </w:rPr>
      </w:pPr>
      <w:r>
        <w:rPr>
          <w:rFonts w:hint="eastAsia" w:ascii="宋体" w:hAnsi="宋体" w:cs="宋体"/>
          <w:sz w:val="24"/>
        </w:rPr>
        <w:t>□装车打款：乙方于货物装至乙方指定车辆当天向甲方支付剩余货款，待甲方收到全款后，安排放行车辆。</w:t>
      </w:r>
    </w:p>
    <w:p w14:paraId="72051C66">
      <w:pPr>
        <w:pStyle w:val="17"/>
        <w:spacing w:line="400" w:lineRule="exact"/>
        <w:ind w:firstLine="480" w:firstLineChars="0"/>
        <w:rPr>
          <w:rFonts w:hint="eastAsia" w:ascii="宋体" w:hAnsi="宋体" w:cs="宋体"/>
          <w:sz w:val="24"/>
        </w:rPr>
      </w:pPr>
      <w:r>
        <w:rPr>
          <w:rFonts w:hint="eastAsia" w:ascii="宋体" w:hAnsi="宋体" w:cs="宋体"/>
          <w:sz w:val="24"/>
        </w:rPr>
        <w:t>□先款后货：乙方向甲方支付全款当日或者在本协议第二条约定的交货日期前（以较早之日为准），甲方向乙方或乙方指定专人交付全部货物。</w:t>
      </w:r>
    </w:p>
    <w:p w14:paraId="491F7B8D">
      <w:pPr>
        <w:pStyle w:val="17"/>
        <w:numPr>
          <w:ilvl w:val="0"/>
          <w:numId w:val="1"/>
        </w:numPr>
        <w:spacing w:line="400" w:lineRule="exact"/>
        <w:ind w:firstLine="480"/>
        <w:rPr>
          <w:rFonts w:hint="eastAsia" w:ascii="宋体" w:hAnsi="宋体" w:cs="宋体"/>
          <w:sz w:val="24"/>
        </w:rPr>
      </w:pPr>
      <w:r>
        <w:rPr>
          <w:rFonts w:hint="eastAsia" w:ascii="宋体" w:hAnsi="宋体" w:cs="宋体"/>
          <w:sz w:val="24"/>
        </w:rPr>
        <w:t>实际货款结算金额按乙方验收时确认的重量核算，如若实际金额与付款金额有差异，则实行多退少补直至往来货款全部结清为止。</w:t>
      </w:r>
    </w:p>
    <w:p w14:paraId="57D3ABDC">
      <w:pPr>
        <w:pStyle w:val="17"/>
        <w:numPr>
          <w:ilvl w:val="255"/>
          <w:numId w:val="0"/>
        </w:numPr>
        <w:spacing w:line="400" w:lineRule="exact"/>
        <w:ind w:firstLine="480" w:firstLineChars="200"/>
        <w:rPr>
          <w:rFonts w:hint="eastAsia" w:ascii="宋体" w:hAnsi="宋体" w:cs="宋体"/>
          <w:sz w:val="24"/>
          <w:szCs w:val="24"/>
        </w:rPr>
      </w:pPr>
      <w:r>
        <w:rPr>
          <w:rFonts w:hint="eastAsia" w:ascii="宋体" w:hAnsi="宋体" w:cs="宋体"/>
          <w:sz w:val="24"/>
          <w:szCs w:val="24"/>
        </w:rPr>
        <w:t>4、甲方应向乙方开具合法有效的增值税专用发票，发票由甲方在乙方全部货物收货确认后1个月内开出，</w:t>
      </w:r>
      <w:r>
        <w:rPr>
          <w:rFonts w:hint="eastAsia" w:ascii="宋体" w:hAnsi="宋体" w:cs="宋体"/>
          <w:sz w:val="24"/>
        </w:rPr>
        <w:t>发票原件以快递的方式邮寄给乙方指定的地址</w:t>
      </w:r>
      <w:r>
        <w:rPr>
          <w:rFonts w:hint="eastAsia" w:ascii="宋体" w:hAnsi="宋体" w:cs="宋体"/>
          <w:sz w:val="24"/>
          <w:szCs w:val="24"/>
        </w:rPr>
        <w:t>。</w:t>
      </w:r>
    </w:p>
    <w:p w14:paraId="6E74F661">
      <w:pPr>
        <w:spacing w:line="400" w:lineRule="exact"/>
        <w:rPr>
          <w:rFonts w:hint="eastAsia" w:ascii="宋体" w:hAnsi="宋体" w:cs="宋体"/>
          <w:b/>
          <w:bCs/>
          <w:sz w:val="24"/>
        </w:rPr>
      </w:pPr>
      <w:r>
        <w:rPr>
          <w:rFonts w:hint="eastAsia" w:ascii="宋体" w:hAnsi="宋体" w:cs="宋体"/>
          <w:b/>
          <w:bCs/>
          <w:sz w:val="24"/>
        </w:rPr>
        <w:t>第四条：货物质量及验收标准：</w:t>
      </w:r>
    </w:p>
    <w:p w14:paraId="181CD0D1">
      <w:pPr>
        <w:pStyle w:val="17"/>
        <w:numPr>
          <w:ilvl w:val="255"/>
          <w:numId w:val="0"/>
        </w:numPr>
        <w:spacing w:line="400" w:lineRule="exact"/>
        <w:ind w:firstLine="480" w:firstLineChars="200"/>
        <w:rPr>
          <w:rFonts w:hint="eastAsia" w:ascii="宋体" w:hAnsi="宋体" w:cs="宋体"/>
          <w:sz w:val="24"/>
          <w:szCs w:val="24"/>
        </w:rPr>
      </w:pPr>
      <w:r>
        <w:rPr>
          <w:rFonts w:hint="eastAsia" w:ascii="宋体" w:hAnsi="宋体" w:cs="宋体"/>
          <w:sz w:val="24"/>
          <w:szCs w:val="24"/>
        </w:rPr>
        <w:t>1、货物质量需符合国家标准且货物交货时剩余保质期不短于【12】个月。货物中不得出现大量血冰、恶性杂质、残次品、变质、包装破损等现象；</w:t>
      </w:r>
    </w:p>
    <w:p w14:paraId="248392DB">
      <w:pPr>
        <w:pStyle w:val="17"/>
        <w:numPr>
          <w:ilvl w:val="255"/>
          <w:numId w:val="0"/>
        </w:numPr>
        <w:spacing w:line="400" w:lineRule="exact"/>
        <w:ind w:firstLine="480" w:firstLineChars="200"/>
        <w:rPr>
          <w:rFonts w:hint="eastAsia" w:ascii="宋体" w:hAnsi="宋体" w:cs="宋体"/>
          <w:sz w:val="24"/>
          <w:szCs w:val="24"/>
        </w:rPr>
      </w:pPr>
      <w:r>
        <w:rPr>
          <w:rFonts w:hint="eastAsia" w:ascii="宋体" w:hAnsi="宋体" w:cs="宋体"/>
          <w:sz w:val="24"/>
          <w:szCs w:val="24"/>
        </w:rPr>
        <w:t>2、甲方应提供动物检疫合格证明或者进口货物报关单、入境检验检疫证明等法律证明文件；</w:t>
      </w:r>
    </w:p>
    <w:p w14:paraId="66A5A67C">
      <w:pPr>
        <w:pStyle w:val="17"/>
        <w:numPr>
          <w:ilvl w:val="255"/>
          <w:numId w:val="0"/>
        </w:numPr>
        <w:spacing w:line="400" w:lineRule="exact"/>
        <w:ind w:firstLine="480" w:firstLineChars="200"/>
        <w:rPr>
          <w:rFonts w:hint="eastAsia" w:ascii="宋体" w:hAnsi="宋体" w:cs="宋体"/>
          <w:sz w:val="24"/>
          <w:szCs w:val="24"/>
        </w:rPr>
      </w:pPr>
      <w:r>
        <w:rPr>
          <w:rFonts w:hint="eastAsia" w:ascii="宋体" w:hAnsi="宋体" w:cs="宋体"/>
          <w:sz w:val="24"/>
          <w:szCs w:val="24"/>
        </w:rPr>
        <w:t>3、货物达到乙方质量要求，与合同约定的事宜相符。</w:t>
      </w:r>
    </w:p>
    <w:p w14:paraId="7BF0D576">
      <w:pPr>
        <w:pStyle w:val="17"/>
        <w:numPr>
          <w:ilvl w:val="255"/>
          <w:numId w:val="0"/>
        </w:numPr>
        <w:spacing w:line="400" w:lineRule="exact"/>
        <w:rPr>
          <w:rFonts w:hint="eastAsia" w:ascii="宋体" w:hAnsi="宋体" w:cs="宋体"/>
          <w:b/>
          <w:bCs/>
          <w:sz w:val="24"/>
          <w:szCs w:val="24"/>
        </w:rPr>
      </w:pPr>
      <w:r>
        <w:rPr>
          <w:rFonts w:hint="eastAsia" w:ascii="宋体" w:hAnsi="宋体" w:cs="宋体"/>
          <w:b/>
          <w:bCs/>
          <w:sz w:val="24"/>
          <w:szCs w:val="24"/>
        </w:rPr>
        <w:t>第五条：货物重量差异</w:t>
      </w:r>
    </w:p>
    <w:p w14:paraId="6139F7B7">
      <w:pPr>
        <w:pStyle w:val="17"/>
        <w:numPr>
          <w:ilvl w:val="255"/>
          <w:numId w:val="0"/>
        </w:numPr>
        <w:spacing w:line="400" w:lineRule="exact"/>
        <w:rPr>
          <w:rFonts w:hint="eastAsia" w:ascii="宋体" w:hAnsi="宋体" w:cs="宋体"/>
          <w:b/>
          <w:bCs/>
          <w:sz w:val="24"/>
        </w:rPr>
      </w:pPr>
      <w:r>
        <w:rPr>
          <w:rFonts w:hint="eastAsia" w:ascii="宋体" w:hAnsi="宋体" w:cs="宋体"/>
          <w:sz w:val="24"/>
          <w:szCs w:val="24"/>
          <w:lang w:val="zh-CN"/>
        </w:rPr>
        <w:t xml:space="preserve">    鉴于本合同项下</w:t>
      </w:r>
      <w:r>
        <w:rPr>
          <w:rFonts w:hint="eastAsia" w:ascii="宋体" w:hAnsi="宋体" w:cs="宋体"/>
          <w:sz w:val="24"/>
          <w:szCs w:val="24"/>
        </w:rPr>
        <w:t>货物</w:t>
      </w:r>
      <w:r>
        <w:rPr>
          <w:rFonts w:hint="eastAsia" w:ascii="宋体" w:hAnsi="宋体" w:cs="宋体"/>
          <w:sz w:val="24"/>
          <w:szCs w:val="24"/>
          <w:lang w:val="zh-CN"/>
        </w:rPr>
        <w:t>的特殊性，</w:t>
      </w:r>
      <w:r>
        <w:rPr>
          <w:rFonts w:hint="eastAsia" w:ascii="宋体" w:hAnsi="宋体" w:cs="宋体"/>
          <w:sz w:val="24"/>
        </w:rPr>
        <w:t>甲、乙</w:t>
      </w:r>
      <w:r>
        <w:rPr>
          <w:rFonts w:hint="eastAsia" w:ascii="宋体" w:hAnsi="宋体" w:cs="宋体"/>
          <w:sz w:val="24"/>
          <w:szCs w:val="24"/>
          <w:lang w:val="zh-CN"/>
        </w:rPr>
        <w:t>双方确认</w:t>
      </w:r>
      <w:r>
        <w:rPr>
          <w:rFonts w:hint="eastAsia" w:ascii="宋体" w:hAnsi="宋体" w:cs="宋体"/>
          <w:sz w:val="24"/>
          <w:szCs w:val="24"/>
        </w:rPr>
        <w:t>货物</w:t>
      </w:r>
      <w:r>
        <w:rPr>
          <w:rFonts w:hint="eastAsia" w:ascii="宋体" w:hAnsi="宋体" w:cs="宋体"/>
          <w:sz w:val="24"/>
          <w:szCs w:val="24"/>
          <w:lang w:val="zh-CN"/>
        </w:rPr>
        <w:t>重量±</w:t>
      </w:r>
      <w:r>
        <w:rPr>
          <w:rFonts w:hint="eastAsia" w:ascii="宋体" w:hAnsi="宋体" w:cs="宋体"/>
          <w:sz w:val="24"/>
          <w:szCs w:val="24"/>
        </w:rPr>
        <w:t>0.5</w:t>
      </w:r>
      <w:r>
        <w:rPr>
          <w:rFonts w:hint="eastAsia" w:ascii="宋体" w:hAnsi="宋体" w:cs="宋体"/>
          <w:sz w:val="24"/>
          <w:szCs w:val="24"/>
          <w:lang w:val="zh-CN"/>
        </w:rPr>
        <w:t>％内的部分为合理损耗。合理损耗范围内不调整本合同质量与货款，仍按本合同约定执行。合理损耗之外的重量差异由</w:t>
      </w:r>
      <w:r>
        <w:rPr>
          <w:rFonts w:hint="eastAsia" w:ascii="宋体" w:hAnsi="宋体" w:cs="宋体"/>
          <w:sz w:val="24"/>
        </w:rPr>
        <w:t>甲、乙</w:t>
      </w:r>
      <w:r>
        <w:rPr>
          <w:rFonts w:hint="eastAsia" w:ascii="宋体" w:hAnsi="宋体" w:cs="宋体"/>
          <w:sz w:val="24"/>
          <w:szCs w:val="24"/>
          <w:lang w:val="zh-CN"/>
        </w:rPr>
        <w:t>双方据实结算。</w:t>
      </w:r>
    </w:p>
    <w:p w14:paraId="07E11E65">
      <w:pPr>
        <w:pStyle w:val="17"/>
        <w:tabs>
          <w:tab w:val="left" w:pos="719"/>
        </w:tabs>
        <w:spacing w:line="400" w:lineRule="exact"/>
        <w:ind w:firstLine="0" w:firstLineChars="0"/>
        <w:rPr>
          <w:rFonts w:hint="eastAsia" w:ascii="宋体" w:hAnsi="宋体" w:cs="宋体"/>
          <w:b/>
          <w:bCs/>
          <w:sz w:val="24"/>
        </w:rPr>
      </w:pPr>
      <w:r>
        <w:rPr>
          <w:rFonts w:hint="eastAsia" w:ascii="宋体" w:hAnsi="宋体" w:cs="宋体"/>
          <w:b/>
          <w:bCs/>
          <w:sz w:val="24"/>
        </w:rPr>
        <w:t>第六条：违约责任：</w:t>
      </w:r>
    </w:p>
    <w:p w14:paraId="6257C648">
      <w:pPr>
        <w:pStyle w:val="17"/>
        <w:numPr>
          <w:ilvl w:val="255"/>
          <w:numId w:val="0"/>
        </w:numPr>
        <w:spacing w:line="400" w:lineRule="exact"/>
        <w:rPr>
          <w:rFonts w:hint="eastAsia" w:ascii="宋体" w:hAnsi="宋体" w:cs="宋体"/>
          <w:sz w:val="24"/>
          <w:szCs w:val="24"/>
        </w:rPr>
      </w:pPr>
      <w:r>
        <w:rPr>
          <w:rFonts w:hint="eastAsia" w:ascii="宋体" w:hAnsi="宋体" w:cs="宋体"/>
          <w:sz w:val="24"/>
          <w:szCs w:val="24"/>
        </w:rPr>
        <w:t xml:space="preserve">    1、本合同任何一方拒不履行合同或其它重大违约行为造成守约方合同目的不能实现的视为根本违约。构成根本违约情形的，守约方有权解除合同，并可要求违约方按照相当于本合同总金额20%的标准支付违约金</w:t>
      </w:r>
      <w:r>
        <w:rPr>
          <w:rFonts w:hint="eastAsia" w:ascii="宋体" w:hAnsi="宋体" w:cs="宋体"/>
          <w:sz w:val="24"/>
          <w:szCs w:val="24"/>
          <w:lang w:val="zh-CN"/>
        </w:rPr>
        <w:t>。</w:t>
      </w:r>
    </w:p>
    <w:p w14:paraId="5C5E9DD5">
      <w:pPr>
        <w:pStyle w:val="17"/>
        <w:spacing w:line="400" w:lineRule="exact"/>
        <w:ind w:firstLine="0" w:firstLineChars="0"/>
        <w:rPr>
          <w:rFonts w:hint="eastAsia" w:ascii="宋体" w:hAnsi="宋体" w:cs="宋体"/>
          <w:sz w:val="24"/>
          <w:szCs w:val="24"/>
        </w:rPr>
      </w:pPr>
      <w:r>
        <w:rPr>
          <w:rFonts w:hint="eastAsia" w:ascii="宋体" w:hAnsi="宋体" w:cs="宋体"/>
          <w:sz w:val="24"/>
          <w:szCs w:val="24"/>
        </w:rPr>
        <w:t xml:space="preserve">    2、甲方逾期交货，将按照合同总金额的</w:t>
      </w:r>
      <w:r>
        <w:rPr>
          <w:rFonts w:hint="eastAsia" w:ascii="宋体" w:hAnsi="宋体" w:cs="宋体"/>
          <w:sz w:val="24"/>
          <w:szCs w:val="24"/>
          <w:u w:val="single"/>
        </w:rPr>
        <w:t>0.05</w:t>
      </w:r>
      <w:r>
        <w:rPr>
          <w:rFonts w:hint="eastAsia" w:ascii="宋体" w:hAnsi="宋体" w:cs="宋体"/>
          <w:sz w:val="24"/>
          <w:szCs w:val="24"/>
        </w:rPr>
        <w:t>%/日向乙方支付违约金，直至乙方收货之日止；若甲方逾期交货达</w:t>
      </w:r>
      <w:r>
        <w:rPr>
          <w:rFonts w:hint="eastAsia" w:ascii="宋体" w:hAnsi="宋体" w:cs="宋体"/>
          <w:sz w:val="24"/>
          <w:szCs w:val="24"/>
          <w:u w:val="single"/>
        </w:rPr>
        <w:t xml:space="preserve"> 10 </w:t>
      </w:r>
      <w:r>
        <w:rPr>
          <w:rFonts w:hint="eastAsia" w:ascii="宋体" w:hAnsi="宋体" w:cs="宋体"/>
          <w:sz w:val="24"/>
          <w:szCs w:val="24"/>
        </w:rPr>
        <w:t>个工作日（含本日）构成根本违约，乙方有权单方面无过错解除本合同，同时，要求甲方一次性返还已付货款和相关费用，按照合同总金额20%向乙方支付违约金，并赔偿由此对乙方造成的一切损失。</w:t>
      </w:r>
    </w:p>
    <w:p w14:paraId="34D9E0E0">
      <w:pPr>
        <w:pStyle w:val="17"/>
        <w:spacing w:line="400" w:lineRule="exact"/>
        <w:ind w:firstLine="0" w:firstLineChars="0"/>
        <w:rPr>
          <w:rFonts w:hint="eastAsia" w:ascii="宋体" w:hAnsi="宋体" w:cs="宋体"/>
          <w:sz w:val="24"/>
          <w:szCs w:val="24"/>
        </w:rPr>
      </w:pPr>
      <w:r>
        <w:rPr>
          <w:rFonts w:hint="eastAsia" w:ascii="宋体" w:hAnsi="宋体" w:cs="宋体"/>
          <w:sz w:val="24"/>
          <w:szCs w:val="24"/>
        </w:rPr>
        <w:t xml:space="preserve">    3、甲方逾期开具增值税专用发票，将按照已收货款金额的</w:t>
      </w:r>
      <w:r>
        <w:rPr>
          <w:rFonts w:hint="eastAsia" w:ascii="宋体" w:hAnsi="宋体" w:cs="宋体"/>
          <w:sz w:val="24"/>
          <w:szCs w:val="24"/>
          <w:u w:val="single"/>
        </w:rPr>
        <w:t>0.05</w:t>
      </w:r>
      <w:r>
        <w:rPr>
          <w:rFonts w:hint="eastAsia" w:ascii="宋体" w:hAnsi="宋体" w:cs="宋体"/>
          <w:sz w:val="24"/>
          <w:szCs w:val="24"/>
        </w:rPr>
        <w:t>%/日向乙方支付违约金，直至乙方收到增值税专用发票之日止。</w:t>
      </w:r>
    </w:p>
    <w:p w14:paraId="76A85304">
      <w:pPr>
        <w:pStyle w:val="17"/>
        <w:numPr>
          <w:ilvl w:val="255"/>
          <w:numId w:val="0"/>
        </w:numPr>
        <w:spacing w:line="400" w:lineRule="exact"/>
        <w:ind w:firstLine="480"/>
        <w:rPr>
          <w:rFonts w:hint="eastAsia" w:ascii="宋体" w:hAnsi="宋体" w:cs="宋体"/>
          <w:sz w:val="24"/>
          <w:szCs w:val="24"/>
        </w:rPr>
      </w:pPr>
      <w:r>
        <w:rPr>
          <w:rFonts w:hint="eastAsia" w:ascii="宋体" w:hAnsi="宋体" w:cs="宋体"/>
          <w:sz w:val="24"/>
          <w:szCs w:val="24"/>
        </w:rPr>
        <w:t>4、若因甲方提供货物的质量问题造成食源性疾病或重大食品事件的，甲方应承担全部赔偿责任。</w:t>
      </w:r>
    </w:p>
    <w:p w14:paraId="2594CBD1">
      <w:pPr>
        <w:pStyle w:val="17"/>
        <w:numPr>
          <w:ilvl w:val="255"/>
          <w:numId w:val="0"/>
        </w:numPr>
        <w:spacing w:line="400" w:lineRule="exact"/>
        <w:ind w:firstLine="480"/>
        <w:rPr>
          <w:rFonts w:hint="eastAsia" w:ascii="宋体" w:hAnsi="宋体" w:cs="宋体"/>
          <w:sz w:val="24"/>
          <w:szCs w:val="24"/>
        </w:rPr>
      </w:pPr>
      <w:r>
        <w:rPr>
          <w:rFonts w:hint="eastAsia" w:ascii="宋体" w:hAnsi="宋体" w:cs="宋体"/>
          <w:sz w:val="24"/>
          <w:szCs w:val="24"/>
        </w:rPr>
        <w:t>5、如货物被有关部分封存、退回、销毁。甲方应于发现之日起5个工作日内赔付乙方已支付的相应货物金额及由此对乙方造成的一切损失。</w:t>
      </w:r>
    </w:p>
    <w:p w14:paraId="54EC052F">
      <w:pPr>
        <w:numPr>
          <w:ilvl w:val="255"/>
          <w:numId w:val="0"/>
        </w:numPr>
        <w:spacing w:line="400" w:lineRule="exact"/>
        <w:rPr>
          <w:rFonts w:hint="eastAsia" w:ascii="宋体" w:hAnsi="宋体" w:cs="宋体"/>
          <w:sz w:val="24"/>
        </w:rPr>
      </w:pPr>
      <w:r>
        <w:rPr>
          <w:rFonts w:hint="eastAsia" w:ascii="宋体" w:hAnsi="宋体" w:cs="宋体"/>
          <w:sz w:val="24"/>
        </w:rPr>
        <w:t xml:space="preserve">    6、若甲方已交付的货物属于临期商品，即货物交货时剩余保质期短于【12】个月，则乙方有权将临期货物退回甲方，且要求甲方退回乙方已支付的相应货款，并赔偿由此对乙方造成的一切损失。</w:t>
      </w:r>
    </w:p>
    <w:p w14:paraId="7D8FAD4B">
      <w:pPr>
        <w:numPr>
          <w:ilvl w:val="255"/>
          <w:numId w:val="0"/>
        </w:numPr>
        <w:spacing w:line="400" w:lineRule="exact"/>
        <w:rPr>
          <w:rFonts w:hint="eastAsia" w:ascii="宋体" w:hAnsi="宋体" w:cs="宋体"/>
          <w:sz w:val="24"/>
        </w:rPr>
      </w:pPr>
      <w:r>
        <w:rPr>
          <w:rFonts w:hint="eastAsia" w:ascii="宋体" w:hAnsi="宋体" w:cs="宋体"/>
          <w:sz w:val="24"/>
        </w:rPr>
        <w:t xml:space="preserve">    7、本合同项下的损失包括但不限于直接损失、利息、合理的律师费、鉴定费、执行费、诉讼费等。</w:t>
      </w:r>
    </w:p>
    <w:p w14:paraId="0BF8128E">
      <w:pPr>
        <w:spacing w:line="400" w:lineRule="exact"/>
        <w:rPr>
          <w:rFonts w:hint="eastAsia" w:ascii="宋体" w:hAnsi="宋体" w:cs="宋体"/>
          <w:b/>
          <w:sz w:val="24"/>
        </w:rPr>
      </w:pPr>
      <w:r>
        <w:rPr>
          <w:rFonts w:hint="eastAsia" w:ascii="宋体" w:hAnsi="宋体" w:cs="宋体"/>
          <w:b/>
          <w:sz w:val="24"/>
        </w:rPr>
        <w:t>第七条：不可抗力</w:t>
      </w:r>
    </w:p>
    <w:p w14:paraId="46EC9240">
      <w:pPr>
        <w:spacing w:line="400" w:lineRule="exact"/>
        <w:rPr>
          <w:rFonts w:hint="eastAsia" w:ascii="宋体" w:hAnsi="宋体" w:cs="宋体"/>
          <w:sz w:val="24"/>
        </w:rPr>
      </w:pPr>
      <w:r>
        <w:rPr>
          <w:rFonts w:hint="eastAsia" w:ascii="宋体" w:hAnsi="宋体" w:cs="宋体"/>
          <w:b/>
          <w:sz w:val="24"/>
        </w:rPr>
        <w:tab/>
      </w:r>
      <w:r>
        <w:rPr>
          <w:rFonts w:hint="eastAsia" w:ascii="宋体" w:hAnsi="宋体" w:cs="宋体"/>
          <w:sz w:val="24"/>
        </w:rPr>
        <w:t xml:space="preserve"> 因不可抗力造成任何一方不能履行或不能全部履行合同时，遭受不可抗力的一方在发生不可抗力事件后应立即书面通报对方，并在不可抗力事件结束后十日内向对方出具有关部门证明的情况，不被视为违约。</w:t>
      </w:r>
    </w:p>
    <w:p w14:paraId="7CB371B8">
      <w:pPr>
        <w:spacing w:line="400" w:lineRule="exact"/>
        <w:rPr>
          <w:rFonts w:hint="eastAsia" w:ascii="宋体" w:hAnsi="宋体" w:cs="宋体"/>
          <w:b/>
          <w:sz w:val="24"/>
        </w:rPr>
      </w:pPr>
      <w:r>
        <w:rPr>
          <w:rFonts w:hint="eastAsia" w:ascii="宋体" w:hAnsi="宋体" w:cs="宋体"/>
          <w:b/>
          <w:sz w:val="24"/>
        </w:rPr>
        <w:t>第八条：合同生效及其他</w:t>
      </w:r>
    </w:p>
    <w:p w14:paraId="0B1EA332">
      <w:pPr>
        <w:numPr>
          <w:ilvl w:val="255"/>
          <w:numId w:val="0"/>
        </w:numPr>
        <w:spacing w:line="400" w:lineRule="exact"/>
        <w:rPr>
          <w:rFonts w:hint="eastAsia" w:ascii="宋体" w:hAnsi="宋体" w:cs="宋体"/>
          <w:sz w:val="24"/>
        </w:rPr>
      </w:pPr>
      <w:r>
        <w:rPr>
          <w:rFonts w:hint="eastAsia" w:ascii="宋体" w:hAnsi="宋体" w:cs="宋体"/>
          <w:b/>
          <w:sz w:val="24"/>
        </w:rPr>
        <w:t xml:space="preserve"> </w:t>
      </w:r>
      <w:r>
        <w:rPr>
          <w:rFonts w:hint="eastAsia" w:ascii="宋体" w:hAnsi="宋体" w:cs="宋体"/>
          <w:sz w:val="24"/>
        </w:rPr>
        <w:t xml:space="preserve">   1、甲、乙双方须严格执行合同条款，任何因本合同引起的或与合同有关的争议，双方应通过友好协商尽量解决。若经协商仍未能解决，可向原告所在地人民法院提出诉讼。</w:t>
      </w:r>
    </w:p>
    <w:p w14:paraId="316778AD">
      <w:pPr>
        <w:numPr>
          <w:ilvl w:val="255"/>
          <w:numId w:val="0"/>
        </w:numPr>
        <w:spacing w:line="400" w:lineRule="exact"/>
        <w:ind w:firstLine="480"/>
        <w:rPr>
          <w:rFonts w:hint="eastAsia" w:ascii="宋体" w:hAnsi="宋体" w:cs="宋体"/>
          <w:sz w:val="24"/>
        </w:rPr>
      </w:pPr>
      <w:r>
        <w:rPr>
          <w:rFonts w:hint="eastAsia" w:ascii="宋体" w:hAnsi="宋体" w:cs="宋体"/>
          <w:sz w:val="24"/>
        </w:rPr>
        <w:t>2、本合同自甲、乙双方盖章后生效。本合同正本一式贰份，甲、乙双方各执壹份,扫描件具有同等效力。如有未尽事宜，双方共同协商，签订补充协议，补充协议与本合同具有同等效力。</w:t>
      </w:r>
    </w:p>
    <w:p w14:paraId="698D5192">
      <w:pPr>
        <w:numPr>
          <w:ilvl w:val="255"/>
          <w:numId w:val="0"/>
        </w:numPr>
        <w:spacing w:line="400" w:lineRule="exact"/>
        <w:ind w:firstLine="480"/>
        <w:rPr>
          <w:rFonts w:hint="eastAsia" w:ascii="宋体" w:hAnsi="宋体" w:cs="宋体"/>
          <w:sz w:val="24"/>
        </w:rPr>
      </w:pPr>
    </w:p>
    <w:p w14:paraId="6D7F4E3D">
      <w:pPr>
        <w:numPr>
          <w:ilvl w:val="255"/>
          <w:numId w:val="0"/>
        </w:numPr>
        <w:spacing w:line="400" w:lineRule="exact"/>
        <w:ind w:firstLine="480"/>
        <w:rPr>
          <w:rFonts w:hint="eastAsia" w:ascii="宋体" w:hAnsi="宋体" w:cs="宋体"/>
          <w:sz w:val="24"/>
        </w:rPr>
      </w:pPr>
      <w:r>
        <w:rPr>
          <w:rFonts w:hint="eastAsia" w:ascii="宋体" w:hAnsi="宋体" w:cs="宋体"/>
          <w:sz w:val="24"/>
        </w:rPr>
        <w:t>（以下无正文，为合同签署页）</w:t>
      </w:r>
    </w:p>
    <w:p w14:paraId="47E97232">
      <w:pPr>
        <w:numPr>
          <w:ilvl w:val="255"/>
          <w:numId w:val="0"/>
        </w:numPr>
        <w:spacing w:line="560" w:lineRule="exact"/>
        <w:rPr>
          <w:rFonts w:hint="eastAsia" w:ascii="宋体" w:hAnsi="宋体" w:cs="宋体"/>
          <w:sz w:val="24"/>
        </w:rPr>
      </w:pPr>
    </w:p>
    <w:tbl>
      <w:tblPr>
        <w:tblStyle w:val="8"/>
        <w:tblpPr w:leftFromText="180" w:rightFromText="180" w:vertAnchor="text" w:horzAnchor="margin" w:tblpY="33"/>
        <w:tblOverlap w:val="never"/>
        <w:tblW w:w="9059" w:type="dxa"/>
        <w:tblInd w:w="0" w:type="dxa"/>
        <w:tblLayout w:type="fixed"/>
        <w:tblCellMar>
          <w:top w:w="15" w:type="dxa"/>
          <w:left w:w="15" w:type="dxa"/>
          <w:bottom w:w="15" w:type="dxa"/>
          <w:right w:w="15" w:type="dxa"/>
        </w:tblCellMar>
      </w:tblPr>
      <w:tblGrid>
        <w:gridCol w:w="4259"/>
        <w:gridCol w:w="4800"/>
      </w:tblGrid>
      <w:tr w14:paraId="510AF518">
        <w:trPr>
          <w:trHeight w:val="500" w:hRule="atLeast"/>
        </w:trPr>
        <w:tc>
          <w:tcPr>
            <w:tcW w:w="4259" w:type="dxa"/>
            <w:tcBorders>
              <w:top w:val="single" w:color="000000" w:sz="4" w:space="0"/>
              <w:left w:val="single" w:color="000000" w:sz="4" w:space="0"/>
              <w:bottom w:val="single" w:color="000000" w:sz="4" w:space="0"/>
              <w:right w:val="single" w:color="000000" w:sz="4" w:space="0"/>
            </w:tcBorders>
            <w:vAlign w:val="center"/>
          </w:tcPr>
          <w:p w14:paraId="61CEC1B4">
            <w:pPr>
              <w:widowControl/>
              <w:spacing w:line="400" w:lineRule="exact"/>
              <w:jc w:val="center"/>
              <w:textAlignment w:val="center"/>
              <w:rPr>
                <w:rFonts w:hint="eastAsia" w:ascii="宋体" w:hAnsi="宋体" w:cs="宋体"/>
                <w:sz w:val="24"/>
              </w:rPr>
            </w:pPr>
            <w:r>
              <w:rPr>
                <w:rFonts w:hint="eastAsia" w:ascii="宋体" w:hAnsi="宋体" w:cs="宋体"/>
                <w:kern w:val="0"/>
                <w:sz w:val="24"/>
                <w:lang w:bidi="ar"/>
              </w:rPr>
              <w:t>甲方（供方）</w:t>
            </w:r>
          </w:p>
        </w:tc>
        <w:tc>
          <w:tcPr>
            <w:tcW w:w="4800" w:type="dxa"/>
            <w:tcBorders>
              <w:top w:val="single" w:color="000000" w:sz="4" w:space="0"/>
              <w:left w:val="single" w:color="000000" w:sz="4" w:space="0"/>
              <w:bottom w:val="single" w:color="000000" w:sz="4" w:space="0"/>
              <w:right w:val="single" w:color="000000" w:sz="4" w:space="0"/>
            </w:tcBorders>
            <w:vAlign w:val="center"/>
          </w:tcPr>
          <w:p w14:paraId="53E9F28D">
            <w:pPr>
              <w:widowControl/>
              <w:spacing w:line="400" w:lineRule="exact"/>
              <w:jc w:val="center"/>
              <w:textAlignment w:val="center"/>
              <w:rPr>
                <w:rFonts w:hint="eastAsia" w:ascii="宋体" w:hAnsi="宋体" w:cs="宋体"/>
                <w:sz w:val="24"/>
              </w:rPr>
            </w:pPr>
            <w:r>
              <w:rPr>
                <w:rFonts w:hint="eastAsia" w:ascii="宋体" w:hAnsi="宋体" w:cs="宋体"/>
                <w:kern w:val="0"/>
                <w:sz w:val="24"/>
                <w:lang w:bidi="ar"/>
              </w:rPr>
              <w:t>乙方（需方）</w:t>
            </w:r>
          </w:p>
        </w:tc>
      </w:tr>
      <w:tr w14:paraId="3C53404E">
        <w:trPr>
          <w:trHeight w:val="578" w:hRule="atLeast"/>
        </w:trPr>
        <w:tc>
          <w:tcPr>
            <w:tcW w:w="4259" w:type="dxa"/>
            <w:tcBorders>
              <w:top w:val="single" w:color="000000" w:sz="4" w:space="0"/>
              <w:left w:val="single" w:color="000000" w:sz="4" w:space="0"/>
              <w:bottom w:val="single" w:color="000000" w:sz="4" w:space="0"/>
              <w:right w:val="single" w:color="000000" w:sz="4" w:space="0"/>
            </w:tcBorders>
            <w:vAlign w:val="center"/>
          </w:tcPr>
          <w:p w14:paraId="2C698CCF">
            <w:pPr>
              <w:spacing w:line="520" w:lineRule="exact"/>
              <w:rPr>
                <w:rFonts w:hint="eastAsia" w:ascii="宋体" w:hAnsi="宋体" w:cs="宋体"/>
                <w:kern w:val="0"/>
                <w:sz w:val="24"/>
                <w:lang w:bidi="ar"/>
              </w:rPr>
            </w:pPr>
            <w:r>
              <w:rPr>
                <w:rFonts w:hint="eastAsia" w:ascii="宋体" w:hAnsi="宋体" w:cs="宋体"/>
                <w:kern w:val="0"/>
                <w:sz w:val="24"/>
                <w:lang w:bidi="ar"/>
              </w:rPr>
              <w:t>甲方：</w:t>
            </w:r>
            <w:r>
              <w:rPr>
                <w:rFonts w:hint="eastAsia" w:ascii="宋体" w:hAnsi="宋体" w:cs="宋体"/>
                <w:b/>
                <w:sz w:val="24"/>
              </w:rPr>
              <w:t>{{供应商名称}}</w:t>
            </w:r>
          </w:p>
        </w:tc>
        <w:tc>
          <w:tcPr>
            <w:tcW w:w="4800" w:type="dxa"/>
            <w:tcBorders>
              <w:top w:val="single" w:color="000000" w:sz="4" w:space="0"/>
              <w:left w:val="single" w:color="000000" w:sz="4" w:space="0"/>
              <w:bottom w:val="single" w:color="000000" w:sz="4" w:space="0"/>
              <w:right w:val="single" w:color="000000" w:sz="4" w:space="0"/>
            </w:tcBorders>
            <w:vAlign w:val="center"/>
          </w:tcPr>
          <w:p w14:paraId="684BBB09">
            <w:pPr>
              <w:widowControl/>
              <w:ind w:left="1440" w:hanging="1440" w:hangingChars="600"/>
              <w:textAlignment w:val="center"/>
              <w:rPr>
                <w:rFonts w:hint="eastAsia" w:ascii="宋体" w:hAnsi="宋体" w:cs="宋体"/>
                <w:kern w:val="0"/>
                <w:sz w:val="24"/>
                <w:lang w:bidi="ar"/>
              </w:rPr>
            </w:pPr>
            <w:r>
              <w:rPr>
                <w:rFonts w:hint="eastAsia" w:ascii="宋体" w:hAnsi="宋体" w:cs="宋体"/>
                <w:kern w:val="0"/>
                <w:sz w:val="24"/>
                <w:lang w:bidi="ar"/>
              </w:rPr>
              <w:t xml:space="preserve">乙方: </w:t>
            </w:r>
            <w:r>
              <w:rPr>
                <w:rFonts w:hint="eastAsia" w:ascii="宋体" w:hAnsi="宋体" w:cs="宋体"/>
                <w:b/>
                <w:sz w:val="24"/>
              </w:rPr>
              <w:t>{{玉湖主体}}</w:t>
            </w:r>
            <w:r>
              <w:rPr>
                <w:rFonts w:hint="eastAsia" w:ascii="宋体" w:hAnsi="宋体" w:cs="宋体"/>
                <w:kern w:val="0"/>
                <w:sz w:val="24"/>
                <w:lang w:bidi="ar"/>
              </w:rPr>
              <w:t xml:space="preserve">  </w:t>
            </w:r>
          </w:p>
        </w:tc>
      </w:tr>
      <w:tr w14:paraId="14A907DD">
        <w:trPr>
          <w:trHeight w:val="500" w:hRule="atLeast"/>
        </w:trPr>
        <w:tc>
          <w:tcPr>
            <w:tcW w:w="4259" w:type="dxa"/>
            <w:tcBorders>
              <w:top w:val="single" w:color="000000" w:sz="4" w:space="0"/>
              <w:left w:val="single" w:color="000000" w:sz="4" w:space="0"/>
              <w:bottom w:val="single" w:color="000000" w:sz="4" w:space="0"/>
              <w:right w:val="single" w:color="000000" w:sz="4" w:space="0"/>
            </w:tcBorders>
            <w:vAlign w:val="center"/>
          </w:tcPr>
          <w:p w14:paraId="60D6C9B9">
            <w:pPr>
              <w:widowControl/>
              <w:tabs>
                <w:tab w:val="center" w:pos="2678"/>
              </w:tabs>
              <w:spacing w:line="400" w:lineRule="exact"/>
              <w:jc w:val="left"/>
              <w:textAlignment w:val="center"/>
              <w:rPr>
                <w:rFonts w:hint="eastAsia" w:ascii="宋体" w:hAnsi="宋体" w:cs="宋体"/>
                <w:sz w:val="24"/>
              </w:rPr>
            </w:pPr>
            <w:r>
              <w:rPr>
                <w:rFonts w:hint="eastAsia" w:ascii="宋体" w:hAnsi="宋体" w:cs="宋体"/>
                <w:kern w:val="0"/>
                <w:sz w:val="24"/>
                <w:lang w:bidi="ar"/>
              </w:rPr>
              <w:t>委托代理人：</w:t>
            </w:r>
          </w:p>
        </w:tc>
        <w:tc>
          <w:tcPr>
            <w:tcW w:w="4800" w:type="dxa"/>
            <w:tcBorders>
              <w:top w:val="single" w:color="000000" w:sz="4" w:space="0"/>
              <w:left w:val="single" w:color="000000" w:sz="4" w:space="0"/>
              <w:bottom w:val="single" w:color="000000" w:sz="4" w:space="0"/>
              <w:right w:val="single" w:color="000000" w:sz="4" w:space="0"/>
            </w:tcBorders>
            <w:vAlign w:val="center"/>
          </w:tcPr>
          <w:p w14:paraId="2B05B2CC">
            <w:pPr>
              <w:widowControl/>
              <w:spacing w:line="400" w:lineRule="exact"/>
              <w:jc w:val="left"/>
              <w:textAlignment w:val="center"/>
              <w:rPr>
                <w:rFonts w:hint="eastAsia" w:ascii="宋体" w:hAnsi="宋体" w:cs="宋体"/>
                <w:sz w:val="24"/>
              </w:rPr>
            </w:pPr>
            <w:r>
              <w:rPr>
                <w:rFonts w:hint="eastAsia" w:ascii="宋体" w:hAnsi="宋体" w:cs="宋体"/>
                <w:kern w:val="0"/>
                <w:sz w:val="24"/>
                <w:lang w:bidi="ar"/>
              </w:rPr>
              <w:t>委托代理人：</w:t>
            </w:r>
          </w:p>
        </w:tc>
      </w:tr>
      <w:tr w14:paraId="65DE9B39">
        <w:trPr>
          <w:trHeight w:val="510" w:hRule="atLeast"/>
        </w:trPr>
        <w:tc>
          <w:tcPr>
            <w:tcW w:w="4259" w:type="dxa"/>
            <w:tcBorders>
              <w:top w:val="single" w:color="000000" w:sz="4" w:space="0"/>
              <w:left w:val="single" w:color="000000" w:sz="4" w:space="0"/>
              <w:bottom w:val="single" w:color="000000" w:sz="4" w:space="0"/>
              <w:right w:val="single" w:color="000000" w:sz="4" w:space="0"/>
            </w:tcBorders>
            <w:vAlign w:val="center"/>
          </w:tcPr>
          <w:p w14:paraId="339F7543">
            <w:pPr>
              <w:widowControl/>
              <w:spacing w:line="400" w:lineRule="exact"/>
              <w:jc w:val="left"/>
              <w:textAlignment w:val="center"/>
              <w:rPr>
                <w:rFonts w:hint="eastAsia" w:ascii="宋体" w:hAnsi="宋体" w:cs="宋体"/>
                <w:sz w:val="24"/>
              </w:rPr>
            </w:pPr>
            <w:r>
              <w:rPr>
                <w:rFonts w:hint="eastAsia" w:ascii="宋体" w:hAnsi="宋体" w:cs="宋体"/>
                <w:kern w:val="0"/>
                <w:sz w:val="24"/>
                <w:lang w:bidi="ar"/>
              </w:rPr>
              <w:t>签约日期： 2026 年   月  日</w:t>
            </w:r>
          </w:p>
        </w:tc>
        <w:tc>
          <w:tcPr>
            <w:tcW w:w="4800" w:type="dxa"/>
            <w:tcBorders>
              <w:top w:val="single" w:color="000000" w:sz="4" w:space="0"/>
              <w:left w:val="single" w:color="000000" w:sz="4" w:space="0"/>
              <w:bottom w:val="single" w:color="000000" w:sz="4" w:space="0"/>
              <w:right w:val="single" w:color="000000" w:sz="4" w:space="0"/>
            </w:tcBorders>
            <w:vAlign w:val="center"/>
          </w:tcPr>
          <w:p w14:paraId="07626C3A">
            <w:pPr>
              <w:widowControl/>
              <w:spacing w:line="400" w:lineRule="exact"/>
              <w:jc w:val="left"/>
              <w:textAlignment w:val="center"/>
              <w:rPr>
                <w:rFonts w:hint="eastAsia" w:ascii="宋体" w:hAnsi="宋体" w:cs="宋体"/>
                <w:sz w:val="24"/>
              </w:rPr>
            </w:pPr>
            <w:r>
              <w:rPr>
                <w:rFonts w:hint="eastAsia" w:ascii="宋体" w:hAnsi="宋体" w:cs="宋体"/>
                <w:kern w:val="0"/>
                <w:sz w:val="24"/>
                <w:lang w:bidi="ar"/>
              </w:rPr>
              <w:t>签约日期： 2026 年   月   日</w:t>
            </w:r>
          </w:p>
        </w:tc>
      </w:tr>
    </w:tbl>
    <w:p w14:paraId="27F5D5B7">
      <w:pPr>
        <w:spacing w:line="400" w:lineRule="exact"/>
        <w:rPr>
          <w:rFonts w:hint="eastAsia" w:ascii="宋体" w:hAnsi="宋体" w:cs="宋体"/>
        </w:rPr>
      </w:pPr>
    </w:p>
    <w:sectPr>
      <w:headerReference r:id="rId3" w:type="default"/>
      <w:footerReference r:id="rId4" w:type="default"/>
      <w:pgSz w:w="11906" w:h="16838"/>
      <w:pgMar w:top="1213" w:right="1633" w:bottom="1213" w:left="1576"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微软雅黑">
    <w:altName w:val="汉仪旗黑"/>
    <w:panose1 w:val="020B0503020204020204"/>
    <w:charset w:val="86"/>
    <w:family w:val="swiss"/>
    <w:pitch w:val="default"/>
    <w:sig w:usb0="00000000" w:usb1="00000000" w:usb2="00000016" w:usb3="00000000" w:csb0="0004001F" w:csb1="00000000"/>
  </w:font>
  <w:font w:name="Tahoma">
    <w:panose1 w:val="020B0604030504040204"/>
    <w:charset w:val="00"/>
    <w:family w:val="swiss"/>
    <w:pitch w:val="default"/>
    <w:sig w:usb0="E1002AFF" w:usb1="C000605B" w:usb2="00000029" w:usb3="00000000" w:csb0="200101FF" w:csb1="20280000"/>
  </w:font>
  <w:font w:name="MS Sans Serif">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苹方-简">
    <w:panose1 w:val="020B0400000000000000"/>
    <w:charset w:val="86"/>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 w:name="汉仪中黑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19B1FB">
    <w:pPr>
      <w:pStyle w:val="4"/>
      <w:rPr>
        <w:rFonts w:hint="eastAsia"/>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867410" cy="157480"/>
              <wp:effectExtent l="0" t="0" r="0" b="0"/>
              <wp:wrapNone/>
              <wp:docPr id="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867410" cy="157480"/>
                      </a:xfrm>
                      <a:prstGeom prst="rect">
                        <a:avLst/>
                      </a:prstGeom>
                      <a:noFill/>
                      <a:ln>
                        <a:noFill/>
                      </a:ln>
                    </wps:spPr>
                    <wps:txbx>
                      <w:txbxContent>
                        <w:p w14:paraId="52E6B875">
                          <w:pPr>
                            <w:snapToGrid w:val="0"/>
                            <w:rPr>
                              <w:sz w:val="18"/>
                            </w:rPr>
                          </w:pPr>
                          <w:r>
                            <w:rPr>
                              <w:rFonts w:hint="eastAsia"/>
                              <w:sz w:val="18"/>
                            </w:rPr>
                            <w:t xml:space="preserve">第 </w:t>
                          </w:r>
                          <w:r>
                            <w:rPr>
                              <w:rFonts w:hint="eastAsia"/>
                              <w:sz w:val="18"/>
                            </w:rPr>
                            <w:fldChar w:fldCharType="begin"/>
                          </w:r>
                          <w:r>
                            <w:rPr>
                              <w:rFonts w:hint="eastAsia"/>
                              <w:sz w:val="18"/>
                            </w:rPr>
                            <w:instrText xml:space="preserve"> PAGE  \* MERGEFORMAT </w:instrText>
                          </w:r>
                          <w:r>
                            <w:rPr>
                              <w:rFonts w:hint="eastAsia"/>
                              <w:sz w:val="18"/>
                            </w:rPr>
                            <w:fldChar w:fldCharType="separate"/>
                          </w:r>
                          <w:r>
                            <w:t>1</w:t>
                          </w:r>
                          <w:r>
                            <w:rPr>
                              <w:rFonts w:hint="eastAsia"/>
                              <w:sz w:val="18"/>
                            </w:rPr>
                            <w:fldChar w:fldCharType="end"/>
                          </w:r>
                          <w:r>
                            <w:rPr>
                              <w:rFonts w:hint="eastAsia"/>
                              <w:sz w:val="18"/>
                            </w:rPr>
                            <w:t xml:space="preserve"> 页 共 </w:t>
                          </w:r>
                          <w:r>
                            <w:rPr>
                              <w:rFonts w:hint="eastAsia"/>
                              <w:sz w:val="18"/>
                            </w:rPr>
                            <w:fldChar w:fldCharType="begin"/>
                          </w:r>
                          <w:r>
                            <w:rPr>
                              <w:rFonts w:hint="eastAsia"/>
                              <w:sz w:val="18"/>
                            </w:rPr>
                            <w:instrText xml:space="preserve"> NUMPAGES  \* MERGEFORMAT </w:instrText>
                          </w:r>
                          <w:r>
                            <w:rPr>
                              <w:rFonts w:hint="eastAsia"/>
                              <w:sz w:val="18"/>
                            </w:rPr>
                            <w:fldChar w:fldCharType="separate"/>
                          </w:r>
                          <w:r>
                            <w:rPr>
                              <w:sz w:val="18"/>
                            </w:rPr>
                            <w:t>4</w:t>
                          </w:r>
                          <w:r>
                            <w:rPr>
                              <w:rFonts w:hint="eastAsia"/>
                              <w:sz w:val="18"/>
                            </w:rPr>
                            <w:fldChar w:fldCharType="end"/>
                          </w:r>
                          <w:r>
                            <w:rPr>
                              <w:rFonts w:hint="eastAsia"/>
                              <w:sz w:val="18"/>
                            </w:rPr>
                            <w:t xml:space="preserve"> 页</w:t>
                          </w:r>
                        </w:p>
                      </w:txbxContent>
                    </wps:txbx>
                    <wps:bodyPr rot="0" vert="horz" wrap="none" lIns="0" tIns="0" rIns="0" bIns="0" anchor="t" anchorCtr="0" upright="1">
                      <a:spAutoFit/>
                    </wps:bodyPr>
                  </wps:wsp>
                </a:graphicData>
              </a:graphic>
            </wp:anchor>
          </w:drawing>
        </mc:Choice>
        <mc:Fallback>
          <w:pict>
            <v:shape id="_x0000_s1026" o:spid="_x0000_s1026" o:spt="202" type="#_x0000_t202" style="position:absolute;left:0pt;margin-top:0pt;height:12.4pt;width:68.3pt;mso-position-horizontal:center;mso-position-horizontal-relative:margin;mso-wrap-style:none;z-index:251659264;mso-width-relative:page;mso-height-relative:page;" filled="f" stroked="f" coordsize="21600,21600" o:gfxdata="UEsDBAoAAAAAAIdO4kAAAAAAAAAAAAAAAAAEAAAAZHJzL1BLAwQUAAAACACHTuJA/T/B39IAAAAE&#10;AQAADwAAAGRycy9kb3ducmV2LnhtbE2PwU7DMBBE70j8g7VI3KjTgkIUsumhEhduFITUmxtv4wh7&#10;Hdlumvw9Lhe4rDSa0czbZjs7KyYKcfCMsF4VIIg7rwfuET4/Xh8qEDEp1sp6JoSFImzb25tG1dpf&#10;+J2mfepFLuFYKwST0lhLGTtDTsWVH4mzd/LBqZRl6KUO6pLLnZWboiilUwPnBaNG2hnqvvdnh/A8&#10;f3kaI+3ocJq6YIalsm8L4v3dungBkWhOf2G44md0aDPT0Z9ZR2ER8iPp9169x7IEcUTYPFUg20b+&#10;h29/AFBLAwQUAAAACACHTuJA89EGHAgCAAACBAAADgAAAGRycy9lMm9Eb2MueG1srVNLbtswEN0X&#10;6B0I7mvZQZoYguUgjeGiQPoB0h6ApiiLqMghhrQl9wDtDbrqpvuey+fokJKcTzdZdEMMyeGb994M&#10;F1edadheoddgCz6bTDlTVkKp7bbgXz6vX80580HYUjRgVcEPyvOr5csXi9bl6gxqaEqFjECsz1tX&#10;8DoEl2eZl7Uywk/AKUuXFaARgba4zUoULaGbJjubTi+yFrB0CFJ5T6er/pIPiPgcQKgqLdUK5M4o&#10;G3pUVI0IJMnX2nm+TGyrSsnwsaq8CqwpOCkNaaUiFG/imi0XIt+icLWWAwXxHApPNBmhLRU9Qa1E&#10;EGyH+h8ooyWChypMJJisF5IcIRWz6RNv7mrhVNJCVnt3Mt3/P1j5Yf8JmS5pEjizwlDDjz9/HH/9&#10;Of7+zmbRntb5nLLuHOWF7g10MTVK9e4W5FfPLNzUwm7VNSK0tRIl0UsvswdPexwfQTbteyipjtgF&#10;SEBdhSYCkhuM0Kk1h1NrVBeYpMP5xeX5jG4kXc1eX57PU+sykY+PHfrwVoFhMSg4UucTuNjf+kAy&#10;KHVMibUsrHXTpO439tEBJcaTRD7y7ZmHbtMNZmygPJAMhH6Y6CtRUAN+46ylQSq4pX/DWfPOkhFx&#10;5sYAx2AzBsJKeljwwFkf3oR+NncO9bYm3NHqazJrrZOQ6GrPYWBJo5H0DWMcZ+/hPmXdf93lX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P0/wd/SAAAABAEAAA8AAAAAAAAAAQAgAAAAIgAAAGRycy9k&#10;b3ducmV2LnhtbFBLAQIUABQAAAAIAIdO4kDz0QYcCAIAAAIEAAAOAAAAAAAAAAEAIAAAACEBAABk&#10;cnMvZTJvRG9jLnhtbFBLBQYAAAAABgAGAFkBAACbBQAAAAA=&#10;">
              <v:fill on="f" focussize="0,0"/>
              <v:stroke on="f"/>
              <v:imagedata o:title=""/>
              <o:lock v:ext="edit" aspectratio="f"/>
              <v:textbox inset="0mm,0mm,0mm,0mm" style="mso-fit-shape-to-text:t;">
                <w:txbxContent>
                  <w:p w14:paraId="52E6B875">
                    <w:pPr>
                      <w:snapToGrid w:val="0"/>
                      <w:rPr>
                        <w:sz w:val="18"/>
                      </w:rPr>
                    </w:pPr>
                    <w:r>
                      <w:rPr>
                        <w:rFonts w:hint="eastAsia"/>
                        <w:sz w:val="18"/>
                      </w:rPr>
                      <w:t xml:space="preserve">第 </w:t>
                    </w:r>
                    <w:r>
                      <w:rPr>
                        <w:rFonts w:hint="eastAsia"/>
                        <w:sz w:val="18"/>
                      </w:rPr>
                      <w:fldChar w:fldCharType="begin"/>
                    </w:r>
                    <w:r>
                      <w:rPr>
                        <w:rFonts w:hint="eastAsia"/>
                        <w:sz w:val="18"/>
                      </w:rPr>
                      <w:instrText xml:space="preserve"> PAGE  \* MERGEFORMAT </w:instrText>
                    </w:r>
                    <w:r>
                      <w:rPr>
                        <w:rFonts w:hint="eastAsia"/>
                        <w:sz w:val="18"/>
                      </w:rPr>
                      <w:fldChar w:fldCharType="separate"/>
                    </w:r>
                    <w:r>
                      <w:t>1</w:t>
                    </w:r>
                    <w:r>
                      <w:rPr>
                        <w:rFonts w:hint="eastAsia"/>
                        <w:sz w:val="18"/>
                      </w:rPr>
                      <w:fldChar w:fldCharType="end"/>
                    </w:r>
                    <w:r>
                      <w:rPr>
                        <w:rFonts w:hint="eastAsia"/>
                        <w:sz w:val="18"/>
                      </w:rPr>
                      <w:t xml:space="preserve"> 页 共 </w:t>
                    </w:r>
                    <w:r>
                      <w:rPr>
                        <w:rFonts w:hint="eastAsia"/>
                        <w:sz w:val="18"/>
                      </w:rPr>
                      <w:fldChar w:fldCharType="begin"/>
                    </w:r>
                    <w:r>
                      <w:rPr>
                        <w:rFonts w:hint="eastAsia"/>
                        <w:sz w:val="18"/>
                      </w:rPr>
                      <w:instrText xml:space="preserve"> NUMPAGES  \* MERGEFORMAT </w:instrText>
                    </w:r>
                    <w:r>
                      <w:rPr>
                        <w:rFonts w:hint="eastAsia"/>
                        <w:sz w:val="18"/>
                      </w:rPr>
                      <w:fldChar w:fldCharType="separate"/>
                    </w:r>
                    <w:r>
                      <w:rPr>
                        <w:sz w:val="18"/>
                      </w:rPr>
                      <w:t>4</w:t>
                    </w:r>
                    <w:r>
                      <w:rPr>
                        <w:rFonts w:hint="eastAsia"/>
                        <w:sz w:val="18"/>
                      </w:rPr>
                      <w:fldChar w:fldCharType="end"/>
                    </w:r>
                    <w:r>
                      <w:rPr>
                        <w:rFonts w:hint="eastAsia"/>
                        <w:sz w:val="18"/>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30036A">
    <w:pPr>
      <w:pStyle w:val="5"/>
      <w:pBdr>
        <w:bottom w:val="none" w:color="auto" w:sz="0" w:space="1"/>
      </w:pBdr>
      <w:jc w:val="both"/>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A79CF4"/>
    <w:multiLevelType w:val="singleLevel"/>
    <w:tmpl w:val="2BA79CF4"/>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g3YjRiMDk3MzI0ODZlODUwOGM0OTI4YjM3ZjYwZGEifQ=="/>
  </w:docVars>
  <w:rsids>
    <w:rsidRoot w:val="00157706"/>
    <w:rsid w:val="000105B7"/>
    <w:rsid w:val="00017C64"/>
    <w:rsid w:val="0003411F"/>
    <w:rsid w:val="0005405F"/>
    <w:rsid w:val="00056DB7"/>
    <w:rsid w:val="0006006F"/>
    <w:rsid w:val="000606CC"/>
    <w:rsid w:val="00066CB3"/>
    <w:rsid w:val="00080518"/>
    <w:rsid w:val="00080A73"/>
    <w:rsid w:val="00082050"/>
    <w:rsid w:val="00085AE0"/>
    <w:rsid w:val="000A5336"/>
    <w:rsid w:val="000A620B"/>
    <w:rsid w:val="000A68FD"/>
    <w:rsid w:val="000B0B4E"/>
    <w:rsid w:val="000D00BA"/>
    <w:rsid w:val="000D1046"/>
    <w:rsid w:val="000D2279"/>
    <w:rsid w:val="000D392B"/>
    <w:rsid w:val="000D555B"/>
    <w:rsid w:val="000D6C08"/>
    <w:rsid w:val="000E06D2"/>
    <w:rsid w:val="000F0368"/>
    <w:rsid w:val="000F0A59"/>
    <w:rsid w:val="000F4FAB"/>
    <w:rsid w:val="00104C35"/>
    <w:rsid w:val="00107013"/>
    <w:rsid w:val="00113C98"/>
    <w:rsid w:val="0011591B"/>
    <w:rsid w:val="00115E11"/>
    <w:rsid w:val="00124E69"/>
    <w:rsid w:val="00132826"/>
    <w:rsid w:val="0013614E"/>
    <w:rsid w:val="00142DB1"/>
    <w:rsid w:val="001430BD"/>
    <w:rsid w:val="0014733F"/>
    <w:rsid w:val="00157706"/>
    <w:rsid w:val="001A0A7C"/>
    <w:rsid w:val="001B77D1"/>
    <w:rsid w:val="001C0863"/>
    <w:rsid w:val="001C240D"/>
    <w:rsid w:val="001D1AD0"/>
    <w:rsid w:val="001E0974"/>
    <w:rsid w:val="001E0AD8"/>
    <w:rsid w:val="001F2AE0"/>
    <w:rsid w:val="001F6F8B"/>
    <w:rsid w:val="0020495D"/>
    <w:rsid w:val="00210021"/>
    <w:rsid w:val="00221248"/>
    <w:rsid w:val="00221446"/>
    <w:rsid w:val="00254516"/>
    <w:rsid w:val="00255629"/>
    <w:rsid w:val="00273C21"/>
    <w:rsid w:val="0027440F"/>
    <w:rsid w:val="00287A6D"/>
    <w:rsid w:val="0029111D"/>
    <w:rsid w:val="00294247"/>
    <w:rsid w:val="002942EE"/>
    <w:rsid w:val="002A4B5A"/>
    <w:rsid w:val="002A6762"/>
    <w:rsid w:val="002B5FD4"/>
    <w:rsid w:val="002C1354"/>
    <w:rsid w:val="002D78F8"/>
    <w:rsid w:val="002E3BEB"/>
    <w:rsid w:val="002F4A12"/>
    <w:rsid w:val="002F6A38"/>
    <w:rsid w:val="00300178"/>
    <w:rsid w:val="0030751A"/>
    <w:rsid w:val="0032329D"/>
    <w:rsid w:val="00332A3E"/>
    <w:rsid w:val="003346DB"/>
    <w:rsid w:val="003352EE"/>
    <w:rsid w:val="00335A58"/>
    <w:rsid w:val="00340E5B"/>
    <w:rsid w:val="00340ED4"/>
    <w:rsid w:val="003613A9"/>
    <w:rsid w:val="00364B52"/>
    <w:rsid w:val="003657C4"/>
    <w:rsid w:val="00386322"/>
    <w:rsid w:val="00397375"/>
    <w:rsid w:val="003D2DFE"/>
    <w:rsid w:val="003E7E2A"/>
    <w:rsid w:val="003F3175"/>
    <w:rsid w:val="003F40CF"/>
    <w:rsid w:val="003F735D"/>
    <w:rsid w:val="0041119A"/>
    <w:rsid w:val="004128CD"/>
    <w:rsid w:val="00416F59"/>
    <w:rsid w:val="00423190"/>
    <w:rsid w:val="004347F2"/>
    <w:rsid w:val="00442CD3"/>
    <w:rsid w:val="0045253C"/>
    <w:rsid w:val="0045513B"/>
    <w:rsid w:val="004570E7"/>
    <w:rsid w:val="004710E4"/>
    <w:rsid w:val="0047594E"/>
    <w:rsid w:val="00487F51"/>
    <w:rsid w:val="004909CE"/>
    <w:rsid w:val="00490FA6"/>
    <w:rsid w:val="00494659"/>
    <w:rsid w:val="00497EF9"/>
    <w:rsid w:val="004A6292"/>
    <w:rsid w:val="004C1B31"/>
    <w:rsid w:val="004C2A4A"/>
    <w:rsid w:val="004C2E4B"/>
    <w:rsid w:val="004E48F3"/>
    <w:rsid w:val="004F6CCA"/>
    <w:rsid w:val="00506DBD"/>
    <w:rsid w:val="00510989"/>
    <w:rsid w:val="00517F17"/>
    <w:rsid w:val="00537DDA"/>
    <w:rsid w:val="00540093"/>
    <w:rsid w:val="00540560"/>
    <w:rsid w:val="00544077"/>
    <w:rsid w:val="005621E4"/>
    <w:rsid w:val="00566FB4"/>
    <w:rsid w:val="00570388"/>
    <w:rsid w:val="00592083"/>
    <w:rsid w:val="00596C23"/>
    <w:rsid w:val="005C348E"/>
    <w:rsid w:val="005D67D3"/>
    <w:rsid w:val="005E44D2"/>
    <w:rsid w:val="005E5515"/>
    <w:rsid w:val="005E58DD"/>
    <w:rsid w:val="005E7E98"/>
    <w:rsid w:val="005F7647"/>
    <w:rsid w:val="006022A3"/>
    <w:rsid w:val="00607687"/>
    <w:rsid w:val="00613D05"/>
    <w:rsid w:val="00615A47"/>
    <w:rsid w:val="00621FF0"/>
    <w:rsid w:val="00623606"/>
    <w:rsid w:val="00633C5F"/>
    <w:rsid w:val="0063403F"/>
    <w:rsid w:val="00650BA6"/>
    <w:rsid w:val="00652FA9"/>
    <w:rsid w:val="00655065"/>
    <w:rsid w:val="006724DB"/>
    <w:rsid w:val="00683278"/>
    <w:rsid w:val="006A133A"/>
    <w:rsid w:val="006A1F65"/>
    <w:rsid w:val="006A3A85"/>
    <w:rsid w:val="006A7C57"/>
    <w:rsid w:val="006B2383"/>
    <w:rsid w:val="006B27EE"/>
    <w:rsid w:val="006B30C9"/>
    <w:rsid w:val="006B47DC"/>
    <w:rsid w:val="006D1251"/>
    <w:rsid w:val="006D12E1"/>
    <w:rsid w:val="006D19DF"/>
    <w:rsid w:val="006D5913"/>
    <w:rsid w:val="006E7F83"/>
    <w:rsid w:val="006F0A38"/>
    <w:rsid w:val="006F36E1"/>
    <w:rsid w:val="006F45F4"/>
    <w:rsid w:val="007043F8"/>
    <w:rsid w:val="0070494A"/>
    <w:rsid w:val="00707D49"/>
    <w:rsid w:val="0071134B"/>
    <w:rsid w:val="00724949"/>
    <w:rsid w:val="00724A73"/>
    <w:rsid w:val="00724AD9"/>
    <w:rsid w:val="00731296"/>
    <w:rsid w:val="00732439"/>
    <w:rsid w:val="007335DE"/>
    <w:rsid w:val="007408D0"/>
    <w:rsid w:val="00750361"/>
    <w:rsid w:val="00750721"/>
    <w:rsid w:val="00754860"/>
    <w:rsid w:val="00756F7D"/>
    <w:rsid w:val="0076066E"/>
    <w:rsid w:val="00781E97"/>
    <w:rsid w:val="00781FDA"/>
    <w:rsid w:val="00782516"/>
    <w:rsid w:val="00786D0C"/>
    <w:rsid w:val="007872D3"/>
    <w:rsid w:val="00792AF9"/>
    <w:rsid w:val="007A3482"/>
    <w:rsid w:val="007B4C00"/>
    <w:rsid w:val="007B52BF"/>
    <w:rsid w:val="007D6CAF"/>
    <w:rsid w:val="007D6E08"/>
    <w:rsid w:val="007E12A4"/>
    <w:rsid w:val="007F30F3"/>
    <w:rsid w:val="007F7280"/>
    <w:rsid w:val="00801B92"/>
    <w:rsid w:val="00801F27"/>
    <w:rsid w:val="0081544A"/>
    <w:rsid w:val="00817876"/>
    <w:rsid w:val="00817DAB"/>
    <w:rsid w:val="00831BA5"/>
    <w:rsid w:val="00834CA1"/>
    <w:rsid w:val="00837D4C"/>
    <w:rsid w:val="008615C2"/>
    <w:rsid w:val="00864AEF"/>
    <w:rsid w:val="0086597A"/>
    <w:rsid w:val="008717D2"/>
    <w:rsid w:val="00881E97"/>
    <w:rsid w:val="00884FF5"/>
    <w:rsid w:val="008A2A4D"/>
    <w:rsid w:val="008B6A5F"/>
    <w:rsid w:val="008B7481"/>
    <w:rsid w:val="008C16AE"/>
    <w:rsid w:val="008C25F9"/>
    <w:rsid w:val="008C270F"/>
    <w:rsid w:val="008C632E"/>
    <w:rsid w:val="008C668A"/>
    <w:rsid w:val="008C75CD"/>
    <w:rsid w:val="008F231B"/>
    <w:rsid w:val="009042A4"/>
    <w:rsid w:val="00912FCC"/>
    <w:rsid w:val="00920739"/>
    <w:rsid w:val="00922923"/>
    <w:rsid w:val="009248C3"/>
    <w:rsid w:val="00930B48"/>
    <w:rsid w:val="00934B07"/>
    <w:rsid w:val="009375DA"/>
    <w:rsid w:val="00937CE4"/>
    <w:rsid w:val="00940122"/>
    <w:rsid w:val="00941485"/>
    <w:rsid w:val="00952D4E"/>
    <w:rsid w:val="009572F0"/>
    <w:rsid w:val="00963F8D"/>
    <w:rsid w:val="00971F49"/>
    <w:rsid w:val="00982377"/>
    <w:rsid w:val="00983989"/>
    <w:rsid w:val="00990030"/>
    <w:rsid w:val="009A5358"/>
    <w:rsid w:val="009A794C"/>
    <w:rsid w:val="009B712A"/>
    <w:rsid w:val="009C047C"/>
    <w:rsid w:val="009D0948"/>
    <w:rsid w:val="009D15D3"/>
    <w:rsid w:val="009D3D31"/>
    <w:rsid w:val="009E16EC"/>
    <w:rsid w:val="009E45ED"/>
    <w:rsid w:val="009E729F"/>
    <w:rsid w:val="009F2C25"/>
    <w:rsid w:val="00A00A5E"/>
    <w:rsid w:val="00A06C91"/>
    <w:rsid w:val="00A13085"/>
    <w:rsid w:val="00A140BB"/>
    <w:rsid w:val="00A20D38"/>
    <w:rsid w:val="00A23C5C"/>
    <w:rsid w:val="00A23F1F"/>
    <w:rsid w:val="00A245A1"/>
    <w:rsid w:val="00A266B7"/>
    <w:rsid w:val="00A375FC"/>
    <w:rsid w:val="00A42323"/>
    <w:rsid w:val="00A57756"/>
    <w:rsid w:val="00A60A74"/>
    <w:rsid w:val="00A60E36"/>
    <w:rsid w:val="00A70ACD"/>
    <w:rsid w:val="00A71F82"/>
    <w:rsid w:val="00A72774"/>
    <w:rsid w:val="00A82919"/>
    <w:rsid w:val="00AA649D"/>
    <w:rsid w:val="00AB1371"/>
    <w:rsid w:val="00AB38EE"/>
    <w:rsid w:val="00AB4ACA"/>
    <w:rsid w:val="00AD5150"/>
    <w:rsid w:val="00AE6BA8"/>
    <w:rsid w:val="00AF34D6"/>
    <w:rsid w:val="00AF5755"/>
    <w:rsid w:val="00B00858"/>
    <w:rsid w:val="00B028B5"/>
    <w:rsid w:val="00B07599"/>
    <w:rsid w:val="00B12ED8"/>
    <w:rsid w:val="00B13FF8"/>
    <w:rsid w:val="00B1525A"/>
    <w:rsid w:val="00B2143D"/>
    <w:rsid w:val="00B21FEF"/>
    <w:rsid w:val="00B26EB5"/>
    <w:rsid w:val="00B2766F"/>
    <w:rsid w:val="00B276F3"/>
    <w:rsid w:val="00B27ED8"/>
    <w:rsid w:val="00B327E8"/>
    <w:rsid w:val="00B36D14"/>
    <w:rsid w:val="00B513D7"/>
    <w:rsid w:val="00B527F5"/>
    <w:rsid w:val="00B72C38"/>
    <w:rsid w:val="00B7463F"/>
    <w:rsid w:val="00B75462"/>
    <w:rsid w:val="00B757E2"/>
    <w:rsid w:val="00B75F9C"/>
    <w:rsid w:val="00B779B8"/>
    <w:rsid w:val="00B85792"/>
    <w:rsid w:val="00B85923"/>
    <w:rsid w:val="00B85E20"/>
    <w:rsid w:val="00B90ECF"/>
    <w:rsid w:val="00BA3D60"/>
    <w:rsid w:val="00BA76CD"/>
    <w:rsid w:val="00BA7AAC"/>
    <w:rsid w:val="00BC26E6"/>
    <w:rsid w:val="00BC5000"/>
    <w:rsid w:val="00BD6E69"/>
    <w:rsid w:val="00BE34EC"/>
    <w:rsid w:val="00BE5B2D"/>
    <w:rsid w:val="00BF0CD4"/>
    <w:rsid w:val="00BF2542"/>
    <w:rsid w:val="00BF546A"/>
    <w:rsid w:val="00BF5DC6"/>
    <w:rsid w:val="00C0063D"/>
    <w:rsid w:val="00C04070"/>
    <w:rsid w:val="00C143DA"/>
    <w:rsid w:val="00C17935"/>
    <w:rsid w:val="00C249E2"/>
    <w:rsid w:val="00C26851"/>
    <w:rsid w:val="00C33E98"/>
    <w:rsid w:val="00C438D1"/>
    <w:rsid w:val="00C440EA"/>
    <w:rsid w:val="00C513A5"/>
    <w:rsid w:val="00C6257B"/>
    <w:rsid w:val="00C703E2"/>
    <w:rsid w:val="00C71033"/>
    <w:rsid w:val="00C73C56"/>
    <w:rsid w:val="00C759D8"/>
    <w:rsid w:val="00C77D9B"/>
    <w:rsid w:val="00CA0D68"/>
    <w:rsid w:val="00CA231E"/>
    <w:rsid w:val="00CA6FB5"/>
    <w:rsid w:val="00CB138A"/>
    <w:rsid w:val="00CB525A"/>
    <w:rsid w:val="00CB67EB"/>
    <w:rsid w:val="00CC1770"/>
    <w:rsid w:val="00CC5A0E"/>
    <w:rsid w:val="00CD17EA"/>
    <w:rsid w:val="00CF245E"/>
    <w:rsid w:val="00D00B96"/>
    <w:rsid w:val="00D04954"/>
    <w:rsid w:val="00D265A9"/>
    <w:rsid w:val="00D26A9B"/>
    <w:rsid w:val="00D30A8A"/>
    <w:rsid w:val="00D31EE9"/>
    <w:rsid w:val="00D33763"/>
    <w:rsid w:val="00D343C1"/>
    <w:rsid w:val="00D3653C"/>
    <w:rsid w:val="00D4444F"/>
    <w:rsid w:val="00D522D7"/>
    <w:rsid w:val="00D56790"/>
    <w:rsid w:val="00D569C2"/>
    <w:rsid w:val="00D71635"/>
    <w:rsid w:val="00D80731"/>
    <w:rsid w:val="00D86B99"/>
    <w:rsid w:val="00D86BBC"/>
    <w:rsid w:val="00D934DE"/>
    <w:rsid w:val="00DA31B7"/>
    <w:rsid w:val="00DA7631"/>
    <w:rsid w:val="00DB0769"/>
    <w:rsid w:val="00DB57A5"/>
    <w:rsid w:val="00DB5E29"/>
    <w:rsid w:val="00DC238A"/>
    <w:rsid w:val="00DD44A7"/>
    <w:rsid w:val="00DD6801"/>
    <w:rsid w:val="00DD6E88"/>
    <w:rsid w:val="00DD75B5"/>
    <w:rsid w:val="00DE202A"/>
    <w:rsid w:val="00DF4531"/>
    <w:rsid w:val="00E06825"/>
    <w:rsid w:val="00E115AD"/>
    <w:rsid w:val="00E1193B"/>
    <w:rsid w:val="00E11AAB"/>
    <w:rsid w:val="00E12B26"/>
    <w:rsid w:val="00E16A91"/>
    <w:rsid w:val="00E227A3"/>
    <w:rsid w:val="00E22BD9"/>
    <w:rsid w:val="00E33DEB"/>
    <w:rsid w:val="00E37F21"/>
    <w:rsid w:val="00E412FA"/>
    <w:rsid w:val="00E4291A"/>
    <w:rsid w:val="00E42C4F"/>
    <w:rsid w:val="00E56BE0"/>
    <w:rsid w:val="00E60E0A"/>
    <w:rsid w:val="00E62856"/>
    <w:rsid w:val="00E642E2"/>
    <w:rsid w:val="00E65891"/>
    <w:rsid w:val="00E674DC"/>
    <w:rsid w:val="00E83DDE"/>
    <w:rsid w:val="00E85FA0"/>
    <w:rsid w:val="00E9208F"/>
    <w:rsid w:val="00E96EED"/>
    <w:rsid w:val="00EC0FC8"/>
    <w:rsid w:val="00EC38C4"/>
    <w:rsid w:val="00ED08B2"/>
    <w:rsid w:val="00ED15E3"/>
    <w:rsid w:val="00ED199A"/>
    <w:rsid w:val="00EF3951"/>
    <w:rsid w:val="00EF7052"/>
    <w:rsid w:val="00F07772"/>
    <w:rsid w:val="00F147F7"/>
    <w:rsid w:val="00F16961"/>
    <w:rsid w:val="00F16DBB"/>
    <w:rsid w:val="00F237F1"/>
    <w:rsid w:val="00F4340A"/>
    <w:rsid w:val="00F455E9"/>
    <w:rsid w:val="00F46CFC"/>
    <w:rsid w:val="00F47DF7"/>
    <w:rsid w:val="00F60C8C"/>
    <w:rsid w:val="00F720E2"/>
    <w:rsid w:val="00F74F53"/>
    <w:rsid w:val="00F775A3"/>
    <w:rsid w:val="00F92D79"/>
    <w:rsid w:val="00F9389D"/>
    <w:rsid w:val="00F9472A"/>
    <w:rsid w:val="00F9481B"/>
    <w:rsid w:val="00FA777A"/>
    <w:rsid w:val="00FB07BD"/>
    <w:rsid w:val="00FB5C2F"/>
    <w:rsid w:val="00FD33A7"/>
    <w:rsid w:val="00FF6643"/>
    <w:rsid w:val="00FF729A"/>
    <w:rsid w:val="00FF79B0"/>
    <w:rsid w:val="011622C7"/>
    <w:rsid w:val="01CD1FF5"/>
    <w:rsid w:val="02A000F4"/>
    <w:rsid w:val="02A831CF"/>
    <w:rsid w:val="02AF163B"/>
    <w:rsid w:val="02E564F4"/>
    <w:rsid w:val="03567C00"/>
    <w:rsid w:val="03D54992"/>
    <w:rsid w:val="03FD1AB7"/>
    <w:rsid w:val="04484A1D"/>
    <w:rsid w:val="04DC45FE"/>
    <w:rsid w:val="04E31562"/>
    <w:rsid w:val="0543496E"/>
    <w:rsid w:val="0546370B"/>
    <w:rsid w:val="05B9052D"/>
    <w:rsid w:val="05CD15FA"/>
    <w:rsid w:val="062A31D9"/>
    <w:rsid w:val="06443FE6"/>
    <w:rsid w:val="06562220"/>
    <w:rsid w:val="069A2F9D"/>
    <w:rsid w:val="06F757B1"/>
    <w:rsid w:val="079A5C56"/>
    <w:rsid w:val="079E06B0"/>
    <w:rsid w:val="07DA1E1A"/>
    <w:rsid w:val="082D4B92"/>
    <w:rsid w:val="08CC67C9"/>
    <w:rsid w:val="08CE2541"/>
    <w:rsid w:val="08CF7CD0"/>
    <w:rsid w:val="08FF0F3E"/>
    <w:rsid w:val="0997403F"/>
    <w:rsid w:val="0AE12652"/>
    <w:rsid w:val="0B097014"/>
    <w:rsid w:val="0B156206"/>
    <w:rsid w:val="0B374791"/>
    <w:rsid w:val="0B5C72E2"/>
    <w:rsid w:val="0B8555C1"/>
    <w:rsid w:val="0BCB6141"/>
    <w:rsid w:val="0BEA6F58"/>
    <w:rsid w:val="0C514FB4"/>
    <w:rsid w:val="0D6F51C1"/>
    <w:rsid w:val="0D943797"/>
    <w:rsid w:val="0DD27982"/>
    <w:rsid w:val="0E0B4C00"/>
    <w:rsid w:val="0E6C20F6"/>
    <w:rsid w:val="0ED463D8"/>
    <w:rsid w:val="0F580DB7"/>
    <w:rsid w:val="0F615EBD"/>
    <w:rsid w:val="0FE8213B"/>
    <w:rsid w:val="100512CE"/>
    <w:rsid w:val="10352EA6"/>
    <w:rsid w:val="10485F6B"/>
    <w:rsid w:val="105945AD"/>
    <w:rsid w:val="10932E35"/>
    <w:rsid w:val="10B933D2"/>
    <w:rsid w:val="10CD4F5A"/>
    <w:rsid w:val="11351928"/>
    <w:rsid w:val="117F6294"/>
    <w:rsid w:val="124B6FCC"/>
    <w:rsid w:val="12CC1E0B"/>
    <w:rsid w:val="12CD72ED"/>
    <w:rsid w:val="13503D36"/>
    <w:rsid w:val="137A7C32"/>
    <w:rsid w:val="13C73B14"/>
    <w:rsid w:val="13DC5FF5"/>
    <w:rsid w:val="13EA475F"/>
    <w:rsid w:val="13F965A1"/>
    <w:rsid w:val="143D3FF7"/>
    <w:rsid w:val="14B21700"/>
    <w:rsid w:val="14B84EDB"/>
    <w:rsid w:val="154A629A"/>
    <w:rsid w:val="155D498B"/>
    <w:rsid w:val="15C54CCC"/>
    <w:rsid w:val="165452E7"/>
    <w:rsid w:val="16E612F8"/>
    <w:rsid w:val="16F073AD"/>
    <w:rsid w:val="17026C15"/>
    <w:rsid w:val="176E642D"/>
    <w:rsid w:val="17C7700C"/>
    <w:rsid w:val="180F63EC"/>
    <w:rsid w:val="18CA0FD5"/>
    <w:rsid w:val="18FE4E7E"/>
    <w:rsid w:val="195C3B5C"/>
    <w:rsid w:val="1A1506DB"/>
    <w:rsid w:val="1A3870DB"/>
    <w:rsid w:val="1A6C5716"/>
    <w:rsid w:val="1A9D262C"/>
    <w:rsid w:val="1AB82529"/>
    <w:rsid w:val="1AF842F5"/>
    <w:rsid w:val="1B2E2585"/>
    <w:rsid w:val="1B6B0F05"/>
    <w:rsid w:val="1B94281E"/>
    <w:rsid w:val="1BFBA40C"/>
    <w:rsid w:val="1C033E58"/>
    <w:rsid w:val="1C80726B"/>
    <w:rsid w:val="1C8437D5"/>
    <w:rsid w:val="1D372CE3"/>
    <w:rsid w:val="1D593991"/>
    <w:rsid w:val="1D800DE2"/>
    <w:rsid w:val="1DD21D30"/>
    <w:rsid w:val="1E512F66"/>
    <w:rsid w:val="1E822B32"/>
    <w:rsid w:val="1EA6542B"/>
    <w:rsid w:val="1ED83C50"/>
    <w:rsid w:val="1EE14925"/>
    <w:rsid w:val="1F4A1825"/>
    <w:rsid w:val="1F770DE5"/>
    <w:rsid w:val="1FE10CFA"/>
    <w:rsid w:val="1FFB5AD5"/>
    <w:rsid w:val="202251F5"/>
    <w:rsid w:val="2044360A"/>
    <w:rsid w:val="20513997"/>
    <w:rsid w:val="209D65D8"/>
    <w:rsid w:val="20C419CE"/>
    <w:rsid w:val="20FD25B0"/>
    <w:rsid w:val="212B7649"/>
    <w:rsid w:val="2137507D"/>
    <w:rsid w:val="214D44F3"/>
    <w:rsid w:val="21AF255A"/>
    <w:rsid w:val="21D434A9"/>
    <w:rsid w:val="224F1BA5"/>
    <w:rsid w:val="22600256"/>
    <w:rsid w:val="22CE3412"/>
    <w:rsid w:val="22FE1DC0"/>
    <w:rsid w:val="2303582F"/>
    <w:rsid w:val="23DC3702"/>
    <w:rsid w:val="246373BC"/>
    <w:rsid w:val="24DE63A9"/>
    <w:rsid w:val="24ED24CD"/>
    <w:rsid w:val="25407ECB"/>
    <w:rsid w:val="255061D5"/>
    <w:rsid w:val="25F25837"/>
    <w:rsid w:val="26317D8C"/>
    <w:rsid w:val="26A97FC3"/>
    <w:rsid w:val="26AC2617"/>
    <w:rsid w:val="27B048FD"/>
    <w:rsid w:val="28D858C7"/>
    <w:rsid w:val="291E5BEC"/>
    <w:rsid w:val="294E553B"/>
    <w:rsid w:val="29E56A5D"/>
    <w:rsid w:val="2A2A6F59"/>
    <w:rsid w:val="2A627AE2"/>
    <w:rsid w:val="2AE07DFA"/>
    <w:rsid w:val="2B0E644E"/>
    <w:rsid w:val="2B2A1DDC"/>
    <w:rsid w:val="2B3410FF"/>
    <w:rsid w:val="2B62374F"/>
    <w:rsid w:val="2B724B56"/>
    <w:rsid w:val="2CEB696E"/>
    <w:rsid w:val="2CFE48F4"/>
    <w:rsid w:val="2D1F68E9"/>
    <w:rsid w:val="2D641482"/>
    <w:rsid w:val="2DB74490"/>
    <w:rsid w:val="2E3F956F"/>
    <w:rsid w:val="2E800B53"/>
    <w:rsid w:val="2EF20488"/>
    <w:rsid w:val="2F6258B0"/>
    <w:rsid w:val="2FBB01C6"/>
    <w:rsid w:val="2FD47D0F"/>
    <w:rsid w:val="301D5662"/>
    <w:rsid w:val="30C62E83"/>
    <w:rsid w:val="31091AB9"/>
    <w:rsid w:val="31160397"/>
    <w:rsid w:val="31CB5A7F"/>
    <w:rsid w:val="3277102B"/>
    <w:rsid w:val="327A6F1D"/>
    <w:rsid w:val="32ED1692"/>
    <w:rsid w:val="33AF7929"/>
    <w:rsid w:val="33B368B5"/>
    <w:rsid w:val="343F6C32"/>
    <w:rsid w:val="34565015"/>
    <w:rsid w:val="346C33BC"/>
    <w:rsid w:val="3481365D"/>
    <w:rsid w:val="34956399"/>
    <w:rsid w:val="349B61A8"/>
    <w:rsid w:val="34A71D15"/>
    <w:rsid w:val="34B846CA"/>
    <w:rsid w:val="34E20E8E"/>
    <w:rsid w:val="351D3A66"/>
    <w:rsid w:val="3521123C"/>
    <w:rsid w:val="3565303F"/>
    <w:rsid w:val="364568BF"/>
    <w:rsid w:val="36F3518D"/>
    <w:rsid w:val="37505123"/>
    <w:rsid w:val="37776645"/>
    <w:rsid w:val="377BB68F"/>
    <w:rsid w:val="386077B7"/>
    <w:rsid w:val="38772FC7"/>
    <w:rsid w:val="391F00CC"/>
    <w:rsid w:val="39315680"/>
    <w:rsid w:val="396A64A5"/>
    <w:rsid w:val="39A753E9"/>
    <w:rsid w:val="39B14752"/>
    <w:rsid w:val="3AA447E4"/>
    <w:rsid w:val="3AB61911"/>
    <w:rsid w:val="3ADB72AF"/>
    <w:rsid w:val="3C007620"/>
    <w:rsid w:val="3C1A747C"/>
    <w:rsid w:val="3CEF6007"/>
    <w:rsid w:val="3D184824"/>
    <w:rsid w:val="3D56107D"/>
    <w:rsid w:val="3D862EF9"/>
    <w:rsid w:val="3DF633C5"/>
    <w:rsid w:val="3E3C7C3A"/>
    <w:rsid w:val="3E506F79"/>
    <w:rsid w:val="3E741F58"/>
    <w:rsid w:val="3EA82911"/>
    <w:rsid w:val="3ED05245"/>
    <w:rsid w:val="3EEB65EE"/>
    <w:rsid w:val="3EEE2180"/>
    <w:rsid w:val="3F1A6CF0"/>
    <w:rsid w:val="3F413413"/>
    <w:rsid w:val="3F875735"/>
    <w:rsid w:val="3FBF9C7C"/>
    <w:rsid w:val="3FDBD8AE"/>
    <w:rsid w:val="401A339B"/>
    <w:rsid w:val="4056733E"/>
    <w:rsid w:val="40644F5E"/>
    <w:rsid w:val="407616D2"/>
    <w:rsid w:val="408368DF"/>
    <w:rsid w:val="40A7236F"/>
    <w:rsid w:val="40F374BB"/>
    <w:rsid w:val="41243808"/>
    <w:rsid w:val="414119AE"/>
    <w:rsid w:val="41917B3C"/>
    <w:rsid w:val="41987AE3"/>
    <w:rsid w:val="421B47A4"/>
    <w:rsid w:val="425A3F23"/>
    <w:rsid w:val="42DC527F"/>
    <w:rsid w:val="431455BA"/>
    <w:rsid w:val="431542ED"/>
    <w:rsid w:val="44184095"/>
    <w:rsid w:val="449B7A2D"/>
    <w:rsid w:val="44F87A23"/>
    <w:rsid w:val="451D6E04"/>
    <w:rsid w:val="45343566"/>
    <w:rsid w:val="45723FA8"/>
    <w:rsid w:val="45D3749A"/>
    <w:rsid w:val="461D61BB"/>
    <w:rsid w:val="469D5AB2"/>
    <w:rsid w:val="476C7576"/>
    <w:rsid w:val="47A30D90"/>
    <w:rsid w:val="48EE740C"/>
    <w:rsid w:val="4916491B"/>
    <w:rsid w:val="49302CB5"/>
    <w:rsid w:val="497731D6"/>
    <w:rsid w:val="49D8118E"/>
    <w:rsid w:val="4A1277D9"/>
    <w:rsid w:val="4ACC14C6"/>
    <w:rsid w:val="4B3B5A5E"/>
    <w:rsid w:val="4BBA17C3"/>
    <w:rsid w:val="4BC96069"/>
    <w:rsid w:val="4C0C0625"/>
    <w:rsid w:val="4C1201E1"/>
    <w:rsid w:val="4C213D03"/>
    <w:rsid w:val="4C380446"/>
    <w:rsid w:val="4D0F1DAD"/>
    <w:rsid w:val="4D246E4D"/>
    <w:rsid w:val="4D4852CB"/>
    <w:rsid w:val="4DA95D9B"/>
    <w:rsid w:val="4DB51CE6"/>
    <w:rsid w:val="4E1C4AA4"/>
    <w:rsid w:val="4F084D4B"/>
    <w:rsid w:val="4F2F2B7F"/>
    <w:rsid w:val="4F354C93"/>
    <w:rsid w:val="4F9C201E"/>
    <w:rsid w:val="501E6ED7"/>
    <w:rsid w:val="50782EB7"/>
    <w:rsid w:val="50851C2F"/>
    <w:rsid w:val="50D768E0"/>
    <w:rsid w:val="51143E36"/>
    <w:rsid w:val="51E13062"/>
    <w:rsid w:val="523F4839"/>
    <w:rsid w:val="524065F2"/>
    <w:rsid w:val="528B1ED6"/>
    <w:rsid w:val="538F63CD"/>
    <w:rsid w:val="53B15A0D"/>
    <w:rsid w:val="540E0453"/>
    <w:rsid w:val="54593767"/>
    <w:rsid w:val="548F28DF"/>
    <w:rsid w:val="54BC738D"/>
    <w:rsid w:val="54CD4A28"/>
    <w:rsid w:val="54DA0EF3"/>
    <w:rsid w:val="553872C7"/>
    <w:rsid w:val="55EE2EA8"/>
    <w:rsid w:val="55FC43A8"/>
    <w:rsid w:val="575E22AF"/>
    <w:rsid w:val="5775377C"/>
    <w:rsid w:val="57AC50AC"/>
    <w:rsid w:val="57FF4486"/>
    <w:rsid w:val="58B44434"/>
    <w:rsid w:val="58DD21D7"/>
    <w:rsid w:val="58FD3402"/>
    <w:rsid w:val="595110EB"/>
    <w:rsid w:val="59A72231"/>
    <w:rsid w:val="5A064513"/>
    <w:rsid w:val="5A133950"/>
    <w:rsid w:val="5A3D3307"/>
    <w:rsid w:val="5A43745D"/>
    <w:rsid w:val="5A9831E6"/>
    <w:rsid w:val="5B0F2F87"/>
    <w:rsid w:val="5B1A0C57"/>
    <w:rsid w:val="5B570E26"/>
    <w:rsid w:val="5CAB38A1"/>
    <w:rsid w:val="5CBF66CB"/>
    <w:rsid w:val="5CF12072"/>
    <w:rsid w:val="5D7C558B"/>
    <w:rsid w:val="5DCB1958"/>
    <w:rsid w:val="5DDC7327"/>
    <w:rsid w:val="5E596FAE"/>
    <w:rsid w:val="5EAF7EB3"/>
    <w:rsid w:val="5EB4EC1B"/>
    <w:rsid w:val="5FD24951"/>
    <w:rsid w:val="60967E56"/>
    <w:rsid w:val="60B1103D"/>
    <w:rsid w:val="60DD7C31"/>
    <w:rsid w:val="60DF620F"/>
    <w:rsid w:val="60E86862"/>
    <w:rsid w:val="610A71A5"/>
    <w:rsid w:val="618514E5"/>
    <w:rsid w:val="61B940EA"/>
    <w:rsid w:val="61C15914"/>
    <w:rsid w:val="61FF01EB"/>
    <w:rsid w:val="62347E94"/>
    <w:rsid w:val="624C200A"/>
    <w:rsid w:val="624C2853"/>
    <w:rsid w:val="628F1538"/>
    <w:rsid w:val="62A85BF5"/>
    <w:rsid w:val="62BB36D4"/>
    <w:rsid w:val="62EA60EF"/>
    <w:rsid w:val="630C1BD6"/>
    <w:rsid w:val="633B4610"/>
    <w:rsid w:val="637122CC"/>
    <w:rsid w:val="639E415F"/>
    <w:rsid w:val="64053ED7"/>
    <w:rsid w:val="64416899"/>
    <w:rsid w:val="646A5DEF"/>
    <w:rsid w:val="652A1A23"/>
    <w:rsid w:val="652F1432"/>
    <w:rsid w:val="6534458A"/>
    <w:rsid w:val="657146C9"/>
    <w:rsid w:val="65910C98"/>
    <w:rsid w:val="65A57A96"/>
    <w:rsid w:val="65B249C8"/>
    <w:rsid w:val="65BE1D40"/>
    <w:rsid w:val="65C11809"/>
    <w:rsid w:val="65D33E68"/>
    <w:rsid w:val="65FD77E1"/>
    <w:rsid w:val="66213609"/>
    <w:rsid w:val="664D5A95"/>
    <w:rsid w:val="66592A6A"/>
    <w:rsid w:val="66C07080"/>
    <w:rsid w:val="679D19E3"/>
    <w:rsid w:val="67AE2513"/>
    <w:rsid w:val="67E1286C"/>
    <w:rsid w:val="67EF7A52"/>
    <w:rsid w:val="67FABD76"/>
    <w:rsid w:val="68037941"/>
    <w:rsid w:val="68060525"/>
    <w:rsid w:val="68982B11"/>
    <w:rsid w:val="691A1AE3"/>
    <w:rsid w:val="692834AF"/>
    <w:rsid w:val="695C3941"/>
    <w:rsid w:val="698711F2"/>
    <w:rsid w:val="698775DD"/>
    <w:rsid w:val="6A8C1F7C"/>
    <w:rsid w:val="6AB44268"/>
    <w:rsid w:val="6B2C05AD"/>
    <w:rsid w:val="6B9B2D32"/>
    <w:rsid w:val="6BA936A1"/>
    <w:rsid w:val="6BF31632"/>
    <w:rsid w:val="6CA4708F"/>
    <w:rsid w:val="6CBB65D2"/>
    <w:rsid w:val="6CCE0B5F"/>
    <w:rsid w:val="6D5B5A70"/>
    <w:rsid w:val="6DE11250"/>
    <w:rsid w:val="6E2563DA"/>
    <w:rsid w:val="6E2A16CA"/>
    <w:rsid w:val="6F21130B"/>
    <w:rsid w:val="6F3F0CB1"/>
    <w:rsid w:val="6F556565"/>
    <w:rsid w:val="6F7FA066"/>
    <w:rsid w:val="6FFF3764"/>
    <w:rsid w:val="70523936"/>
    <w:rsid w:val="707149AA"/>
    <w:rsid w:val="70BB2BD4"/>
    <w:rsid w:val="70BC5C25"/>
    <w:rsid w:val="71265794"/>
    <w:rsid w:val="71AF4A92"/>
    <w:rsid w:val="71B96608"/>
    <w:rsid w:val="71C917D5"/>
    <w:rsid w:val="721803BC"/>
    <w:rsid w:val="72C0078F"/>
    <w:rsid w:val="72EBF847"/>
    <w:rsid w:val="73032D61"/>
    <w:rsid w:val="73571845"/>
    <w:rsid w:val="737F2F3A"/>
    <w:rsid w:val="74B46B5F"/>
    <w:rsid w:val="752D1413"/>
    <w:rsid w:val="75FB2551"/>
    <w:rsid w:val="762222FA"/>
    <w:rsid w:val="768E0063"/>
    <w:rsid w:val="76B81379"/>
    <w:rsid w:val="76FDB875"/>
    <w:rsid w:val="77053665"/>
    <w:rsid w:val="772C264E"/>
    <w:rsid w:val="77311182"/>
    <w:rsid w:val="776012F8"/>
    <w:rsid w:val="77FFD8FB"/>
    <w:rsid w:val="780A030C"/>
    <w:rsid w:val="78215A60"/>
    <w:rsid w:val="78716DA2"/>
    <w:rsid w:val="792B6125"/>
    <w:rsid w:val="79C011A1"/>
    <w:rsid w:val="7A1D64A0"/>
    <w:rsid w:val="7A5E1AFB"/>
    <w:rsid w:val="7A936CE7"/>
    <w:rsid w:val="7AE97F76"/>
    <w:rsid w:val="7AFD57B8"/>
    <w:rsid w:val="7B7A0597"/>
    <w:rsid w:val="7C214BB4"/>
    <w:rsid w:val="7C323EA8"/>
    <w:rsid w:val="7C50361E"/>
    <w:rsid w:val="7C985AF7"/>
    <w:rsid w:val="7CC01A2F"/>
    <w:rsid w:val="7CC6645D"/>
    <w:rsid w:val="7D56574B"/>
    <w:rsid w:val="7D5E1E12"/>
    <w:rsid w:val="7E2F385E"/>
    <w:rsid w:val="7E413C0D"/>
    <w:rsid w:val="7E4E6208"/>
    <w:rsid w:val="7EFB41F2"/>
    <w:rsid w:val="7F505FD3"/>
    <w:rsid w:val="7F65A362"/>
    <w:rsid w:val="7F8F4C3C"/>
    <w:rsid w:val="7FF8EFCE"/>
    <w:rsid w:val="7FFC23B9"/>
    <w:rsid w:val="7FFC83C2"/>
    <w:rsid w:val="7FFE60AA"/>
    <w:rsid w:val="9507BB0A"/>
    <w:rsid w:val="9EB31EC5"/>
    <w:rsid w:val="A7BBD4F8"/>
    <w:rsid w:val="B77E5040"/>
    <w:rsid w:val="B9EEDFB4"/>
    <w:rsid w:val="BFEBFE2C"/>
    <w:rsid w:val="BFFAFC00"/>
    <w:rsid w:val="CBF5D2C4"/>
    <w:rsid w:val="D4AFC077"/>
    <w:rsid w:val="DBBC6B7F"/>
    <w:rsid w:val="DF7508A5"/>
    <w:rsid w:val="E3BA8B92"/>
    <w:rsid w:val="E7BDDF7E"/>
    <w:rsid w:val="E7CB2CAA"/>
    <w:rsid w:val="EEFABE45"/>
    <w:rsid w:val="F4BF7AEE"/>
    <w:rsid w:val="F5E97F81"/>
    <w:rsid w:val="F6EB4FD2"/>
    <w:rsid w:val="F7ED4B95"/>
    <w:rsid w:val="FAD5C704"/>
    <w:rsid w:val="FB2BAE78"/>
    <w:rsid w:val="FBF75BF5"/>
    <w:rsid w:val="FD5F62F8"/>
    <w:rsid w:val="FDD9AC81"/>
    <w:rsid w:val="FDFA8F15"/>
    <w:rsid w:val="FE7A0964"/>
    <w:rsid w:val="FEFDFD20"/>
    <w:rsid w:val="FEFE0F6F"/>
    <w:rsid w:val="FFD7045C"/>
    <w:rsid w:val="FFFA0DC0"/>
    <w:rsid w:val="FFFD8E7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2"/>
    <w:unhideWhenUsed/>
    <w:qFormat/>
    <w:uiPriority w:val="99"/>
    <w:pPr>
      <w:jc w:val="left"/>
    </w:pPr>
  </w:style>
  <w:style w:type="paragraph" w:styleId="3">
    <w:name w:val="Balloon Text"/>
    <w:basedOn w:val="1"/>
    <w:link w:val="19"/>
    <w:semiHidden/>
    <w:unhideWhenUsed/>
    <w:qFormat/>
    <w:uiPriority w:val="99"/>
    <w:rPr>
      <w:sz w:val="18"/>
      <w:szCs w:val="18"/>
    </w:rPr>
  </w:style>
  <w:style w:type="paragraph" w:styleId="4">
    <w:name w:val="footer"/>
    <w:basedOn w:val="1"/>
    <w:link w:val="14"/>
    <w:qFormat/>
    <w:uiPriority w:val="0"/>
    <w:pPr>
      <w:tabs>
        <w:tab w:val="center" w:pos="4153"/>
        <w:tab w:val="right" w:pos="8306"/>
      </w:tabs>
      <w:snapToGrid w:val="0"/>
      <w:jc w:val="left"/>
    </w:pPr>
    <w:rPr>
      <w:rFonts w:asciiTheme="minorHAnsi" w:hAnsiTheme="minorHAnsi" w:eastAsiaTheme="minorEastAsia" w:cstheme="minorBidi"/>
      <w:sz w:val="18"/>
      <w:szCs w:val="18"/>
    </w:rPr>
  </w:style>
  <w:style w:type="paragraph" w:styleId="5">
    <w:name w:val="header"/>
    <w:basedOn w:val="1"/>
    <w:link w:val="13"/>
    <w:qFormat/>
    <w:uiPriority w:val="0"/>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6">
    <w:name w:val="Normal (Web)"/>
    <w:basedOn w:val="1"/>
    <w:qFormat/>
    <w:uiPriority w:val="0"/>
    <w:pPr>
      <w:widowControl/>
      <w:spacing w:before="100" w:beforeAutospacing="1" w:after="100" w:afterAutospacing="1"/>
      <w:jc w:val="left"/>
    </w:pPr>
    <w:rPr>
      <w:kern w:val="0"/>
      <w:sz w:val="24"/>
    </w:rPr>
  </w:style>
  <w:style w:type="paragraph" w:styleId="7">
    <w:name w:val="annotation subject"/>
    <w:basedOn w:val="2"/>
    <w:next w:val="2"/>
    <w:link w:val="23"/>
    <w:semiHidden/>
    <w:unhideWhenUsed/>
    <w:qFormat/>
    <w:uiPriority w:val="99"/>
    <w:rPr>
      <w:b/>
      <w:bCs/>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22"/>
    <w:rPr>
      <w:b/>
    </w:rPr>
  </w:style>
  <w:style w:type="character" w:styleId="12">
    <w:name w:val="annotation reference"/>
    <w:basedOn w:val="10"/>
    <w:semiHidden/>
    <w:unhideWhenUsed/>
    <w:qFormat/>
    <w:uiPriority w:val="99"/>
    <w:rPr>
      <w:sz w:val="21"/>
      <w:szCs w:val="21"/>
    </w:rPr>
  </w:style>
  <w:style w:type="character" w:customStyle="1" w:styleId="13">
    <w:name w:val="页眉 字符"/>
    <w:link w:val="5"/>
    <w:qFormat/>
    <w:uiPriority w:val="0"/>
    <w:rPr>
      <w:sz w:val="18"/>
      <w:szCs w:val="18"/>
    </w:rPr>
  </w:style>
  <w:style w:type="character" w:customStyle="1" w:styleId="14">
    <w:name w:val="页脚 字符"/>
    <w:link w:val="4"/>
    <w:qFormat/>
    <w:uiPriority w:val="0"/>
    <w:rPr>
      <w:sz w:val="18"/>
      <w:szCs w:val="18"/>
    </w:rPr>
  </w:style>
  <w:style w:type="character" w:customStyle="1" w:styleId="15">
    <w:name w:val="页眉 字符1"/>
    <w:basedOn w:val="10"/>
    <w:semiHidden/>
    <w:qFormat/>
    <w:uiPriority w:val="99"/>
    <w:rPr>
      <w:rFonts w:ascii="Times New Roman" w:hAnsi="Times New Roman" w:eastAsia="宋体" w:cs="Times New Roman"/>
      <w:sz w:val="18"/>
      <w:szCs w:val="18"/>
    </w:rPr>
  </w:style>
  <w:style w:type="character" w:customStyle="1" w:styleId="16">
    <w:name w:val="页脚 字符1"/>
    <w:basedOn w:val="10"/>
    <w:semiHidden/>
    <w:qFormat/>
    <w:uiPriority w:val="99"/>
    <w:rPr>
      <w:rFonts w:ascii="Times New Roman" w:hAnsi="Times New Roman" w:eastAsia="宋体" w:cs="Times New Roman"/>
      <w:sz w:val="18"/>
      <w:szCs w:val="18"/>
    </w:rPr>
  </w:style>
  <w:style w:type="paragraph" w:customStyle="1" w:styleId="17">
    <w:name w:val="列表段落1"/>
    <w:basedOn w:val="1"/>
    <w:qFormat/>
    <w:uiPriority w:val="0"/>
    <w:pPr>
      <w:ind w:firstLine="420" w:firstLineChars="200"/>
    </w:pPr>
    <w:rPr>
      <w:rFonts w:ascii="Calibri" w:hAnsi="Calibri"/>
      <w:szCs w:val="22"/>
    </w:rPr>
  </w:style>
  <w:style w:type="paragraph" w:styleId="18">
    <w:name w:val="List Paragraph"/>
    <w:basedOn w:val="1"/>
    <w:qFormat/>
    <w:uiPriority w:val="34"/>
    <w:pPr>
      <w:ind w:firstLine="420" w:firstLineChars="200"/>
    </w:pPr>
  </w:style>
  <w:style w:type="character" w:customStyle="1" w:styleId="19">
    <w:name w:val="批注框文本 字符"/>
    <w:basedOn w:val="10"/>
    <w:link w:val="3"/>
    <w:semiHidden/>
    <w:qFormat/>
    <w:uiPriority w:val="99"/>
    <w:rPr>
      <w:kern w:val="2"/>
      <w:sz w:val="18"/>
      <w:szCs w:val="18"/>
    </w:rPr>
  </w:style>
  <w:style w:type="character" w:customStyle="1" w:styleId="20">
    <w:name w:val="font41"/>
    <w:basedOn w:val="10"/>
    <w:qFormat/>
    <w:uiPriority w:val="0"/>
    <w:rPr>
      <w:rFonts w:hint="eastAsia" w:ascii="微软雅黑" w:hAnsi="微软雅黑" w:eastAsia="微软雅黑" w:cs="微软雅黑"/>
      <w:color w:val="000000"/>
      <w:sz w:val="18"/>
      <w:szCs w:val="18"/>
      <w:u w:val="none"/>
    </w:rPr>
  </w:style>
  <w:style w:type="character" w:customStyle="1" w:styleId="21">
    <w:name w:val="font11"/>
    <w:basedOn w:val="10"/>
    <w:qFormat/>
    <w:uiPriority w:val="0"/>
    <w:rPr>
      <w:rFonts w:hint="default" w:ascii="Tahoma" w:hAnsi="Tahoma" w:eastAsia="Tahoma" w:cs="Tahoma"/>
      <w:color w:val="000000"/>
      <w:sz w:val="20"/>
      <w:szCs w:val="20"/>
      <w:u w:val="none"/>
    </w:rPr>
  </w:style>
  <w:style w:type="character" w:customStyle="1" w:styleId="22">
    <w:name w:val="批注文字 字符"/>
    <w:basedOn w:val="10"/>
    <w:link w:val="2"/>
    <w:qFormat/>
    <w:uiPriority w:val="99"/>
    <w:rPr>
      <w:kern w:val="2"/>
      <w:sz w:val="21"/>
      <w:szCs w:val="24"/>
    </w:rPr>
  </w:style>
  <w:style w:type="character" w:customStyle="1" w:styleId="23">
    <w:name w:val="批注主题 字符"/>
    <w:basedOn w:val="22"/>
    <w:link w:val="7"/>
    <w:semiHidden/>
    <w:qFormat/>
    <w:uiPriority w:val="99"/>
    <w:rPr>
      <w:b/>
      <w:bCs/>
      <w:kern w:val="2"/>
      <w:sz w:val="21"/>
      <w:szCs w:val="24"/>
    </w:rPr>
  </w:style>
  <w:style w:type="paragraph" w:customStyle="1" w:styleId="24">
    <w:name w:val="修订1"/>
    <w:hidden/>
    <w:unhideWhenUsed/>
    <w:qFormat/>
    <w:uiPriority w:val="99"/>
    <w:rPr>
      <w:rFonts w:ascii="Times New Roman" w:hAnsi="Times New Roman" w:eastAsia="宋体" w:cs="Times New Roman"/>
      <w:kern w:val="2"/>
      <w:sz w:val="21"/>
      <w:szCs w:val="24"/>
      <w:lang w:val="en-US" w:eastAsia="zh-CN" w:bidi="ar-SA"/>
    </w:rPr>
  </w:style>
  <w:style w:type="paragraph" w:customStyle="1" w:styleId="25">
    <w:name w:val="修订2"/>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Pages>
  <Words>1933</Words>
  <Characters>2021</Characters>
  <Lines>147</Lines>
  <Paragraphs>149</Paragraphs>
  <TotalTime>13</TotalTime>
  <ScaleCrop>false</ScaleCrop>
  <LinksUpToDate>false</LinksUpToDate>
  <CharactersWithSpaces>2146</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2026-05-24T14:14:00Z</dcterms:created>
  <dc:creator>罗 聪</dc:creator>
  <cp:lastModifiedBy>华少</cp:lastModifiedBy>
  <cp:lastPrinted>2025-04-29T14:42:00Z</cp:lastPrinted>
  <dcterms:modified xsi:type="dcterms:W3CDTF">2026-09-25T16:57:48Z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FD9EA41720214CAA9F2079A793B4DF63_13</vt:lpwstr>
  </property>
  <property fmtid="{D5CDD505-2E9C-101B-9397-08002B2CF9AE}" pid="4" name="KSOTemplateDocerSaveRecord">
    <vt:lpwstr>eyJoZGlkIjoiMzRiYjBlYmNhMjRhMWFkYTYwODMwNDBjMzU2YzhhM2EiLCJ1c2VySWQiOiIxMzg4MzMyNTMifQ==</vt:lpwstr>
  </property>
</Properties>
</file>