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a-seq-quick-start-guide"/>
    <w:p>
      <w:pPr>
        <w:pStyle w:val="Heading1"/>
      </w:pPr>
      <w:r>
        <w:t xml:space="preserve">🚀 SEA-SEQ Quick Start Guide</w:t>
      </w:r>
    </w:p>
    <w:p>
      <w:pPr>
        <w:pStyle w:val="FirstParagraph"/>
      </w:pPr>
      <w:r>
        <w:t xml:space="preserve">This guide will help you set up and run</w:t>
      </w:r>
      <w:r>
        <w:t xml:space="preserve"> </w:t>
      </w:r>
      <w:r>
        <w:rPr>
          <w:bCs/>
          <w:b/>
        </w:rPr>
        <w:t xml:space="preserve">SEA-SEQ</w:t>
      </w:r>
      <w:r>
        <w:t xml:space="preserve"> </w:t>
      </w:r>
      <w:r>
        <w:t xml:space="preserve">quickly — whether you want to spin up supporting services or execute test suites and generate reports.</w:t>
      </w:r>
    </w:p>
    <w:p>
      <w:r>
        <w:pict>
          <v:rect style="width:0;height:1.5pt" o:hralign="center" o:hrstd="t" o:hr="t"/>
        </w:pict>
      </w:r>
    </w:p>
    <w:bookmarkStart w:id="20" w:name="how-it-works"/>
    <w:p>
      <w:pPr>
        <w:pStyle w:val="Heading2"/>
      </w:pPr>
      <w:r>
        <w:t xml:space="preserve">🔑 How It Works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./run.sh compose</w:t>
      </w:r>
    </w:p>
    <w:p>
      <w:pPr>
        <w:numPr>
          <w:ilvl w:val="1"/>
          <w:numId w:val="1002"/>
        </w:numPr>
        <w:pStyle w:val="Compact"/>
      </w:pPr>
      <w:r>
        <w:t xml:space="preserve">Builds and starts the</w:t>
      </w:r>
      <w:r>
        <w:t xml:space="preserve"> </w:t>
      </w:r>
      <w:r>
        <w:rPr>
          <w:bCs/>
          <w:b/>
        </w:rPr>
        <w:t xml:space="preserve">API/DB/Web stack</w:t>
      </w:r>
      <w:r>
        <w:t xml:space="preserve"> </w:t>
      </w:r>
      <w:r>
        <w:t xml:space="preserve">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Streams logs until you stop it (</w:t>
      </w:r>
      <w:r>
        <w:rPr>
          <w:rStyle w:val="VerbatimChar"/>
        </w:rPr>
        <w:t xml:space="preserve">Ctrl+C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  <w:bCs/>
          <w:b/>
        </w:rPr>
        <w:t xml:space="preserve">./run.sh reports [suite env openapi]</w:t>
      </w:r>
    </w:p>
    <w:p>
      <w:pPr>
        <w:numPr>
          <w:ilvl w:val="1"/>
          <w:numId w:val="1003"/>
        </w:numPr>
        <w:pStyle w:val="Compact"/>
      </w:pPr>
      <w:r>
        <w:t xml:space="preserve">Builds the SEA-SEQ CLI Docker image.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Runs the specified test suite inside the container.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Generates reports in the</w:t>
      </w:r>
      <w:r>
        <w:t xml:space="preserve"> </w:t>
      </w:r>
      <w:r>
        <w:rPr>
          <w:rStyle w:val="VerbatimChar"/>
        </w:rPr>
        <w:t xml:space="preserve">./reports/</w:t>
      </w:r>
      <w:r>
        <w:t xml:space="preserve"> </w:t>
      </w:r>
      <w:r>
        <w:t xml:space="preserve">folder.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If no arguments are passed, runs the bundled JSONPlaceholder demo.</w:t>
      </w:r>
    </w:p>
    <w:p>
      <w:r>
        <w:pict>
          <v:rect style="width:0;height:1.5pt" o:hralign="center" o:hrstd="t" o:hr="t"/>
        </w:pict>
      </w:r>
    </w:p>
    <w:bookmarkEnd w:id="20"/>
    <w:bookmarkStart w:id="24" w:name="running-sea-seq"/>
    <w:p>
      <w:pPr>
        <w:pStyle w:val="Heading2"/>
      </w:pPr>
      <w:r>
        <w:t xml:space="preserve">📂 Running SEA-SEQ</w:t>
      </w:r>
    </w:p>
    <w:bookmarkStart w:id="21" w:name="spin-up-apidbweb-services"/>
    <w:p>
      <w:pPr>
        <w:pStyle w:val="Heading3"/>
      </w:pPr>
      <w:r>
        <w:t xml:space="preserve">1. Spin up API/DB/Web services</w:t>
      </w:r>
    </w:p>
    <w:p>
      <w:pPr>
        <w:pStyle w:val="SourceCode"/>
      </w:pPr>
      <w:r>
        <w:rPr>
          <w:rStyle w:val="ExtensionTok"/>
        </w:rPr>
        <w:t xml:space="preserve">./run.sh</w:t>
      </w:r>
      <w:r>
        <w:rPr>
          <w:rStyle w:val="NormalTok"/>
        </w:rPr>
        <w:t xml:space="preserve"> compose</w:t>
      </w:r>
    </w:p>
    <w:p>
      <w:pPr>
        <w:pStyle w:val="FirstParagraph"/>
      </w:pPr>
      <w:r>
        <w:t xml:space="preserve">To view logs at any time: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</w:t>
      </w:r>
    </w:p>
    <w:p>
      <w:pPr>
        <w:pStyle w:val="FirstParagraph"/>
      </w:pPr>
      <w:r>
        <w:t xml:space="preserve">To stop services: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</w:t>
      </w:r>
    </w:p>
    <w:p>
      <w:pPr>
        <w:pStyle w:val="FirstParagraph"/>
      </w:pPr>
      <w:r>
        <w:t xml:space="preserve">To stop and remove services (containers, networks, volumes):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</w:p>
    <w:p>
      <w:r>
        <w:pict>
          <v:rect style="width:0;height:1.5pt" o:hralign="center" o:hrstd="t" o:hr="t"/>
        </w:pict>
      </w:r>
    </w:p>
    <w:bookmarkEnd w:id="21"/>
    <w:bookmarkStart w:id="22" w:name="run-sea-seq-tests-generate-reports"/>
    <w:p>
      <w:pPr>
        <w:pStyle w:val="Heading3"/>
      </w:pPr>
      <w:r>
        <w:t xml:space="preserve">2. Run SEA-SEQ Tests &amp; Generate Reports</w:t>
      </w:r>
    </w:p>
    <w:p>
      <w:pPr>
        <w:pStyle w:val="SourceCode"/>
      </w:pPr>
      <w:r>
        <w:rPr>
          <w:rStyle w:val="ExtensionTok"/>
        </w:rPr>
        <w:t xml:space="preserve">./run.sh</w:t>
      </w:r>
      <w:r>
        <w:rPr>
          <w:rStyle w:val="NormalTok"/>
        </w:rPr>
        <w:t xml:space="preserve"> reports</w:t>
      </w:r>
    </w:p>
    <w:p>
      <w:pPr>
        <w:pStyle w:val="FirstParagraph"/>
      </w:pPr>
      <w:r>
        <w:t xml:space="preserve">This will:</w:t>
      </w:r>
      <w:r>
        <w:br/>
      </w:r>
      <w:r>
        <w:t xml:space="preserve">- Build the CLI image.</w:t>
      </w:r>
      <w:r>
        <w:br/>
      </w:r>
      <w:r>
        <w:t xml:space="preserve">- Run the default demo suite (</w:t>
      </w:r>
      <w:r>
        <w:rPr>
          <w:rStyle w:val="VerbatimChar"/>
        </w:rPr>
        <w:t xml:space="preserve">tests/examples/jsonplaceholder/...</w:t>
      </w:r>
      <w:r>
        <w:t xml:space="preserve">).</w:t>
      </w:r>
      <w:r>
        <w:br/>
      </w:r>
      <w:r>
        <w:t xml:space="preserve">- Output results into</w:t>
      </w:r>
      <w:r>
        <w:t xml:space="preserve"> </w:t>
      </w:r>
      <w:r>
        <w:rPr>
          <w:rStyle w:val="VerbatimChar"/>
        </w:rPr>
        <w:t xml:space="preserve">./reports/</w:t>
      </w:r>
      <w:r>
        <w:t xml:space="preserve">.</w:t>
      </w:r>
    </w:p>
    <w:p>
      <w:pPr>
        <w:pStyle w:val="BodyText"/>
      </w:pPr>
      <w:r>
        <w:t xml:space="preserve">Reports include: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report.html</w:t>
      </w:r>
      <w:r>
        <w:t xml:space="preserve"> </w:t>
      </w:r>
      <w:r>
        <w:t xml:space="preserve">(human-readable)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results.json</w:t>
      </w:r>
      <w:r>
        <w:t xml:space="preserve"> </w:t>
      </w:r>
      <w:r>
        <w:t xml:space="preserve">(raw results)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junit.xml</w:t>
      </w:r>
      <w:r>
        <w:t xml:space="preserve"> </w:t>
      </w:r>
      <w:r>
        <w:t xml:space="preserve">(CI integration)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coverage.json</w:t>
      </w:r>
      <w:r>
        <w:t xml:space="preserve"> </w:t>
      </w:r>
      <w:r>
        <w:t xml:space="preserve">(path/method coverage)</w:t>
      </w:r>
    </w:p>
    <w:p>
      <w:r>
        <w:pict>
          <v:rect style="width:0;height:1.5pt" o:hralign="center" o:hrstd="t" o:hr="t"/>
        </w:pict>
      </w:r>
    </w:p>
    <w:bookmarkEnd w:id="22"/>
    <w:bookmarkStart w:id="23" w:name="run-custom-test-suites"/>
    <w:p>
      <w:pPr>
        <w:pStyle w:val="Heading3"/>
      </w:pPr>
      <w:r>
        <w:t xml:space="preserve">3. Run Custom Test Suites</w:t>
      </w:r>
    </w:p>
    <w:p>
      <w:pPr>
        <w:pStyle w:val="FirstParagraph"/>
      </w:pPr>
      <w:r>
        <w:t xml:space="preserve">You can specify your own files:</w:t>
      </w:r>
    </w:p>
    <w:p>
      <w:pPr>
        <w:pStyle w:val="SourceCode"/>
      </w:pPr>
      <w:r>
        <w:rPr>
          <w:rStyle w:val="ExtensionTok"/>
        </w:rPr>
        <w:t xml:space="preserve">./run.sh</w:t>
      </w:r>
      <w:r>
        <w:rPr>
          <w:rStyle w:val="NormalTok"/>
        </w:rPr>
        <w:t xml:space="preserve"> reports path/to/suite.yaml path/to/env.json path/to/openapi.json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./run.sh</w:t>
      </w:r>
      <w:r>
        <w:rPr>
          <w:rStyle w:val="NormalTok"/>
        </w:rPr>
        <w:t xml:space="preserve"> reports tests/mysuite.yaml configs/env.json specs/openapi.json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That’s it — new developers can now spin up services or run tests with one command.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2025-09-29T04:57:42Z</dcterms:created>
  <dcterms:modified xsi:type="dcterms:W3CDTF">2025-09-29T04:57:42Z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