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565C0"/>
          <w:sz w:val="44"/>
        </w:rPr>
        <w:t>Tableau Récapitulatif du Design Global</w:t>
        <w:br/>
        <w:t>Ma Station Météo</w:t>
      </w:r>
    </w:p>
    <w:p>
      <w:r>
        <w:rPr>
          <w:rFonts w:ascii="Calibri" w:hAnsi="Calibri"/>
          <w:i/>
          <w:sz w:val="22"/>
        </w:rPr>
        <w:t>Ce document présente l'ensemble des spécifications du système de design (MeteoConnect) de l'application Ma Station Météo : identité visuelle, palette de couleurs, typographie et règles de stylisation des composants de l'interface.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565C0"/>
          <w:bottom w:val="single" w:sz="6" w:space="0" w:color="1565C0"/>
          <w:insideH w:val="single" w:sz="4" w:space="0" w:color="E0E0E0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fill="1565C0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Catégorie / Composant</w:t>
            </w:r>
          </w:p>
        </w:tc>
        <w:tc>
          <w:tcPr>
            <w:tcW w:type="dxa" w:w="2160"/>
            <w:shd w:fill="1565C0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Propriété / Élément</w:t>
            </w:r>
          </w:p>
        </w:tc>
        <w:tc>
          <w:tcPr>
            <w:tcW w:type="dxa" w:w="2592"/>
            <w:shd w:fill="1565C0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Valeur Spécifique</w:t>
            </w:r>
          </w:p>
        </w:tc>
        <w:tc>
          <w:tcPr>
            <w:tcW w:type="dxa" w:w="3168"/>
            <w:shd w:fill="1565C0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Rôle &amp; Utilisation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Identité &amp; Thème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Style global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Thème Clair Moderne (MeteoConnect)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Design de type tableau de bord épuré, axé sur la lisibilité des données en temps réel et l'esthétique lumineuse.</w:t>
            </w:r>
          </w:p>
        </w:tc>
      </w:tr>
      <w:tr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Palette Principale</w:t>
            </w:r>
          </w:p>
        </w:tc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Couleur Primaire</w:t>
            </w:r>
          </w:p>
        </w:tc>
        <w:tc>
          <w:tcPr>
            <w:tcW w:type="dxa" w:w="2592"/>
            <w:shd w:fill="F0F8FF"/>
          </w:tcPr>
          <w:p>
            <w:r>
              <w:rPr>
                <w:rFonts w:ascii="Calibri" w:hAnsi="Calibri"/>
                <w:sz w:val="20"/>
              </w:rPr>
              <w:t>#1565C0 (Bleu profond)</w:t>
            </w:r>
          </w:p>
        </w:tc>
        <w:tc>
          <w:tcPr>
            <w:tcW w:type="dxa" w:w="3168"/>
            <w:shd w:fill="F0F8FF"/>
          </w:tcPr>
          <w:p>
            <w:r>
              <w:rPr>
                <w:rFonts w:ascii="Calibri" w:hAnsi="Calibri"/>
                <w:sz w:val="20"/>
              </w:rPr>
              <w:t>Éléments de marque, boutons principaux, icônes actives et mises en avant.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Palette Principale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Primaire claire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#42A5F5 (Bleu clair)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Éléments d'interface secondaires et dégradés.</w:t>
            </w:r>
          </w:p>
        </w:tc>
      </w:tr>
      <w:tr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Palette Principale</w:t>
            </w:r>
          </w:p>
        </w:tc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Couleur Secondaire</w:t>
            </w:r>
          </w:p>
        </w:tc>
        <w:tc>
          <w:tcPr>
            <w:tcW w:type="dxa" w:w="2592"/>
            <w:shd w:fill="F0F8FF"/>
          </w:tcPr>
          <w:p>
            <w:r>
              <w:rPr>
                <w:rFonts w:ascii="Calibri" w:hAnsi="Calibri"/>
                <w:sz w:val="20"/>
              </w:rPr>
              <w:t>#0288D1 (Bleu océan)</w:t>
            </w:r>
          </w:p>
        </w:tc>
        <w:tc>
          <w:tcPr>
            <w:tcW w:type="dxa" w:w="3168"/>
            <w:shd w:fill="F0F8FF"/>
          </w:tcPr>
          <w:p>
            <w:r>
              <w:rPr>
                <w:rFonts w:ascii="Calibri" w:hAnsi="Calibri"/>
                <w:sz w:val="20"/>
              </w:rPr>
              <w:t>En-têtes, accents visuels et éléments interactifs.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Palette Principale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Couleur d'Accent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#FF8F00 (Ambre / Orange)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Notifications, alertes et indicateurs importants.</w:t>
            </w:r>
          </w:p>
        </w:tc>
      </w:tr>
      <w:tr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Fonds &amp; Surfaces</w:t>
            </w:r>
          </w:p>
        </w:tc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Arrière-plan (Scaffold)</w:t>
            </w:r>
          </w:p>
        </w:tc>
        <w:tc>
          <w:tcPr>
            <w:tcW w:type="dxa" w:w="2592"/>
            <w:shd w:fill="F0F8FF"/>
          </w:tcPr>
          <w:p>
            <w:r>
              <w:rPr>
                <w:rFonts w:ascii="Calibri" w:hAnsi="Calibri"/>
                <w:sz w:val="20"/>
              </w:rPr>
              <w:t>Dégradé linéaire (Haut/Gauche vers Bas/Droite)</w:t>
            </w:r>
          </w:p>
        </w:tc>
        <w:tc>
          <w:tcPr>
            <w:tcW w:type="dxa" w:w="3168"/>
            <w:shd w:fill="F0F8FF"/>
          </w:tcPr>
          <w:p>
            <w:r>
              <w:rPr>
                <w:rFonts w:ascii="Calibri" w:hAnsi="Calibri"/>
                <w:sz w:val="20"/>
              </w:rPr>
              <w:t>Dégradé immersif ciel clair : #90CAF9 ➔ #BBDEFB ➔ #E3F2FD.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Fonds &amp; Surfaces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Cartes / Tuiles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#FFFFFF (Blanc pur)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Conteneurs de données et jauges avec fond blanc contrastant sur le ciel.</w:t>
            </w:r>
          </w:p>
        </w:tc>
      </w:tr>
      <w:tr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Fonds &amp; Surfaces</w:t>
            </w:r>
          </w:p>
        </w:tc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Cartes (Survol/Focus)</w:t>
            </w:r>
          </w:p>
        </w:tc>
        <w:tc>
          <w:tcPr>
            <w:tcW w:type="dxa" w:w="2592"/>
            <w:shd w:fill="F0F8FF"/>
          </w:tcPr>
          <w:p>
            <w:r>
              <w:rPr>
                <w:rFonts w:ascii="Calibri" w:hAnsi="Calibri"/>
                <w:sz w:val="20"/>
              </w:rPr>
              <w:t>#F0F8FF (Alice Blue)</w:t>
            </w:r>
          </w:p>
        </w:tc>
        <w:tc>
          <w:tcPr>
            <w:tcW w:type="dxa" w:w="3168"/>
            <w:shd w:fill="F0F8FF"/>
          </w:tcPr>
          <w:p>
            <w:r>
              <w:rPr>
                <w:rFonts w:ascii="Calibri" w:hAnsi="Calibri"/>
                <w:sz w:val="20"/>
              </w:rPr>
              <w:t>Changement subtil d'état au survol ou à la sélection.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Typographie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Police globale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Google Fonts : Outfit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Police géométrique contemporaine, offrant une excellente lisibilité sur les chiffres et compteurs de capteurs.</w:t>
            </w:r>
          </w:p>
        </w:tc>
      </w:tr>
      <w:tr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Typographie</w:t>
            </w:r>
          </w:p>
        </w:tc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Texte Principal</w:t>
            </w:r>
          </w:p>
        </w:tc>
        <w:tc>
          <w:tcPr>
            <w:tcW w:type="dxa" w:w="2592"/>
            <w:shd w:fill="F0F8FF"/>
          </w:tcPr>
          <w:p>
            <w:r>
              <w:rPr>
                <w:rFonts w:ascii="Calibri" w:hAnsi="Calibri"/>
                <w:sz w:val="20"/>
              </w:rPr>
              <w:t>#0D47A1 (Bleu très profond)</w:t>
            </w:r>
          </w:p>
        </w:tc>
        <w:tc>
          <w:tcPr>
            <w:tcW w:type="dxa" w:w="3168"/>
            <w:shd w:fill="F0F8FF"/>
          </w:tcPr>
          <w:p>
            <w:r>
              <w:rPr>
                <w:rFonts w:ascii="Calibri" w:hAnsi="Calibri"/>
                <w:sz w:val="20"/>
              </w:rPr>
              <w:t>Titres des écrans, valeurs chiffrées majeures et textes des cartes.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Typographie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Texte Secondaire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#1976D2 (Bleu moyen)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Sous-titres, unités de mesure, dates et légendes descriptives.</w:t>
            </w:r>
          </w:p>
        </w:tc>
      </w:tr>
      <w:tr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Typographie</w:t>
            </w:r>
          </w:p>
        </w:tc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Texte Discret (Muted)</w:t>
            </w:r>
          </w:p>
        </w:tc>
        <w:tc>
          <w:tcPr>
            <w:tcW w:type="dxa" w:w="2592"/>
            <w:shd w:fill="F0F8FF"/>
          </w:tcPr>
          <w:p>
            <w:r>
              <w:rPr>
                <w:rFonts w:ascii="Calibri" w:hAnsi="Calibri"/>
                <w:sz w:val="20"/>
              </w:rPr>
              <w:t>#90CAF9 (Bleu ciel)</w:t>
            </w:r>
          </w:p>
        </w:tc>
        <w:tc>
          <w:tcPr>
            <w:tcW w:type="dxa" w:w="3168"/>
            <w:shd w:fill="F0F8FF"/>
          </w:tcPr>
          <w:p>
            <w:r>
              <w:rPr>
                <w:rFonts w:ascii="Calibri" w:hAnsi="Calibri"/>
                <w:sz w:val="20"/>
              </w:rPr>
              <w:t>Labels secondaires et textes d'indications mineures.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Couleurs des Métriques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Température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#E64A19 / Dégradé #FF7043 ➔ #FF8F00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Jauges, courbes et icônes relatives à la température thermique.</w:t>
            </w:r>
          </w:p>
        </w:tc>
      </w:tr>
      <w:tr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Couleurs des Métriques</w:t>
            </w:r>
          </w:p>
        </w:tc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Humidité</w:t>
            </w:r>
          </w:p>
        </w:tc>
        <w:tc>
          <w:tcPr>
            <w:tcW w:type="dxa" w:w="2592"/>
            <w:shd w:fill="F0F8FF"/>
          </w:tcPr>
          <w:p>
            <w:r>
              <w:rPr>
                <w:rFonts w:ascii="Calibri" w:hAnsi="Calibri"/>
                <w:sz w:val="20"/>
              </w:rPr>
              <w:t>#1565C0 / Dégradé #1565C0 ➔ #42A5F5</w:t>
            </w:r>
          </w:p>
        </w:tc>
        <w:tc>
          <w:tcPr>
            <w:tcW w:type="dxa" w:w="3168"/>
            <w:shd w:fill="F0F8FF"/>
          </w:tcPr>
          <w:p>
            <w:r>
              <w:rPr>
                <w:rFonts w:ascii="Calibri" w:hAnsi="Calibri"/>
                <w:sz w:val="20"/>
              </w:rPr>
              <w:t>Jauges et graphiques du taux d'humidité de l'air.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Couleurs des Métriques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Pression Atmosph.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#00838F (Teal / Sarcelle)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Indicateurs barométriques.</w:t>
            </w:r>
          </w:p>
        </w:tc>
      </w:tr>
      <w:tr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Couleurs des Métriques</w:t>
            </w:r>
          </w:p>
        </w:tc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Vitesse du Vent</w:t>
            </w:r>
          </w:p>
        </w:tc>
        <w:tc>
          <w:tcPr>
            <w:tcW w:type="dxa" w:w="2592"/>
            <w:shd w:fill="F0F8FF"/>
          </w:tcPr>
          <w:p>
            <w:r>
              <w:rPr>
                <w:rFonts w:ascii="Calibri" w:hAnsi="Calibri"/>
                <w:sz w:val="20"/>
              </w:rPr>
              <w:t>#6A1B9A (Violet)</w:t>
            </w:r>
          </w:p>
        </w:tc>
        <w:tc>
          <w:tcPr>
            <w:tcW w:type="dxa" w:w="3168"/>
            <w:shd w:fill="F0F8FF"/>
          </w:tcPr>
          <w:p>
            <w:r>
              <w:rPr>
                <w:rFonts w:ascii="Calibri" w:hAnsi="Calibri"/>
                <w:sz w:val="20"/>
              </w:rPr>
              <w:t>Anémomètre et indicateurs de rafales.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Couleurs des Métriques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Pluviométrie / Pluie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#0277BD (Bleu nuit)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Enregistrements de précipitations.</w:t>
            </w:r>
          </w:p>
        </w:tc>
      </w:tr>
      <w:tr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Couleurs des Métriques</w:t>
            </w:r>
          </w:p>
        </w:tc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Données GPS</w:t>
            </w:r>
          </w:p>
        </w:tc>
        <w:tc>
          <w:tcPr>
            <w:tcW w:type="dxa" w:w="2592"/>
            <w:shd w:fill="F0F8FF"/>
          </w:tcPr>
          <w:p>
            <w:r>
              <w:rPr>
                <w:rFonts w:ascii="Calibri" w:hAnsi="Calibri"/>
                <w:sz w:val="20"/>
              </w:rPr>
              <w:t>#2E7D32 (Vert)</w:t>
            </w:r>
          </w:p>
        </w:tc>
        <w:tc>
          <w:tcPr>
            <w:tcW w:type="dxa" w:w="3168"/>
            <w:shd w:fill="F0F8FF"/>
          </w:tcPr>
          <w:p>
            <w:r>
              <w:rPr>
                <w:rFonts w:ascii="Calibri" w:hAnsi="Calibri"/>
                <w:sz w:val="20"/>
              </w:rPr>
              <w:t>Coordonnées de localisation de la station.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Couleurs des Métriques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Altitude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#4527A0 (Indigo)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Indicateur d'élévation.</w:t>
            </w:r>
          </w:p>
        </w:tc>
      </w:tr>
      <w:tr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Style Composants</w:t>
            </w:r>
          </w:p>
        </w:tc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Conteneurs (Cards)</w:t>
            </w:r>
          </w:p>
        </w:tc>
        <w:tc>
          <w:tcPr>
            <w:tcW w:type="dxa" w:w="2592"/>
            <w:shd w:fill="F0F8FF"/>
          </w:tcPr>
          <w:p>
            <w:r>
              <w:rPr>
                <w:rFonts w:ascii="Calibri" w:hAnsi="Calibri"/>
                <w:sz w:val="20"/>
              </w:rPr>
              <w:t>Bords arrondis (20px)</w:t>
            </w:r>
          </w:p>
        </w:tc>
        <w:tc>
          <w:tcPr>
            <w:tcW w:type="dxa" w:w="3168"/>
            <w:shd w:fill="F0F8FF"/>
          </w:tcPr>
          <w:p>
            <w:r>
              <w:rPr>
                <w:rFonts w:ascii="Calibri" w:hAnsi="Calibri"/>
                <w:sz w:val="20"/>
              </w:rPr>
              <w:t>Style adouci et moderne pour chaque bloc du tableau de bord.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Style Composants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Élévation &amp; Ombre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BoxShadow (blur 16px, offset 0, 4)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Ombre douce teintée (#1565C0 à 10% d'opacité) créant un léger effet de flottement.</w:t>
            </w:r>
          </w:p>
        </w:tc>
      </w:tr>
      <w:tr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Style Composants</w:t>
            </w:r>
          </w:p>
        </w:tc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Bordures de cartes</w:t>
            </w:r>
          </w:p>
        </w:tc>
        <w:tc>
          <w:tcPr>
            <w:tcW w:type="dxa" w:w="2592"/>
            <w:shd w:fill="F0F8FF"/>
          </w:tcPr>
          <w:p>
            <w:r>
              <w:rPr>
                <w:rFonts w:ascii="Calibri" w:hAnsi="Calibri"/>
                <w:sz w:val="20"/>
              </w:rPr>
              <w:t>Border.all (1.5px)</w:t>
            </w:r>
          </w:p>
        </w:tc>
        <w:tc>
          <w:tcPr>
            <w:tcW w:type="dxa" w:w="3168"/>
            <w:shd w:fill="F0F8FF"/>
          </w:tcPr>
          <w:p>
            <w:r>
              <w:rPr>
                <w:rFonts w:ascii="Calibri" w:hAnsi="Calibri"/>
                <w:sz w:val="20"/>
              </w:rPr>
              <w:t>Bordure semi-transparente (15% d'opacité) encadrant discrètement les tuiles.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Style Composants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Barre Navigation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#FFFFFF (Fond blanc fixe)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Icônes actives en #1565C0 et inactives en #1976D2 sans bordure abrupte.</w:t>
            </w:r>
          </w:p>
        </w:tc>
      </w:tr>
      <w:tr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Style Composants</w:t>
            </w:r>
          </w:p>
        </w:tc>
        <w:tc>
          <w:tcPr>
            <w:tcW w:type="dxa" w:w="2160"/>
            <w:shd w:fill="F0F8FF"/>
          </w:tcPr>
          <w:p>
            <w:r>
              <w:rPr>
                <w:rFonts w:ascii="Calibri" w:hAnsi="Calibri"/>
                <w:sz w:val="20"/>
              </w:rPr>
              <w:t>En-têtes (Headers)</w:t>
            </w:r>
          </w:p>
        </w:tc>
        <w:tc>
          <w:tcPr>
            <w:tcW w:type="dxa" w:w="2592"/>
            <w:shd w:fill="F0F8FF"/>
          </w:tcPr>
          <w:p>
            <w:r>
              <w:rPr>
                <w:rFonts w:ascii="Calibri" w:hAnsi="Calibri"/>
                <w:sz w:val="20"/>
              </w:rPr>
              <w:t>Dégradé #1565C0 ➔ #0288D1</w:t>
            </w:r>
          </w:p>
        </w:tc>
        <w:tc>
          <w:tcPr>
            <w:tcW w:type="dxa" w:w="3168"/>
            <w:shd w:fill="F0F8FF"/>
          </w:tcPr>
          <w:p>
            <w:r>
              <w:rPr>
                <w:rFonts w:ascii="Calibri" w:hAnsi="Calibri"/>
                <w:sz w:val="20"/>
              </w:rPr>
              <w:t>Appliqué sur les bannières ou barres de titre principales.</w:t>
            </w:r>
          </w:p>
        </w:tc>
      </w:tr>
    </w:tbl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