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Submission readiness against the official brief</w:t>
      </w:r>
    </w:p>
    <w:p>
      <w:r>
        <w:rPr>
          <w:rFonts w:ascii="Calibri" w:hAnsi="Calibri" w:eastAsia="Calibri"/>
          <w:b w:val="0"/>
          <w:i w:val="0"/>
          <w:sz w:val="22"/>
        </w:rPr>
        <w:t xml:space="preserve">Checked on 18 October 2026. The brief is </w:t>
      </w:r>
      <w:r>
        <w:rPr>
          <w:rFonts w:ascii="Consolas" w:hAnsi="Consolas" w:eastAsia="Consolas"/>
          <w:b w:val="0"/>
          <w:i w:val="0"/>
          <w:sz w:val="20"/>
        </w:rPr>
        <w:t>reports/IDA117V_Project_Template.pdf</w:t>
      </w:r>
      <w:r>
        <w:rPr>
          <w:rFonts w:ascii="Calibri" w:hAnsi="Calibri" w:eastAsia="Calibri"/>
          <w:b w:val="0"/>
          <w:i w:val="0"/>
          <w:sz w:val="22"/>
        </w:rPr>
        <w:t xml:space="preserve"> (IDA117V Project Template, Semester 2 2026, 100 marks). Question headings and the rubric do not use the same totals: question 3 is headed 18 but its parts sum to 22, and question 7 is headed 10 but its parts sum to 7. The rubric totals are the ones that sum to 100, and this note uses those.</w:t>
      </w:r>
    </w:p>
    <w:p>
      <w:r>
        <w:rPr>
          <w:rFonts w:ascii="Calibri" w:hAnsi="Calibri" w:eastAsia="Calibri"/>
          <w:b w:val="0"/>
          <w:i w:val="0"/>
          <w:sz w:val="22"/>
        </w:rPr>
        <w:t>This note does not say the submission is complete.</w:t>
      </w:r>
    </w:p>
    <w:p>
      <w:pPr>
        <w:pStyle w:val="Heading2"/>
      </w:pPr>
      <w:r>
        <w:t>What the brief asks for, and what is in the repository</w:t>
      </w:r>
    </w:p>
    <w:tbl>
      <w:tblPr>
        <w:tblStyle w:val="TableGrid"/>
        <w:tblW w:type="auto" w:w="0"/>
        <w:tblLayout w:type="autofit"/>
        <w:tblLook w:firstColumn="1" w:firstRow="1" w:lastColumn="0" w:lastRow="0" w:noHBand="0" w:noVBand="1" w:val="04A0"/>
      </w:tblPr>
      <w:tblGrid>
        <w:gridCol w:w="2353"/>
        <w:gridCol w:w="2353"/>
        <w:gridCol w:w="2353"/>
        <w:gridCol w:w="2353"/>
      </w:tblGrid>
      <w:tr>
        <w:tc>
          <w:tcPr>
            <w:tcW w:type="dxa" w:w="2353"/>
            <w:shd w:fill="E6EEF2" w:val="clear"/>
          </w:tcPr>
          <w:p>
            <w:pPr>
              <w:spacing w:after="40" w:before="40"/>
            </w:pPr>
            <w:r>
              <w:rPr>
                <w:b/>
              </w:rPr>
            </w:r>
            <w:r>
              <w:rPr>
                <w:rFonts w:ascii="Calibri" w:hAnsi="Calibri" w:eastAsia="Calibri"/>
                <w:b/>
                <w:i w:val="0"/>
                <w:sz w:val="18"/>
              </w:rPr>
              <w:t>Brief item</w:t>
            </w:r>
          </w:p>
        </w:tc>
        <w:tc>
          <w:tcPr>
            <w:tcW w:type="dxa" w:w="2353"/>
            <w:shd w:fill="E6EEF2" w:val="clear"/>
          </w:tcPr>
          <w:p>
            <w:pPr>
              <w:spacing w:after="40" w:before="40"/>
            </w:pPr>
            <w:r>
              <w:rPr>
                <w:b/>
              </w:rPr>
            </w:r>
            <w:r>
              <w:rPr>
                <w:rFonts w:ascii="Calibri" w:hAnsi="Calibri" w:eastAsia="Calibri"/>
                <w:b/>
                <w:i w:val="0"/>
                <w:sz w:val="18"/>
              </w:rPr>
              <w:t>Marks</w:t>
            </w:r>
          </w:p>
        </w:tc>
        <w:tc>
          <w:tcPr>
            <w:tcW w:type="dxa" w:w="2353"/>
            <w:shd w:fill="E6EEF2" w:val="clear"/>
          </w:tcPr>
          <w:p>
            <w:pPr>
              <w:spacing w:after="40" w:before="40"/>
            </w:pPr>
            <w:r>
              <w:rPr>
                <w:b/>
              </w:rPr>
            </w:r>
            <w:r>
              <w:rPr>
                <w:rFonts w:ascii="Calibri" w:hAnsi="Calibri" w:eastAsia="Calibri"/>
                <w:b/>
                <w:i w:val="0"/>
                <w:sz w:val="18"/>
              </w:rPr>
              <w:t>Status</w:t>
            </w:r>
          </w:p>
        </w:tc>
        <w:tc>
          <w:tcPr>
            <w:tcW w:type="dxa" w:w="2353"/>
            <w:shd w:fill="E6EEF2" w:val="clear"/>
          </w:tcPr>
          <w:p>
            <w:pPr>
              <w:spacing w:after="40" w:before="40"/>
            </w:pPr>
            <w:r>
              <w:rPr>
                <w:b/>
              </w:rPr>
            </w:r>
            <w:r>
              <w:rPr>
                <w:rFonts w:ascii="Calibri" w:hAnsi="Calibri" w:eastAsia="Calibri"/>
                <w:b/>
                <w:i w:val="0"/>
                <w:sz w:val="18"/>
              </w:rPr>
              <w:t>Evidence</w:t>
            </w:r>
          </w:p>
        </w:tc>
      </w:tr>
      <w:tr>
        <w:tc>
          <w:tcPr>
            <w:tcW w:type="dxa" w:w="2353"/>
          </w:tcPr>
          <w:p>
            <w:pPr>
              <w:spacing w:after="40" w:before="40"/>
            </w:pPr>
            <w:r/>
            <w:r>
              <w:rPr>
                <w:rFonts w:ascii="Calibri" w:hAnsi="Calibri" w:eastAsia="Calibri"/>
                <w:b w:val="0"/>
                <w:i w:val="0"/>
                <w:sz w:val="18"/>
              </w:rPr>
              <w:t>1.1 Problem, population, decision-maker, unit, inputs, classes, horizon</w:t>
            </w:r>
          </w:p>
        </w:tc>
        <w:tc>
          <w:tcPr>
            <w:tcW w:type="dxa" w:w="2353"/>
          </w:tcPr>
          <w:p>
            <w:pPr>
              <w:spacing w:after="40" w:before="40"/>
            </w:pPr>
            <w:r/>
            <w:r>
              <w:rPr>
                <w:rFonts w:ascii="Calibri" w:hAnsi="Calibri" w:eastAsia="Calibri"/>
                <w:b w:val="0"/>
                <w:i w:val="0"/>
                <w:sz w:val="18"/>
              </w:rPr>
              <w:t>4</w:t>
            </w:r>
          </w:p>
        </w:tc>
        <w:tc>
          <w:tcPr>
            <w:tcW w:type="dxa" w:w="2353"/>
          </w:tcPr>
          <w:p>
            <w:pPr>
              <w:spacing w:after="40" w:before="40"/>
            </w:pPr>
            <w:r/>
            <w:r>
              <w:rPr>
                <w:rFonts w:ascii="Calibri" w:hAnsi="Calibri" w:eastAsia="Calibri"/>
                <w:b w:val="0"/>
                <w:i w:val="0"/>
                <w:sz w:val="18"/>
              </w:rPr>
              <w:t>Partial</w:t>
            </w:r>
          </w:p>
        </w:tc>
        <w:tc>
          <w:tcPr>
            <w:tcW w:type="dxa" w:w="2353"/>
          </w:tcPr>
          <w:p>
            <w:pPr>
              <w:spacing w:after="40" w:before="40"/>
            </w:pPr>
            <w:r/>
            <w:r>
              <w:rPr>
                <w:rFonts w:ascii="Consolas" w:hAnsi="Consolas" w:eastAsia="Consolas"/>
                <w:b w:val="0"/>
                <w:i w:val="0"/>
                <w:sz w:val="20"/>
              </w:rPr>
              <w:t>reports/final_report.md</w:t>
            </w:r>
            <w:r>
              <w:rPr>
                <w:rFonts w:ascii="Calibri" w:hAnsi="Calibri" w:eastAsia="Calibri"/>
                <w:b w:val="0"/>
                <w:i w:val="0"/>
                <w:sz w:val="18"/>
              </w:rPr>
              <w:t xml:space="preserve"> section 1 names Cape Town service requests, residents and businesses, and a reviewer in the municipal service department. The unit is one request at logging. Classes are Resolved Fast, Resolved Slow, and Unresolved. The horizon is seven days. The cover lists Mpumelelo Ngozo (218409202), Selowa Tumiso (218340172), Ualwela Netshidzati (220069117), and Thabang Mokoena (240668823). The group name is Point Break, the lecturer is Dr Masethe, and the submission date is 20 October 2026.</w:t>
            </w:r>
          </w:p>
        </w:tc>
      </w:tr>
      <w:tr>
        <w:tc>
          <w:tcPr>
            <w:tcW w:type="dxa" w:w="2353"/>
          </w:tcPr>
          <w:p>
            <w:pPr>
              <w:spacing w:after="40" w:before="40"/>
            </w:pPr>
            <w:r/>
            <w:r>
              <w:rPr>
                <w:rFonts w:ascii="Calibri" w:hAnsi="Calibri" w:eastAsia="Calibri"/>
                <w:b w:val="0"/>
                <w:i w:val="0"/>
                <w:sz w:val="18"/>
              </w:rPr>
              <w:t>1.2 Primary metric, service indicator, false-positive and false-negative cost</w:t>
            </w:r>
          </w:p>
        </w:tc>
        <w:tc>
          <w:tcPr>
            <w:tcW w:type="dxa" w:w="2353"/>
          </w:tcPr>
          <w:p>
            <w:pPr>
              <w:spacing w:after="40" w:before="40"/>
            </w:pPr>
            <w:r/>
            <w:r>
              <w:rPr>
                <w:rFonts w:ascii="Calibri" w:hAnsi="Calibri" w:eastAsia="Calibri"/>
                <w:b w:val="0"/>
                <w:i w:val="0"/>
                <w:sz w:val="18"/>
              </w:rPr>
              <w:t>2</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Macro-F1 is the primary metric. The service indicator is whether a request that will not resolve within seven days is brought to a reviewer. Section 1 states the operational cost of a false positive and a false negative for the three classes, using the champion's locked-test Resolved Slow precision 0.210 and Unresolved recall 0.418.</w:t>
            </w:r>
          </w:p>
        </w:tc>
      </w:tr>
      <w:tr>
        <w:tc>
          <w:tcPr>
            <w:tcW w:type="dxa" w:w="2353"/>
          </w:tcPr>
          <w:p>
            <w:pPr>
              <w:spacing w:after="40" w:before="40"/>
            </w:pPr>
            <w:r/>
            <w:r>
              <w:rPr>
                <w:rFonts w:ascii="Calibri" w:hAnsi="Calibri" w:eastAsia="Calibri"/>
                <w:b w:val="0"/>
                <w:i w:val="0"/>
                <w:sz w:val="18"/>
              </w:rPr>
              <w:t>1.3 Provenance, licence, coverage, limitations, POPIA, privacy, fairness, misuse</w:t>
            </w:r>
          </w:p>
        </w:tc>
        <w:tc>
          <w:tcPr>
            <w:tcW w:type="dxa" w:w="2353"/>
          </w:tcPr>
          <w:p>
            <w:pPr>
              <w:spacing w:after="40" w:before="40"/>
            </w:pPr>
            <w:r/>
            <w:r>
              <w:rPr>
                <w:rFonts w:ascii="Calibri" w:hAnsi="Calibri" w:eastAsia="Calibri"/>
                <w:b w:val="0"/>
                <w:i w:val="0"/>
                <w:sz w:val="18"/>
              </w:rPr>
              <w:t>4</w:t>
            </w:r>
          </w:p>
        </w:tc>
        <w:tc>
          <w:tcPr>
            <w:tcW w:type="dxa" w:w="2353"/>
          </w:tcPr>
          <w:p>
            <w:pPr>
              <w:spacing w:after="40" w:before="40"/>
            </w:pPr>
            <w:r/>
            <w:r>
              <w:rPr>
                <w:rFonts w:ascii="Calibri" w:hAnsi="Calibri" w:eastAsia="Calibri"/>
                <w:b w:val="0"/>
                <w:i w:val="0"/>
                <w:sz w:val="18"/>
              </w:rPr>
              <w:t>Met as a discussion</w:t>
            </w:r>
          </w:p>
        </w:tc>
        <w:tc>
          <w:tcPr>
            <w:tcW w:type="dxa" w:w="2353"/>
          </w:tcPr>
          <w:p>
            <w:pPr>
              <w:spacing w:after="40" w:before="40"/>
            </w:pPr>
            <w:r/>
            <w:r>
              <w:rPr>
                <w:rFonts w:ascii="Calibri" w:hAnsi="Calibri" w:eastAsia="Calibri"/>
                <w:b w:val="0"/>
                <w:i w:val="0"/>
                <w:sz w:val="18"/>
              </w:rPr>
              <w:t xml:space="preserve">Section 1.1 names POPIA and covers personal information, lawful processing, minimisation, access, retention, and security. It does not claim that compliance has been certified. Fairness and misuse are in section 16. Provenance remains in section 2 and </w:t>
            </w:r>
            <w:r>
              <w:rPr>
                <w:rFonts w:ascii="Consolas" w:hAnsi="Consolas" w:eastAsia="Consolas"/>
                <w:b w:val="0"/>
                <w:i w:val="0"/>
                <w:sz w:val="20"/>
              </w:rPr>
              <w:t>reports/data_source.md</w:t>
            </w:r>
            <w:r>
              <w:rPr>
                <w:rFonts w:ascii="Calibri" w:hAnsi="Calibri" w:eastAsia="Calibri"/>
                <w:b w:val="0"/>
                <w:i w:val="0"/>
                <w:sz w:val="18"/>
              </w:rPr>
              <w:t>.</w:t>
            </w:r>
          </w:p>
        </w:tc>
      </w:tr>
      <w:tr>
        <w:tc>
          <w:tcPr>
            <w:tcW w:type="dxa" w:w="2353"/>
          </w:tcPr>
          <w:p>
            <w:pPr>
              <w:spacing w:after="40" w:before="40"/>
            </w:pPr>
            <w:r/>
            <w:r>
              <w:rPr>
                <w:rFonts w:ascii="Calibri" w:hAnsi="Calibri" w:eastAsia="Calibri"/>
                <w:b w:val="0"/>
                <w:i w:val="0"/>
                <w:sz w:val="18"/>
              </w:rPr>
              <w:t>2.1 Data dictionary and audit</w:t>
            </w:r>
          </w:p>
        </w:tc>
        <w:tc>
          <w:tcPr>
            <w:tcW w:type="dxa" w:w="2353"/>
          </w:tcPr>
          <w:p>
            <w:pPr>
              <w:spacing w:after="40" w:before="40"/>
            </w:pPr>
            <w:r/>
            <w:r>
              <w:rPr>
                <w:rFonts w:ascii="Calibri" w:hAnsi="Calibri" w:eastAsia="Calibri"/>
                <w:b w:val="0"/>
                <w:i w:val="0"/>
                <w:sz w:val="18"/>
              </w:rPr>
              <w:t>4</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onsolas" w:hAnsi="Consolas" w:eastAsia="Consolas"/>
                <w:b w:val="0"/>
                <w:i w:val="0"/>
                <w:sz w:val="20"/>
              </w:rPr>
              <w:t>results/tables/02_data_dictionary.csv</w:t>
            </w:r>
            <w:r>
              <w:rPr>
                <w:rFonts w:ascii="Calibri" w:hAnsi="Calibri" w:eastAsia="Calibri"/>
                <w:b w:val="0"/>
                <w:i w:val="0"/>
                <w:sz w:val="18"/>
              </w:rPr>
              <w:t>. Duplicates, missingness, invalid dates, and leakage fields are in the report.</w:t>
            </w:r>
          </w:p>
        </w:tc>
      </w:tr>
      <w:tr>
        <w:tc>
          <w:tcPr>
            <w:tcW w:type="dxa" w:w="2353"/>
          </w:tcPr>
          <w:p>
            <w:pPr>
              <w:spacing w:after="40" w:before="40"/>
            </w:pPr>
            <w:r/>
            <w:r>
              <w:rPr>
                <w:rFonts w:ascii="Calibri" w:hAnsi="Calibri" w:eastAsia="Calibri"/>
                <w:b w:val="0"/>
                <w:i w:val="0"/>
                <w:sz w:val="18"/>
              </w:rPr>
              <w:t>2.2 At least five figures</w:t>
            </w:r>
          </w:p>
        </w:tc>
        <w:tc>
          <w:tcPr>
            <w:tcW w:type="dxa" w:w="2353"/>
          </w:tcPr>
          <w:p>
            <w:pPr>
              <w:spacing w:after="40" w:before="40"/>
            </w:pPr>
            <w:r/>
            <w:r>
              <w:rPr>
                <w:rFonts w:ascii="Calibri" w:hAnsi="Calibri" w:eastAsia="Calibri"/>
                <w:b w:val="0"/>
                <w:i w:val="0"/>
                <w:sz w:val="18"/>
              </w:rPr>
              <w:t>6</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onsolas" w:hAnsi="Consolas" w:eastAsia="Consolas"/>
                <w:b w:val="0"/>
                <w:i w:val="0"/>
                <w:sz w:val="20"/>
              </w:rPr>
              <w:t>results/figures/03_01_target_distribution.png</w:t>
            </w:r>
            <w:r>
              <w:rPr>
                <w:rFonts w:ascii="Calibri" w:hAnsi="Calibri" w:eastAsia="Calibri"/>
                <w:b w:val="0"/>
                <w:i w:val="0"/>
                <w:sz w:val="18"/>
              </w:rPr>
              <w:t xml:space="preserve"> through </w:t>
            </w:r>
            <w:r>
              <w:rPr>
                <w:rFonts w:ascii="Consolas" w:hAnsi="Consolas" w:eastAsia="Consolas"/>
                <w:b w:val="0"/>
                <w:i w:val="0"/>
                <w:sz w:val="20"/>
              </w:rPr>
              <w:t>results/figures/03_05_monthly_request_volume.png</w:t>
            </w:r>
            <w:r>
              <w:rPr>
                <w:rFonts w:ascii="Calibri" w:hAnsi="Calibri" w:eastAsia="Calibri"/>
                <w:b w:val="0"/>
                <w:i w:val="0"/>
                <w:sz w:val="18"/>
              </w:rPr>
              <w:t xml:space="preserve">, plus the duration chart </w:t>
            </w:r>
            <w:r>
              <w:rPr>
                <w:rFonts w:ascii="Consolas" w:hAnsi="Consolas" w:eastAsia="Consolas"/>
                <w:b w:val="0"/>
                <w:i w:val="0"/>
                <w:sz w:val="20"/>
              </w:rPr>
              <w:t>03_06</w:t>
            </w:r>
            <w:r>
              <w:rPr>
                <w:rFonts w:ascii="Calibri" w:hAnsi="Calibri" w:eastAsia="Calibri"/>
                <w:b w:val="0"/>
                <w:i w:val="0"/>
                <w:sz w:val="18"/>
              </w:rPr>
              <w:t>.</w:t>
            </w:r>
          </w:p>
        </w:tc>
      </w:tr>
      <w:tr>
        <w:tc>
          <w:tcPr>
            <w:tcW w:type="dxa" w:w="2353"/>
          </w:tcPr>
          <w:p>
            <w:pPr>
              <w:spacing w:after="40" w:before="40"/>
            </w:pPr>
            <w:r/>
            <w:r>
              <w:rPr>
                <w:rFonts w:ascii="Calibri" w:hAnsi="Calibri" w:eastAsia="Calibri"/>
                <w:b w:val="0"/>
                <w:i w:val="0"/>
                <w:sz w:val="18"/>
              </w:rPr>
              <w:t>2.3 Split before fitting; test reserved</w:t>
            </w:r>
          </w:p>
        </w:tc>
        <w:tc>
          <w:tcPr>
            <w:tcW w:type="dxa" w:w="2353"/>
          </w:tcPr>
          <w:p>
            <w:pPr>
              <w:spacing w:after="40" w:before="40"/>
            </w:pPr>
            <w:r/>
            <w:r>
              <w:rPr>
                <w:rFonts w:ascii="Calibri" w:hAnsi="Calibri" w:eastAsia="Calibri"/>
                <w:b w:val="0"/>
                <w:i w:val="0"/>
                <w:sz w:val="18"/>
              </w:rPr>
              <w:t>3</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Chronological split. Encoders and the scaler are fit on the training period. The champion search does not read the locked test.</w:t>
            </w:r>
          </w:p>
        </w:tc>
      </w:tr>
      <w:tr>
        <w:tc>
          <w:tcPr>
            <w:tcW w:type="dxa" w:w="2353"/>
          </w:tcPr>
          <w:p>
            <w:pPr>
              <w:spacing w:after="40" w:before="40"/>
            </w:pPr>
            <w:r/>
            <w:r>
              <w:rPr>
                <w:rFonts w:ascii="Calibri" w:hAnsi="Calibri" w:eastAsia="Calibri"/>
                <w:b w:val="0"/>
                <w:i w:val="0"/>
                <w:sz w:val="18"/>
              </w:rPr>
              <w:t>2.4 Leakage-safe pipeline, including imbalance treatment</w:t>
            </w:r>
          </w:p>
        </w:tc>
        <w:tc>
          <w:tcPr>
            <w:tcW w:type="dxa" w:w="2353"/>
          </w:tcPr>
          <w:p>
            <w:pPr>
              <w:spacing w:after="40" w:before="40"/>
            </w:pPr>
            <w:r/>
            <w:r>
              <w:rPr>
                <w:rFonts w:ascii="Calibri" w:hAnsi="Calibri" w:eastAsia="Calibri"/>
                <w:b w:val="0"/>
                <w:i w:val="0"/>
                <w:sz w:val="18"/>
              </w:rPr>
              <w:t>5</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onsolas" w:hAnsi="Consolas" w:eastAsia="Consolas"/>
                <w:b w:val="0"/>
                <w:i w:val="0"/>
                <w:sz w:val="20"/>
              </w:rPr>
              <w:t>src/preprocessing.py</w:t>
            </w:r>
            <w:r>
              <w:rPr>
                <w:rFonts w:ascii="Calibri" w:hAnsi="Calibri" w:eastAsia="Calibri"/>
                <w:b w:val="0"/>
                <w:i w:val="0"/>
                <w:sz w:val="18"/>
              </w:rPr>
              <w:t xml:space="preserve"> and the frozen pipeline. Class weights are the imbalance treatment. SMOTE is not used.</w:t>
            </w:r>
          </w:p>
        </w:tc>
      </w:tr>
      <w:tr>
        <w:tc>
          <w:tcPr>
            <w:tcW w:type="dxa" w:w="2353"/>
          </w:tcPr>
          <w:p>
            <w:pPr>
              <w:spacing w:after="40" w:before="40"/>
            </w:pPr>
            <w:r/>
            <w:r>
              <w:rPr>
                <w:rFonts w:ascii="Calibri" w:hAnsi="Calibri" w:eastAsia="Calibri"/>
                <w:b w:val="0"/>
                <w:i w:val="0"/>
                <w:sz w:val="18"/>
              </w:rPr>
              <w:t>3.1 Naïve baseline</w:t>
            </w:r>
          </w:p>
        </w:tc>
        <w:tc>
          <w:tcPr>
            <w:tcW w:type="dxa" w:w="2353"/>
          </w:tcPr>
          <w:p>
            <w:pPr>
              <w:spacing w:after="40" w:before="40"/>
            </w:pPr>
            <w:r/>
            <w:r>
              <w:rPr>
                <w:rFonts w:ascii="Calibri" w:hAnsi="Calibri" w:eastAsia="Calibri"/>
                <w:b w:val="0"/>
                <w:i w:val="0"/>
                <w:sz w:val="18"/>
              </w:rPr>
              <w:t>2</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Most-frequent dummy. Validation macro-F1 0.273.</w:t>
            </w:r>
          </w:p>
        </w:tc>
      </w:tr>
      <w:tr>
        <w:tc>
          <w:tcPr>
            <w:tcW w:type="dxa" w:w="2353"/>
          </w:tcPr>
          <w:p>
            <w:pPr>
              <w:spacing w:after="40" w:before="40"/>
            </w:pPr>
            <w:r/>
            <w:r>
              <w:rPr>
                <w:rFonts w:ascii="Calibri" w:hAnsi="Calibri" w:eastAsia="Calibri"/>
                <w:b w:val="0"/>
                <w:i w:val="0"/>
                <w:sz w:val="18"/>
              </w:rPr>
              <w:t>3.2–3.3 Four substantive models: two traditional and two neural</w:t>
            </w:r>
          </w:p>
        </w:tc>
        <w:tc>
          <w:tcPr>
            <w:tcW w:type="dxa" w:w="2353"/>
          </w:tcPr>
          <w:p>
            <w:pPr>
              <w:spacing w:after="40" w:before="40"/>
            </w:pPr>
            <w:r/>
            <w:r>
              <w:rPr>
                <w:rFonts w:ascii="Calibri" w:hAnsi="Calibri" w:eastAsia="Calibri"/>
                <w:b w:val="0"/>
                <w:i w:val="0"/>
                <w:sz w:val="18"/>
              </w:rPr>
              <w:t>13</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Logistic regression and histogram gradient boosting. Multilayer perceptron and the lecturer-approved embedding network. The naïve baseline is extra.</w:t>
            </w:r>
          </w:p>
        </w:tc>
      </w:tr>
      <w:tr>
        <w:tc>
          <w:tcPr>
            <w:tcW w:type="dxa" w:w="2353"/>
          </w:tcPr>
          <w:p>
            <w:pPr>
              <w:spacing w:after="40" w:before="40"/>
            </w:pPr>
            <w:r/>
            <w:r>
              <w:rPr>
                <w:rFonts w:ascii="Calibri" w:hAnsi="Calibri" w:eastAsia="Calibri"/>
                <w:b w:val="0"/>
                <w:i w:val="0"/>
                <w:sz w:val="18"/>
              </w:rPr>
              <w:t>3.4 Training detail and seeds</w:t>
            </w:r>
          </w:p>
        </w:tc>
        <w:tc>
          <w:tcPr>
            <w:tcW w:type="dxa" w:w="2353"/>
          </w:tcPr>
          <w:p>
            <w:pPr>
              <w:spacing w:after="40" w:before="40"/>
            </w:pPr>
            <w:r/>
            <w:r>
              <w:rPr>
                <w:rFonts w:ascii="Calibri" w:hAnsi="Calibri" w:eastAsia="Calibri"/>
                <w:b w:val="0"/>
                <w:i w:val="0"/>
                <w:sz w:val="18"/>
              </w:rPr>
              <w:t>5</w:t>
            </w:r>
          </w:p>
        </w:tc>
        <w:tc>
          <w:tcPr>
            <w:tcW w:type="dxa" w:w="2353"/>
          </w:tcPr>
          <w:p>
            <w:pPr>
              <w:spacing w:after="40" w:before="40"/>
            </w:pPr>
            <w:r/>
            <w:r>
              <w:rPr>
                <w:rFonts w:ascii="Calibri" w:hAnsi="Calibri" w:eastAsia="Calibri"/>
                <w:b w:val="0"/>
                <w:i w:val="0"/>
                <w:sz w:val="18"/>
              </w:rPr>
              <w:t>Partial</w:t>
            </w:r>
          </w:p>
        </w:tc>
        <w:tc>
          <w:tcPr>
            <w:tcW w:type="dxa" w:w="2353"/>
          </w:tcPr>
          <w:p>
            <w:pPr>
              <w:spacing w:after="40" w:before="40"/>
            </w:pPr>
            <w:r/>
            <w:r>
              <w:rPr>
                <w:rFonts w:ascii="Calibri" w:hAnsi="Calibri" w:eastAsia="Calibri"/>
                <w:b w:val="0"/>
                <w:i w:val="0"/>
                <w:sz w:val="18"/>
              </w:rPr>
              <w:t>Architecture, loss, optimiser, epochs, batch size, regularisation, early stopping, and seed 42 are recorded. A compute-environment description is not in the report.</w:t>
            </w:r>
          </w:p>
        </w:tc>
      </w:tr>
      <w:tr>
        <w:tc>
          <w:tcPr>
            <w:tcW w:type="dxa" w:w="2353"/>
          </w:tcPr>
          <w:p>
            <w:pPr>
              <w:spacing w:after="40" w:before="40"/>
            </w:pPr>
            <w:r/>
            <w:r>
              <w:rPr>
                <w:rFonts w:ascii="Calibri" w:hAnsi="Calibri" w:eastAsia="Calibri"/>
                <w:b w:val="0"/>
                <w:i w:val="0"/>
                <w:sz w:val="18"/>
              </w:rPr>
              <w:t>3.5 Rationale for each family</w:t>
            </w:r>
          </w:p>
        </w:tc>
        <w:tc>
          <w:tcPr>
            <w:tcW w:type="dxa" w:w="2353"/>
          </w:tcPr>
          <w:p>
            <w:pPr>
              <w:spacing w:after="40" w:before="40"/>
            </w:pPr>
            <w:r/>
            <w:r>
              <w:rPr>
                <w:rFonts w:ascii="Calibri" w:hAnsi="Calibri" w:eastAsia="Calibri"/>
                <w:b w:val="0"/>
                <w:i w:val="0"/>
                <w:sz w:val="18"/>
              </w:rPr>
              <w:t>2</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Report sections 6 and 7.</w:t>
            </w:r>
          </w:p>
        </w:tc>
      </w:tr>
      <w:tr>
        <w:tc>
          <w:tcPr>
            <w:tcW w:type="dxa" w:w="2353"/>
          </w:tcPr>
          <w:p>
            <w:pPr>
              <w:spacing w:after="40" w:before="40"/>
            </w:pPr>
            <w:r/>
            <w:r>
              <w:rPr>
                <w:rFonts w:ascii="Calibri" w:hAnsi="Calibri" w:eastAsia="Calibri"/>
                <w:b w:val="0"/>
                <w:i w:val="0"/>
                <w:sz w:val="18"/>
              </w:rPr>
              <w:t>4.1 Same held-out metrics, including PR-AUC</w:t>
            </w:r>
          </w:p>
        </w:tc>
        <w:tc>
          <w:tcPr>
            <w:tcW w:type="dxa" w:w="2353"/>
          </w:tcPr>
          <w:p>
            <w:pPr>
              <w:spacing w:after="40" w:before="40"/>
            </w:pPr>
            <w:r/>
            <w:r>
              <w:rPr>
                <w:rFonts w:ascii="Calibri" w:hAnsi="Calibri" w:eastAsia="Calibri"/>
                <w:b w:val="0"/>
                <w:i w:val="0"/>
                <w:sz w:val="18"/>
              </w:rPr>
              <w:t>4</w:t>
            </w:r>
          </w:p>
        </w:tc>
        <w:tc>
          <w:tcPr>
            <w:tcW w:type="dxa" w:w="2353"/>
          </w:tcPr>
          <w:p>
            <w:pPr>
              <w:spacing w:after="40" w:before="40"/>
            </w:pPr>
            <w:r/>
            <w:r>
              <w:rPr>
                <w:rFonts w:ascii="Calibri" w:hAnsi="Calibri" w:eastAsia="Calibri"/>
                <w:b w:val="0"/>
                <w:i w:val="0"/>
                <w:sz w:val="18"/>
              </w:rPr>
              <w:t>Partial</w:t>
            </w:r>
          </w:p>
        </w:tc>
        <w:tc>
          <w:tcPr>
            <w:tcW w:type="dxa" w:w="2353"/>
          </w:tcPr>
          <w:p>
            <w:pPr>
              <w:spacing w:after="40" w:before="40"/>
            </w:pPr>
            <w:r/>
            <w:r>
              <w:rPr>
                <w:rFonts w:ascii="Calibri" w:hAnsi="Calibri" w:eastAsia="Calibri"/>
                <w:b w:val="0"/>
                <w:i w:val="0"/>
                <w:sz w:val="18"/>
              </w:rPr>
              <w:t xml:space="preserve">Validation accuracy, macro-F1, weighted-F1, recall, ROC-AUC, and PR-AUC are in </w:t>
            </w:r>
            <w:r>
              <w:rPr>
                <w:rFonts w:ascii="Consolas" w:hAnsi="Consolas" w:eastAsia="Consolas"/>
                <w:b w:val="0"/>
                <w:i w:val="0"/>
                <w:sz w:val="20"/>
              </w:rPr>
              <w:t>results/tables/05_split_metrics.csv</w:t>
            </w:r>
            <w:r>
              <w:rPr>
                <w:rFonts w:ascii="Calibri" w:hAnsi="Calibri" w:eastAsia="Calibri"/>
                <w:b w:val="0"/>
                <w:i w:val="0"/>
                <w:sz w:val="18"/>
              </w:rPr>
              <w:t xml:space="preserve"> for all four substantive models. The section 8 table now includes the embedding network. Precision for every class is in </w:t>
            </w:r>
            <w:r>
              <w:rPr>
                <w:rFonts w:ascii="Consolas" w:hAnsi="Consolas" w:eastAsia="Consolas"/>
                <w:b w:val="0"/>
                <w:i w:val="0"/>
                <w:sz w:val="20"/>
              </w:rPr>
              <w:t>results/tables/05_per_class.csv</w:t>
            </w:r>
            <w:r>
              <w:rPr>
                <w:rFonts w:ascii="Calibri" w:hAnsi="Calibri" w:eastAsia="Calibri"/>
                <w:b w:val="0"/>
                <w:i w:val="0"/>
                <w:sz w:val="18"/>
              </w:rPr>
              <w:t>, not repeated as a classification report in the narrative.</w:t>
            </w:r>
          </w:p>
        </w:tc>
      </w:tr>
      <w:tr>
        <w:tc>
          <w:tcPr>
            <w:tcW w:type="dxa" w:w="2353"/>
          </w:tcPr>
          <w:p>
            <w:pPr>
              <w:spacing w:after="40" w:before="40"/>
            </w:pPr>
            <w:r/>
            <w:r>
              <w:rPr>
                <w:rFonts w:ascii="Calibri" w:hAnsi="Calibri" w:eastAsia="Calibri"/>
                <w:b w:val="0"/>
                <w:i w:val="0"/>
                <w:sz w:val="18"/>
              </w:rPr>
              <w:t>4.2 Classification report, confusion matrix, one common ROC figure</w:t>
            </w:r>
          </w:p>
        </w:tc>
        <w:tc>
          <w:tcPr>
            <w:tcW w:type="dxa" w:w="2353"/>
          </w:tcPr>
          <w:p>
            <w:pPr>
              <w:spacing w:after="40" w:before="40"/>
            </w:pPr>
            <w:r/>
            <w:r>
              <w:rPr>
                <w:rFonts w:ascii="Calibri" w:hAnsi="Calibri" w:eastAsia="Calibri"/>
                <w:b w:val="0"/>
                <w:i w:val="0"/>
                <w:sz w:val="18"/>
              </w:rPr>
              <w:t>5</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 xml:space="preserve">Validation confusion matrices exist for all four substantive models under </w:t>
            </w:r>
            <w:r>
              <w:rPr>
                <w:rFonts w:ascii="Consolas" w:hAnsi="Consolas" w:eastAsia="Consolas"/>
                <w:b w:val="0"/>
                <w:i w:val="0"/>
                <w:sz w:val="20"/>
              </w:rPr>
              <w:t>results/figures/05_confusion_*_validation.png</w:t>
            </w:r>
            <w:r>
              <w:rPr>
                <w:rFonts w:ascii="Calibri" w:hAnsi="Calibri" w:eastAsia="Calibri"/>
                <w:b w:val="0"/>
                <w:i w:val="0"/>
                <w:sz w:val="18"/>
              </w:rPr>
              <w:t xml:space="preserve">. Per-class precision, recall, F1, and support are in </w:t>
            </w:r>
            <w:r>
              <w:rPr>
                <w:rFonts w:ascii="Consolas" w:hAnsi="Consolas" w:eastAsia="Consolas"/>
                <w:b w:val="0"/>
                <w:i w:val="0"/>
                <w:sz w:val="20"/>
              </w:rPr>
              <w:t>results/tables/05_per_class.csv</w:t>
            </w:r>
            <w:r>
              <w:rPr>
                <w:rFonts w:ascii="Calibri" w:hAnsi="Calibri" w:eastAsia="Calibri"/>
                <w:b w:val="0"/>
                <w:i w:val="0"/>
                <w:sz w:val="18"/>
              </w:rPr>
              <w:t xml:space="preserve">. The common locked-test figure is </w:t>
            </w:r>
            <w:r>
              <w:rPr>
                <w:rFonts w:ascii="Consolas" w:hAnsi="Consolas" w:eastAsia="Consolas"/>
                <w:b w:val="0"/>
                <w:i w:val="0"/>
                <w:sz w:val="20"/>
              </w:rPr>
              <w:t>results/figures/13_roc_all_models_locked_test.png</w:t>
            </w:r>
            <w:r>
              <w:rPr>
                <w:rFonts w:ascii="Calibri" w:hAnsi="Calibri" w:eastAsia="Calibri"/>
                <w:b w:val="0"/>
                <w:i w:val="0"/>
                <w:sz w:val="18"/>
              </w:rPr>
              <w:t xml:space="preserve">. It has one macro one-versus-rest curve for the dummy, logistic regression, histogram gradient boosting, the multilayer perceptron, and the embedding network. Class AUCs, macro AUC, and micro AUC are in </w:t>
            </w:r>
            <w:r>
              <w:rPr>
                <w:rFonts w:ascii="Consolas" w:hAnsi="Consolas" w:eastAsia="Consolas"/>
                <w:b w:val="0"/>
                <w:i w:val="0"/>
                <w:sz w:val="20"/>
              </w:rPr>
              <w:t>results/tables/13_roc_all_models_locked_test.csv</w:t>
            </w:r>
            <w:r>
              <w:rPr>
                <w:rFonts w:ascii="Calibri" w:hAnsi="Calibri" w:eastAsia="Calibri"/>
                <w:b w:val="0"/>
                <w:i w:val="0"/>
                <w:sz w:val="18"/>
              </w:rPr>
              <w:t xml:space="preserve">. No curve was skipped. The champion-only class curves remain in </w:t>
            </w:r>
            <w:r>
              <w:rPr>
                <w:rFonts w:ascii="Consolas" w:hAnsi="Consolas" w:eastAsia="Consolas"/>
                <w:b w:val="0"/>
                <w:i w:val="0"/>
                <w:sz w:val="20"/>
              </w:rPr>
              <w:t>results/figures/09_roc_per_class_locked_test.png</w:t>
            </w:r>
            <w:r>
              <w:rPr>
                <w:rFonts w:ascii="Calibri" w:hAnsi="Calibri" w:eastAsia="Calibri"/>
                <w:b w:val="0"/>
                <w:i w:val="0"/>
                <w:sz w:val="18"/>
              </w:rPr>
              <w:t>.</w:t>
            </w:r>
          </w:p>
        </w:tc>
      </w:tr>
      <w:tr>
        <w:tc>
          <w:tcPr>
            <w:tcW w:type="dxa" w:w="2353"/>
          </w:tcPr>
          <w:p>
            <w:pPr>
              <w:spacing w:after="40" w:before="40"/>
            </w:pPr>
            <w:r/>
            <w:r>
              <w:rPr>
                <w:rFonts w:ascii="Calibri" w:hAnsi="Calibri" w:eastAsia="Calibri"/>
                <w:b w:val="0"/>
                <w:i w:val="0"/>
                <w:sz w:val="18"/>
              </w:rPr>
              <w:t>4.3 Comparison table, bar chart, variability, validation champion</w:t>
            </w:r>
          </w:p>
        </w:tc>
        <w:tc>
          <w:tcPr>
            <w:tcW w:type="dxa" w:w="2353"/>
          </w:tcPr>
          <w:p>
            <w:pPr>
              <w:spacing w:after="40" w:before="40"/>
            </w:pPr>
            <w:r/>
            <w:r>
              <w:rPr>
                <w:rFonts w:ascii="Calibri" w:hAnsi="Calibri" w:eastAsia="Calibri"/>
                <w:b w:val="0"/>
                <w:i w:val="0"/>
                <w:sz w:val="18"/>
              </w:rPr>
              <w:t>3</w:t>
            </w:r>
          </w:p>
        </w:tc>
        <w:tc>
          <w:tcPr>
            <w:tcW w:type="dxa" w:w="2353"/>
          </w:tcPr>
          <w:p>
            <w:pPr>
              <w:spacing w:after="40" w:before="40"/>
            </w:pPr>
            <w:r/>
            <w:r>
              <w:rPr>
                <w:rFonts w:ascii="Calibri" w:hAnsi="Calibri" w:eastAsia="Calibri"/>
                <w:b w:val="0"/>
                <w:i w:val="0"/>
                <w:sz w:val="18"/>
              </w:rPr>
              <w:t>Partial</w:t>
            </w:r>
          </w:p>
        </w:tc>
        <w:tc>
          <w:tcPr>
            <w:tcW w:type="dxa" w:w="2353"/>
          </w:tcPr>
          <w:p>
            <w:pPr>
              <w:spacing w:after="40" w:before="40"/>
            </w:pPr>
            <w:r/>
            <w:r>
              <w:rPr>
                <w:rFonts w:ascii="Consolas" w:hAnsi="Consolas" w:eastAsia="Consolas"/>
                <w:b w:val="0"/>
                <w:i w:val="0"/>
                <w:sz w:val="20"/>
              </w:rPr>
              <w:t>results/figures/05_validation_comparison.png</w:t>
            </w:r>
            <w:r>
              <w:rPr>
                <w:rFonts w:ascii="Calibri" w:hAnsi="Calibri" w:eastAsia="Calibri"/>
                <w:b w:val="0"/>
                <w:i w:val="0"/>
                <w:sz w:val="18"/>
              </w:rPr>
              <w:t xml:space="preserve"> and the validation table. The champion is chosen on validation macro-F1. Random cross-validation means are not shown. The chronological design is the reason. Fold means exist for the champion search only.</w:t>
            </w:r>
          </w:p>
        </w:tc>
      </w:tr>
      <w:tr>
        <w:tc>
          <w:tcPr>
            <w:tcW w:type="dxa" w:w="2353"/>
          </w:tcPr>
          <w:p>
            <w:pPr>
              <w:spacing w:after="40" w:before="40"/>
            </w:pPr>
            <w:r/>
            <w:r>
              <w:rPr>
                <w:rFonts w:ascii="Calibri" w:hAnsi="Calibri" w:eastAsia="Calibri"/>
                <w:b w:val="0"/>
                <w:i w:val="0"/>
                <w:sz w:val="18"/>
              </w:rPr>
              <w:t>4.4 Overfitting and neural curves</w:t>
            </w:r>
          </w:p>
        </w:tc>
        <w:tc>
          <w:tcPr>
            <w:tcW w:type="dxa" w:w="2353"/>
          </w:tcPr>
          <w:p>
            <w:pPr>
              <w:spacing w:after="40" w:before="40"/>
            </w:pPr>
            <w:r/>
            <w:r>
              <w:rPr>
                <w:rFonts w:ascii="Calibri" w:hAnsi="Calibri" w:eastAsia="Calibri"/>
                <w:b w:val="0"/>
                <w:i w:val="0"/>
                <w:sz w:val="18"/>
              </w:rPr>
              <w:t>4</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Train-versus-validation gaps are in the report. MLP and embedding loss and macro-F1 curves exist. The boosting validation curve exists.</w:t>
            </w:r>
          </w:p>
        </w:tc>
      </w:tr>
      <w:tr>
        <w:tc>
          <w:tcPr>
            <w:tcW w:type="dxa" w:w="2353"/>
          </w:tcPr>
          <w:p>
            <w:pPr>
              <w:spacing w:after="40" w:before="40"/>
            </w:pPr>
            <w:r/>
            <w:r>
              <w:rPr>
                <w:rFonts w:ascii="Calibri" w:hAnsi="Calibri" w:eastAsia="Calibri"/>
                <w:b w:val="0"/>
                <w:i w:val="0"/>
                <w:sz w:val="18"/>
              </w:rPr>
              <w:t>5.1–5.3 Optimise only the strongest validation model; one test score</w:t>
            </w:r>
          </w:p>
        </w:tc>
        <w:tc>
          <w:tcPr>
            <w:tcW w:type="dxa" w:w="2353"/>
          </w:tcPr>
          <w:p>
            <w:pPr>
              <w:spacing w:after="40" w:before="40"/>
            </w:pPr>
            <w:r/>
            <w:r>
              <w:rPr>
                <w:rFonts w:ascii="Calibri" w:hAnsi="Calibri" w:eastAsia="Calibri"/>
                <w:b w:val="0"/>
                <w:i w:val="0"/>
                <w:sz w:val="18"/>
              </w:rPr>
              <w:t>10</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Eight random trials, seed 42, inside 2023–2024. The tuned refit lost on 2025 validation macro-F1 (0.470 against 0.477), so the locked pipeline is the untuned 12-iteration booster. Its one locked-test macro-F1 is 0.494.</w:t>
            </w:r>
          </w:p>
        </w:tc>
      </w:tr>
      <w:tr>
        <w:tc>
          <w:tcPr>
            <w:tcW w:type="dxa" w:w="2353"/>
          </w:tcPr>
          <w:p>
            <w:pPr>
              <w:spacing w:after="40" w:before="40"/>
            </w:pPr>
            <w:r/>
            <w:r>
              <w:rPr>
                <w:rFonts w:ascii="Calibri" w:hAnsi="Calibri" w:eastAsia="Calibri"/>
                <w:b w:val="0"/>
                <w:i w:val="0"/>
                <w:sz w:val="18"/>
              </w:rPr>
              <w:t>6.1 At least three one-change ablations</w:t>
            </w:r>
          </w:p>
        </w:tc>
        <w:tc>
          <w:tcPr>
            <w:tcW w:type="dxa" w:w="2353"/>
          </w:tcPr>
          <w:p>
            <w:pPr>
              <w:spacing w:after="40" w:before="40"/>
            </w:pPr>
            <w:r/>
            <w:r>
              <w:rPr>
                <w:rFonts w:ascii="Calibri" w:hAnsi="Calibri" w:eastAsia="Calibri"/>
                <w:b w:val="0"/>
                <w:i w:val="0"/>
                <w:sz w:val="18"/>
              </w:rPr>
              <w:t>5</w:t>
            </w:r>
          </w:p>
        </w:tc>
        <w:tc>
          <w:tcPr>
            <w:tcW w:type="dxa" w:w="2353"/>
          </w:tcPr>
          <w:p>
            <w:pPr>
              <w:spacing w:after="40" w:before="40"/>
            </w:pPr>
            <w:r/>
            <w:r>
              <w:rPr>
                <w:rFonts w:ascii="Calibri" w:hAnsi="Calibri" w:eastAsia="Calibri"/>
                <w:b w:val="0"/>
                <w:i w:val="0"/>
                <w:sz w:val="18"/>
              </w:rPr>
              <w:t>Met with a caveat</w:t>
            </w:r>
          </w:p>
        </w:tc>
        <w:tc>
          <w:tcPr>
            <w:tcW w:type="dxa" w:w="2353"/>
          </w:tcPr>
          <w:p>
            <w:pPr>
              <w:spacing w:after="40" w:before="40"/>
            </w:pPr>
            <w:r/>
            <w:r>
              <w:rPr>
                <w:rFonts w:ascii="Calibri" w:hAnsi="Calibri" w:eastAsia="Calibri"/>
                <w:b w:val="0"/>
                <w:i w:val="0"/>
                <w:sz w:val="18"/>
              </w:rPr>
              <w:t>Geographic features removed, and class weights turned off, are real validation refits. The Phase 6 work-centre row did not fit a second model. A later validation fit did add work centre and did not replace the champion. That later fit is the third change. It is not leakage-safe, because the extract has no assignment time.</w:t>
            </w:r>
          </w:p>
        </w:tc>
      </w:tr>
      <w:tr>
        <w:tc>
          <w:tcPr>
            <w:tcW w:type="dxa" w:w="2353"/>
          </w:tcPr>
          <w:p>
            <w:pPr>
              <w:spacing w:after="40" w:before="40"/>
            </w:pPr>
            <w:r/>
            <w:r>
              <w:rPr>
                <w:rFonts w:ascii="Calibri" w:hAnsi="Calibri" w:eastAsia="Calibri"/>
                <w:b w:val="0"/>
                <w:i w:val="0"/>
                <w:sz w:val="18"/>
              </w:rPr>
              <w:t>6.2 McNemar against the strongest comparator on the same test cases</w:t>
            </w:r>
          </w:p>
        </w:tc>
        <w:tc>
          <w:tcPr>
            <w:tcW w:type="dxa" w:w="2353"/>
          </w:tcPr>
          <w:p>
            <w:pPr>
              <w:spacing w:after="40" w:before="40"/>
            </w:pPr>
            <w:r/>
            <w:r>
              <w:rPr>
                <w:rFonts w:ascii="Calibri" w:hAnsi="Calibri" w:eastAsia="Calibri"/>
                <w:b w:val="0"/>
                <w:i w:val="0"/>
                <w:sz w:val="18"/>
              </w:rPr>
              <w:t>5</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 xml:space="preserve">The Question 6.2 comparator is the embedding network, validation macro-F1 0.480687, above the perceptron at 0.476466 and below histogram gradient boosting at 0.481660. On the same 422,033 locked-test rows: 229,320 both correct, 23,738 champion only, 18,625 embedding only, 150,350 both wrong. Statistic 616.8719. p-value 3.582e-136. Alpha 0.05. The record is </w:t>
            </w:r>
            <w:r>
              <w:rPr>
                <w:rFonts w:ascii="Consolas" w:hAnsi="Consolas" w:eastAsia="Consolas"/>
                <w:b w:val="0"/>
                <w:i w:val="0"/>
                <w:sz w:val="20"/>
              </w:rPr>
              <w:t>results/tables/13_question62_record.json</w:t>
            </w:r>
            <w:r>
              <w:rPr>
                <w:rFonts w:ascii="Calibri" w:hAnsi="Calibri" w:eastAsia="Calibri"/>
                <w:b w:val="0"/>
                <w:i w:val="0"/>
                <w:sz w:val="18"/>
              </w:rPr>
              <w:t xml:space="preserve">. The champion was not changed. The perceptron comparison, statistic 160.6875, remains in </w:t>
            </w:r>
            <w:r>
              <w:rPr>
                <w:rFonts w:ascii="Consolas" w:hAnsi="Consolas" w:eastAsia="Consolas"/>
                <w:b w:val="0"/>
                <w:i w:val="0"/>
                <w:sz w:val="20"/>
              </w:rPr>
              <w:t>results/tables/07_mcnemar_test.csv</w:t>
            </w:r>
            <w:r>
              <w:rPr>
                <w:rFonts w:ascii="Calibri" w:hAnsi="Calibri" w:eastAsia="Calibri"/>
                <w:b w:val="0"/>
                <w:i w:val="0"/>
                <w:sz w:val="18"/>
              </w:rPr>
              <w:t xml:space="preserve"> as a historical result.</w:t>
            </w:r>
          </w:p>
        </w:tc>
      </w:tr>
      <w:tr>
        <w:tc>
          <w:tcPr>
            <w:tcW w:type="dxa" w:w="2353"/>
          </w:tcPr>
          <w:p>
            <w:pPr>
              <w:spacing w:after="40" w:before="40"/>
            </w:pPr>
            <w:r/>
            <w:r>
              <w:rPr>
                <w:rFonts w:ascii="Calibri" w:hAnsi="Calibri" w:eastAsia="Calibri"/>
                <w:b w:val="0"/>
                <w:i w:val="0"/>
                <w:sz w:val="18"/>
              </w:rPr>
              <w:t>7.1–7.4 Interface</w:t>
            </w:r>
          </w:p>
        </w:tc>
        <w:tc>
          <w:tcPr>
            <w:tcW w:type="dxa" w:w="2353"/>
          </w:tcPr>
          <w:p>
            <w:pPr>
              <w:spacing w:after="40" w:before="40"/>
            </w:pPr>
            <w:r/>
            <w:r>
              <w:rPr>
                <w:rFonts w:ascii="Calibri" w:hAnsi="Calibri" w:eastAsia="Calibri"/>
                <w:b w:val="0"/>
                <w:i w:val="0"/>
                <w:sz w:val="18"/>
              </w:rPr>
              <w:t>7</w:t>
            </w:r>
          </w:p>
        </w:tc>
        <w:tc>
          <w:tcPr>
            <w:tcW w:type="dxa" w:w="2353"/>
          </w:tcPr>
          <w:p>
            <w:pPr>
              <w:spacing w:after="40" w:before="40"/>
            </w:pPr>
            <w:r/>
            <w:r>
              <w:rPr>
                <w:rFonts w:ascii="Calibri" w:hAnsi="Calibri" w:eastAsia="Calibri"/>
                <w:b w:val="0"/>
                <w:i w:val="0"/>
                <w:sz w:val="18"/>
              </w:rPr>
              <w:t>Met locally</w:t>
            </w:r>
          </w:p>
        </w:tc>
        <w:tc>
          <w:tcPr>
            <w:tcW w:type="dxa" w:w="2353"/>
          </w:tcPr>
          <w:p>
            <w:pPr>
              <w:spacing w:after="40" w:before="40"/>
            </w:pPr>
            <w:r/>
            <w:r>
              <w:rPr>
                <w:rFonts w:ascii="Consolas" w:hAnsi="Consolas" w:eastAsia="Consolas"/>
                <w:b w:val="0"/>
                <w:i w:val="0"/>
                <w:sz w:val="20"/>
              </w:rPr>
              <w:t>streamlit run app/app.py</w:t>
            </w:r>
            <w:r>
              <w:rPr>
                <w:rFonts w:ascii="Calibri" w:hAnsi="Calibri" w:eastAsia="Calibri"/>
                <w:b w:val="0"/>
                <w:i w:val="0"/>
                <w:sz w:val="18"/>
              </w:rPr>
              <w:t xml:space="preserve"> loads </w:t>
            </w:r>
            <w:r>
              <w:rPr>
                <w:rFonts w:ascii="Consolas" w:hAnsi="Consolas" w:eastAsia="Consolas"/>
                <w:b w:val="0"/>
                <w:i w:val="0"/>
                <w:sz w:val="20"/>
              </w:rPr>
              <w:t>models/frozen_resolution_pipeline.joblib</w:t>
            </w:r>
            <w:r>
              <w:rPr>
                <w:rFonts w:ascii="Calibri" w:hAnsi="Calibri" w:eastAsia="Calibri"/>
                <w:b w:val="0"/>
                <w:i w:val="0"/>
                <w:sz w:val="18"/>
              </w:rPr>
              <w:t xml:space="preserve">. The form shows the class, probabilities, and a plain-language meaning. Invalid input is rejected. </w:t>
            </w:r>
            <w:r>
              <w:rPr>
                <w:rFonts w:ascii="Consolas" w:hAnsi="Consolas" w:eastAsia="Consolas"/>
                <w:b w:val="0"/>
                <w:i w:val="0"/>
                <w:sz w:val="20"/>
              </w:rPr>
              <w:t>reports/demonstration_checklist.md</w:t>
            </w:r>
            <w:r>
              <w:rPr>
                <w:rFonts w:ascii="Calibri" w:hAnsi="Calibri" w:eastAsia="Calibri"/>
                <w:b w:val="0"/>
                <w:i w:val="0"/>
                <w:sz w:val="18"/>
              </w:rPr>
              <w:t xml:space="preserve"> has more than three scored cases and invalid cases. Screenshots are in </w:t>
            </w:r>
            <w:r>
              <w:rPr>
                <w:rFonts w:ascii="Consolas" w:hAnsi="Consolas" w:eastAsia="Consolas"/>
                <w:b w:val="0"/>
                <w:i w:val="0"/>
                <w:sz w:val="20"/>
              </w:rPr>
              <w:t>evidence/screenshots/</w:t>
            </w:r>
            <w:r>
              <w:rPr>
                <w:rFonts w:ascii="Calibri" w:hAnsi="Calibri" w:eastAsia="Calibri"/>
                <w:b w:val="0"/>
                <w:i w:val="0"/>
                <w:sz w:val="18"/>
              </w:rPr>
              <w:t>. There is no hosted demonstration link. The brief allows a local launch command instead.</w:t>
            </w:r>
          </w:p>
        </w:tc>
      </w:tr>
      <w:tr>
        <w:tc>
          <w:tcPr>
            <w:tcW w:type="dxa" w:w="2353"/>
          </w:tcPr>
          <w:p>
            <w:pPr>
              <w:spacing w:after="40" w:before="40"/>
            </w:pPr>
            <w:r/>
            <w:r>
              <w:rPr>
                <w:rFonts w:ascii="Calibri" w:hAnsi="Calibri" w:eastAsia="Calibri"/>
                <w:b w:val="0"/>
                <w:i w:val="0"/>
                <w:sz w:val="18"/>
              </w:rPr>
              <w:t>8.1 Recommendation, limits, fairness, when not to use the model</w:t>
            </w:r>
          </w:p>
        </w:tc>
        <w:tc>
          <w:tcPr>
            <w:tcW w:type="dxa" w:w="2353"/>
          </w:tcPr>
          <w:p>
            <w:pPr>
              <w:spacing w:after="40" w:before="40"/>
            </w:pPr>
            <w:r/>
            <w:r>
              <w:rPr>
                <w:rFonts w:ascii="Calibri" w:hAnsi="Calibri" w:eastAsia="Calibri"/>
                <w:b w:val="0"/>
                <w:i w:val="0"/>
                <w:sz w:val="18"/>
              </w:rPr>
              <w:t>2</w:t>
            </w:r>
          </w:p>
        </w:tc>
        <w:tc>
          <w:tcPr>
            <w:tcW w:type="dxa" w:w="2353"/>
          </w:tcPr>
          <w:p>
            <w:pPr>
              <w:spacing w:after="40" w:before="40"/>
            </w:pPr>
            <w:r/>
            <w:r>
              <w:rPr>
                <w:rFonts w:ascii="Calibri" w:hAnsi="Calibri" w:eastAsia="Calibri"/>
                <w:b w:val="0"/>
                <w:i w:val="0"/>
                <w:sz w:val="18"/>
              </w:rPr>
              <w:t>Met</w:t>
            </w:r>
          </w:p>
        </w:tc>
        <w:tc>
          <w:tcPr>
            <w:tcW w:type="dxa" w:w="2353"/>
          </w:tcPr>
          <w:p>
            <w:pPr>
              <w:spacing w:after="40" w:before="40"/>
            </w:pPr>
            <w:r/>
            <w:r>
              <w:rPr>
                <w:rFonts w:ascii="Calibri" w:hAnsi="Calibri" w:eastAsia="Calibri"/>
                <w:b w:val="0"/>
                <w:i w:val="0"/>
                <w:sz w:val="18"/>
              </w:rPr>
              <w:t>Report section 16. The suburb and ward audit is not claimed as a disparity finding.</w:t>
            </w:r>
          </w:p>
        </w:tc>
      </w:tr>
      <w:tr>
        <w:tc>
          <w:tcPr>
            <w:tcW w:type="dxa" w:w="2353"/>
          </w:tcPr>
          <w:p>
            <w:pPr>
              <w:spacing w:after="40" w:before="40"/>
            </w:pPr>
            <w:r/>
            <w:r>
              <w:rPr>
                <w:rFonts w:ascii="Calibri" w:hAnsi="Calibri" w:eastAsia="Calibri"/>
                <w:b w:val="0"/>
                <w:i w:val="0"/>
                <w:sz w:val="18"/>
              </w:rPr>
              <w:t>8.2 Repository package</w:t>
            </w:r>
          </w:p>
        </w:tc>
        <w:tc>
          <w:tcPr>
            <w:tcW w:type="dxa" w:w="2353"/>
          </w:tcPr>
          <w:p>
            <w:pPr>
              <w:spacing w:after="40" w:before="40"/>
            </w:pPr>
            <w:r/>
            <w:r>
              <w:rPr>
                <w:rFonts w:ascii="Calibri" w:hAnsi="Calibri" w:eastAsia="Calibri"/>
                <w:b w:val="0"/>
                <w:i w:val="0"/>
                <w:sz w:val="18"/>
              </w:rPr>
              <w:t>3</w:t>
            </w:r>
          </w:p>
        </w:tc>
        <w:tc>
          <w:tcPr>
            <w:tcW w:type="dxa" w:w="2353"/>
          </w:tcPr>
          <w:p>
            <w:pPr>
              <w:spacing w:after="40" w:before="40"/>
            </w:pPr>
            <w:r/>
            <w:r>
              <w:rPr>
                <w:rFonts w:ascii="Calibri" w:hAnsi="Calibri" w:eastAsia="Calibri"/>
                <w:b w:val="0"/>
                <w:i w:val="0"/>
                <w:sz w:val="18"/>
              </w:rPr>
              <w:t>Partial</w:t>
            </w:r>
          </w:p>
        </w:tc>
        <w:tc>
          <w:tcPr>
            <w:tcW w:type="dxa" w:w="2353"/>
          </w:tcPr>
          <w:p>
            <w:pPr>
              <w:spacing w:after="40" w:before="40"/>
            </w:pPr>
            <w:r/>
            <w:r>
              <w:rPr>
                <w:rFonts w:ascii="Calibri" w:hAnsi="Calibri" w:eastAsia="Calibri"/>
                <w:b w:val="0"/>
                <w:i w:val="0"/>
                <w:sz w:val="18"/>
              </w:rPr>
              <w:t xml:space="preserve">README, </w:t>
            </w:r>
            <w:r>
              <w:rPr>
                <w:rFonts w:ascii="Consolas" w:hAnsi="Consolas" w:eastAsia="Consolas"/>
                <w:b w:val="0"/>
                <w:i w:val="0"/>
                <w:sz w:val="20"/>
              </w:rPr>
              <w:t>requirements.txt</w:t>
            </w:r>
            <w:r>
              <w:rPr>
                <w:rFonts w:ascii="Calibri" w:hAnsi="Calibri" w:eastAsia="Calibri"/>
                <w:b w:val="0"/>
                <w:i w:val="0"/>
                <w:sz w:val="18"/>
              </w:rPr>
              <w:t>, seed 42, notebook order, source URL, data dictionary, saved pipeline, and interface code are present. The raw extract is not in git. The report now has a reference list and an AI-assistance disclosure based on the git history. A module-specific signed AI form was not in the brief or the repository.</w:t>
            </w:r>
          </w:p>
        </w:tc>
      </w:tr>
      <w:tr>
        <w:tc>
          <w:tcPr>
            <w:tcW w:type="dxa" w:w="2353"/>
          </w:tcPr>
          <w:p>
            <w:pPr>
              <w:spacing w:after="40" w:before="40"/>
            </w:pPr>
            <w:r/>
            <w:r>
              <w:rPr>
                <w:rFonts w:ascii="Calibri" w:hAnsi="Calibri" w:eastAsia="Calibri"/>
                <w:b w:val="0"/>
                <w:i w:val="0"/>
                <w:sz w:val="18"/>
              </w:rPr>
              <w:t>8.3 Presentation and signed contribution statement</w:t>
            </w:r>
          </w:p>
        </w:tc>
        <w:tc>
          <w:tcPr>
            <w:tcW w:type="dxa" w:w="2353"/>
          </w:tcPr>
          <w:p>
            <w:pPr>
              <w:spacing w:after="40" w:before="40"/>
            </w:pPr>
            <w:r/>
            <w:r>
              <w:rPr>
                <w:rFonts w:ascii="Calibri" w:hAnsi="Calibri" w:eastAsia="Calibri"/>
                <w:b w:val="0"/>
                <w:i w:val="0"/>
                <w:sz w:val="18"/>
              </w:rPr>
              <w:t>2</w:t>
            </w:r>
          </w:p>
        </w:tc>
        <w:tc>
          <w:tcPr>
            <w:tcW w:type="dxa" w:w="2353"/>
          </w:tcPr>
          <w:p>
            <w:pPr>
              <w:spacing w:after="40" w:before="40"/>
            </w:pPr>
            <w:r/>
            <w:r>
              <w:rPr>
                <w:rFonts w:ascii="Calibri" w:hAnsi="Calibri" w:eastAsia="Calibri"/>
                <w:b w:val="0"/>
                <w:i w:val="0"/>
                <w:sz w:val="18"/>
              </w:rPr>
              <w:t>Not met</w:t>
            </w:r>
          </w:p>
        </w:tc>
        <w:tc>
          <w:tcPr>
            <w:tcW w:type="dxa" w:w="2353"/>
          </w:tcPr>
          <w:p>
            <w:pPr>
              <w:spacing w:after="40" w:before="40"/>
            </w:pPr>
            <w:r/>
            <w:r>
              <w:rPr>
                <w:rFonts w:ascii="Calibri" w:hAnsi="Calibri" w:eastAsia="Calibri"/>
                <w:b w:val="0"/>
                <w:i w:val="0"/>
                <w:sz w:val="18"/>
              </w:rPr>
              <w:t xml:space="preserve">The brief asks for a 10–12 minute presentation, participation by every member, an interface demonstration, a defence, and a statement signed by all members, during 5–17 October 2026. </w:t>
            </w:r>
            <w:r>
              <w:rPr>
                <w:rFonts w:ascii="Consolas" w:hAnsi="Consolas" w:eastAsia="Consolas"/>
                <w:b w:val="0"/>
                <w:i w:val="0"/>
                <w:sz w:val="20"/>
              </w:rPr>
              <w:t>reports/presentation_outline.md</w:t>
            </w:r>
            <w:r>
              <w:rPr>
                <w:rFonts w:ascii="Calibri" w:hAnsi="Calibri" w:eastAsia="Calibri"/>
                <w:b w:val="0"/>
                <w:i w:val="0"/>
                <w:sz w:val="18"/>
              </w:rPr>
              <w:t xml:space="preserve"> is the speaking plan and names the four members without assigning speaking parts. There is no slide file, attendance record, recording, or defence outcome. </w:t>
            </w:r>
            <w:r>
              <w:rPr>
                <w:rFonts w:ascii="Consolas" w:hAnsi="Consolas" w:eastAsia="Consolas"/>
                <w:b w:val="0"/>
                <w:i w:val="0"/>
                <w:sz w:val="20"/>
              </w:rPr>
              <w:t>reports/contribution_statement.md</w:t>
            </w:r>
            <w:r>
              <w:rPr>
                <w:rFonts w:ascii="Calibri" w:hAnsi="Calibri" w:eastAsia="Calibri"/>
                <w:b w:val="0"/>
                <w:i w:val="0"/>
                <w:sz w:val="18"/>
              </w:rPr>
              <w:t xml:space="preserve"> names all four members and leaves the signature and date cells empty.</w:t>
            </w:r>
          </w:p>
        </w:tc>
      </w:tr>
    </w:tbl>
    <w:p/>
    <w:p>
      <w:pPr>
        <w:pStyle w:val="Heading2"/>
      </w:pPr>
      <w:r>
        <w:t>Verified files that did not change in this check</w:t>
      </w:r>
    </w:p>
    <w:p>
      <w:pPr>
        <w:pStyle w:val="ListBullet"/>
      </w:pPr>
      <w:r>
        <w:rPr>
          <w:rFonts w:ascii="Calibri" w:hAnsi="Calibri" w:eastAsia="Calibri"/>
          <w:b w:val="0"/>
          <w:i w:val="0"/>
          <w:sz w:val="22"/>
        </w:rPr>
        <w:t xml:space="preserve">Frozen decision: </w:t>
      </w:r>
      <w:r>
        <w:rPr>
          <w:rFonts w:ascii="Consolas" w:hAnsi="Consolas" w:eastAsia="Consolas"/>
          <w:b w:val="0"/>
          <w:i w:val="0"/>
          <w:sz w:val="20"/>
        </w:rPr>
        <w:t>results/tables/06_frozen_decision.json</w:t>
      </w:r>
    </w:p>
    <w:p>
      <w:pPr>
        <w:pStyle w:val="ListBullet"/>
      </w:pPr>
      <w:r>
        <w:rPr>
          <w:rFonts w:ascii="Calibri" w:hAnsi="Calibri" w:eastAsia="Calibri"/>
          <w:b w:val="0"/>
          <w:i w:val="0"/>
          <w:sz w:val="22"/>
        </w:rPr>
        <w:t xml:space="preserve">Aligned predictions: </w:t>
      </w:r>
      <w:r>
        <w:rPr>
          <w:rFonts w:ascii="Consolas" w:hAnsi="Consolas" w:eastAsia="Consolas"/>
          <w:b w:val="0"/>
          <w:i w:val="0"/>
          <w:sz w:val="20"/>
        </w:rPr>
        <w:t>results/tables/06_test_predictions.parquet</w:t>
      </w:r>
      <w:r>
        <w:rPr>
          <w:rFonts w:ascii="Calibri" w:hAnsi="Calibri" w:eastAsia="Calibri"/>
          <w:b w:val="0"/>
          <w:i w:val="0"/>
          <w:sz w:val="22"/>
        </w:rPr>
        <w:t xml:space="preserve">, </w:t>
      </w:r>
      <w:r>
        <w:rPr>
          <w:rFonts w:ascii="Consolas" w:hAnsi="Consolas" w:eastAsia="Consolas"/>
          <w:b w:val="0"/>
          <w:i w:val="0"/>
          <w:sz w:val="20"/>
        </w:rPr>
        <w:t>results/tables/07_paired_predictions.parquet</w:t>
      </w:r>
    </w:p>
    <w:p>
      <w:pPr>
        <w:pStyle w:val="ListBullet"/>
      </w:pPr>
      <w:r>
        <w:rPr>
          <w:rFonts w:ascii="Calibri" w:hAnsi="Calibri" w:eastAsia="Calibri"/>
          <w:b w:val="0"/>
          <w:i w:val="0"/>
          <w:sz w:val="22"/>
        </w:rPr>
        <w:t xml:space="preserve">McNemar record: </w:t>
      </w:r>
      <w:r>
        <w:rPr>
          <w:rFonts w:ascii="Consolas" w:hAnsi="Consolas" w:eastAsia="Consolas"/>
          <w:b w:val="0"/>
          <w:i w:val="0"/>
          <w:sz w:val="20"/>
        </w:rPr>
        <w:t>results/tables/07_comparison_record.json</w:t>
      </w:r>
    </w:p>
    <w:p>
      <w:pPr>
        <w:pStyle w:val="ListBullet"/>
      </w:pPr>
      <w:r>
        <w:rPr>
          <w:rFonts w:ascii="Calibri" w:hAnsi="Calibri" w:eastAsia="Calibri"/>
          <w:b w:val="0"/>
          <w:i w:val="0"/>
          <w:sz w:val="22"/>
        </w:rPr>
        <w:t xml:space="preserve">Corrected embedding curve: </w:t>
      </w:r>
      <w:r>
        <w:rPr>
          <w:rFonts w:ascii="Consolas" w:hAnsi="Consolas" w:eastAsia="Consolas"/>
          <w:b w:val="0"/>
          <w:i w:val="0"/>
          <w:sz w:val="20"/>
        </w:rPr>
        <w:t>results/figures/10_embedding_learning_curves.png</w:t>
      </w:r>
    </w:p>
    <w:p>
      <w:pPr>
        <w:pStyle w:val="ListBullet"/>
      </w:pPr>
      <w:r>
        <w:rPr>
          <w:rFonts w:ascii="Calibri" w:hAnsi="Calibri" w:eastAsia="Calibri"/>
          <w:b w:val="0"/>
          <w:i w:val="0"/>
          <w:sz w:val="22"/>
        </w:rPr>
        <w:t xml:space="preserve">Champion ROC and precision-recall: </w:t>
      </w:r>
      <w:r>
        <w:rPr>
          <w:rFonts w:ascii="Consolas" w:hAnsi="Consolas" w:eastAsia="Consolas"/>
          <w:b w:val="0"/>
          <w:i w:val="0"/>
          <w:sz w:val="20"/>
        </w:rPr>
        <w:t>results/figures/09_roc_per_class_locked_test.png</w:t>
      </w:r>
      <w:r>
        <w:rPr>
          <w:rFonts w:ascii="Calibri" w:hAnsi="Calibri" w:eastAsia="Calibri"/>
          <w:b w:val="0"/>
          <w:i w:val="0"/>
          <w:sz w:val="22"/>
        </w:rPr>
        <w:t xml:space="preserve">, </w:t>
      </w:r>
      <w:r>
        <w:rPr>
          <w:rFonts w:ascii="Consolas" w:hAnsi="Consolas" w:eastAsia="Consolas"/>
          <w:b w:val="0"/>
          <w:i w:val="0"/>
          <w:sz w:val="20"/>
        </w:rPr>
        <w:t>results/figures/09_pr_per_class_locked_test.png</w:t>
      </w:r>
    </w:p>
    <w:p>
      <w:pPr>
        <w:pStyle w:val="ListBullet"/>
      </w:pPr>
      <w:r>
        <w:rPr>
          <w:rFonts w:ascii="Calibri" w:hAnsi="Calibri" w:eastAsia="Calibri"/>
          <w:b w:val="0"/>
          <w:i w:val="0"/>
          <w:sz w:val="22"/>
        </w:rPr>
        <w:t xml:space="preserve">Suburb and ward audits: </w:t>
      </w:r>
      <w:r>
        <w:rPr>
          <w:rFonts w:ascii="Consolas" w:hAnsi="Consolas" w:eastAsia="Consolas"/>
          <w:b w:val="0"/>
          <w:i w:val="0"/>
          <w:sz w:val="20"/>
        </w:rPr>
        <w:t>results/tables/09_suburb_error_audit.csv</w:t>
      </w:r>
      <w:r>
        <w:rPr>
          <w:rFonts w:ascii="Calibri" w:hAnsi="Calibri" w:eastAsia="Calibri"/>
          <w:b w:val="0"/>
          <w:i w:val="0"/>
          <w:sz w:val="22"/>
        </w:rPr>
        <w:t xml:space="preserve">, </w:t>
      </w:r>
      <w:r>
        <w:rPr>
          <w:rFonts w:ascii="Consolas" w:hAnsi="Consolas" w:eastAsia="Consolas"/>
          <w:b w:val="0"/>
          <w:i w:val="0"/>
          <w:sz w:val="20"/>
        </w:rPr>
        <w:t>results/tables/09_ward_error_audit.csv</w:t>
      </w:r>
    </w:p>
    <w:p>
      <w:pPr>
        <w:pStyle w:val="ListBullet"/>
      </w:pPr>
      <w:r>
        <w:rPr>
          <w:rFonts w:ascii="Calibri" w:hAnsi="Calibri" w:eastAsia="Calibri"/>
          <w:b w:val="0"/>
          <w:i w:val="0"/>
          <w:sz w:val="22"/>
        </w:rPr>
        <w:t xml:space="preserve">Tests: </w:t>
      </w:r>
      <w:r>
        <w:rPr>
          <w:rFonts w:ascii="Consolas" w:hAnsi="Consolas" w:eastAsia="Consolas"/>
          <w:b w:val="0"/>
          <w:i w:val="0"/>
          <w:sz w:val="20"/>
        </w:rPr>
        <w:t>python -m pytest tests -q</w:t>
      </w:r>
      <w:r>
        <w:rPr>
          <w:rFonts w:ascii="Calibri" w:hAnsi="Calibri" w:eastAsia="Calibri"/>
          <w:b w:val="0"/>
          <w:i w:val="0"/>
          <w:sz w:val="22"/>
        </w:rPr>
        <w:t xml:space="preserve"> passed 80 tests on 18 October 2026, before this brief comparison. This comparison did not refit a model.</w:t>
      </w:r>
    </w:p>
    <w:p>
      <w:pPr>
        <w:pStyle w:val="Heading2"/>
      </w:pPr>
      <w:r>
        <w:t>Still required before the brief can be treated as met</w:t>
      </w:r>
    </w:p>
    <w:p>
      <w:pPr>
        <w:pStyle w:val="ListNumber"/>
      </w:pPr>
      <w:r>
        <w:rPr>
          <w:rFonts w:ascii="Calibri" w:hAnsi="Calibri" w:eastAsia="Calibri"/>
          <w:b w:val="0"/>
          <w:i w:val="0"/>
          <w:sz w:val="22"/>
        </w:rPr>
        <w:t>Evidence that the presentation was given and that a defence took place. The brief’s window is 5–17 October 2026. The outline exists. Attendance does not. The cover records the group name Point Break, the lecturer Dr Masethe, and the submission date 20 October 2026.</w:t>
      </w:r>
    </w:p>
    <w:p>
      <w:pPr>
        <w:pStyle w:val="ListNumber"/>
      </w:pPr>
      <w:r>
        <w:rPr>
          <w:rFonts w:ascii="Calibri" w:hAnsi="Calibri" w:eastAsia="Calibri"/>
          <w:b w:val="0"/>
          <w:i w:val="0"/>
          <w:sz w:val="22"/>
        </w:rPr>
        <w:t>A compute-environment description is still thin, and random cross-validation means are not shown for every model. The chronological split is the design that was used.</w:t>
      </w:r>
    </w:p>
    <w:p>
      <w:r>
        <w:rPr>
          <w:rFonts w:ascii="Calibri" w:hAnsi="Calibri" w:eastAsia="Calibri"/>
          <w:b w:val="0"/>
          <w:i w:val="0"/>
          <w:sz w:val="22"/>
        </w:rPr>
        <w:t>Question 6.2, the common ROC figure, the false-positive and false-negative discussion, and the POPIA discussion are now in the report. Logistic regression still does not converge at the checked settings. The report does not claim that it does. No stakeholder interview was conducted. The brief does not contain an interview question.</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 xml:space="preserve">Page </w:t>
    </w:r>
    <w:r>
      <w:rPr>
        <w:rFonts w:ascii="Calibri" w:hAnsi="Calibri" w:eastAsia="Calibri"/>
        <w:b w:val="0"/>
        <w:i w:val="0"/>
        <w:color w:val="555555"/>
        <w:sz w:val="18"/>
      </w:rPr>
      <w:fldChar w:fldCharType="begin"/>
      <w:instrText xml:space="preserve"> PAGE </w:instrText>
      <w:fldChar w:fldCharType="end"/>
    </w:r>
    <w:r>
      <w:rPr>
        <w:rFonts w:ascii="Calibri" w:hAnsi="Calibri" w:eastAsia="Calibri"/>
        <w:b w:val="0"/>
        <w:i w:val="0"/>
        <w:color w:val="555555"/>
        <w:sz w:val="18"/>
      </w:rPr>
      <w:t xml:space="preserve"> of </w:t>
    </w:r>
    <w:r>
      <w:rPr>
        <w:rFonts w:ascii="Calibri" w:hAnsi="Calibri" w:eastAsia="Calibri"/>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Calibri"/>
        <w:b w:val="0"/>
        <w:i w:val="0"/>
        <w:color w:val="445566"/>
        <w:sz w:val="18"/>
      </w:rPr>
      <w:t>Cape Town service-request resolution classifier  ·  IDA117V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eastAsia="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eastAsia="Calibri"/>
      <w:b/>
      <w:bCs/>
      <w:i/>
      <w:iCs/>
      <w:color w:val="1B3A4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submission readiness</dc:title>
  <dc:subject>IDA117V Cape Town service-request resolution classifier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Academic submission package</cp:category>
</cp:coreProperties>
</file>