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interpretations (train only, n=2,120,469)</w:t>
      </w:r>
    </w:p>
    <w:p>
      <w:pPr>
        <w:pStyle w:val="Heading2"/>
      </w:pPr>
      <w:r>
        <w:t>fig01_target_distribution.png</w:t>
      </w:r>
    </w:p>
    <w:p>
      <w:r>
        <w:rPr>
          <w:rFonts w:ascii="Calibri" w:hAnsi="Calibri" w:eastAsia="Calibri"/>
          <w:b w:val="0"/>
          <w:i w:val="0"/>
          <w:sz w:val="22"/>
        </w:rPr>
        <w:t>Fast 1,429,124 (67.4%), Slow 455,121 (21.5%), Unresolved 236,224 (11.1%). Macro-F1 is required; a majority dummy will look strong on accuracy.</w:t>
      </w:r>
    </w:p>
    <w:p>
      <w:pPr>
        <w:pStyle w:val="Heading2"/>
      </w:pPr>
      <w:r>
        <w:t>fig02_missingness.png</w:t>
      </w:r>
    </w:p>
    <w:p>
      <w:r>
        <w:rPr>
          <w:rFonts w:ascii="Calibri" w:hAnsi="Calibri" w:eastAsia="Calibri"/>
          <w:b w:val="0"/>
          <w:i w:val="0"/>
          <w:sz w:val="22"/>
        </w:rPr>
        <w:t>Ward is missing on 40.6% of train rows and Sub_Council on 41.6%. The pipeline maps those to MISSING rather than imputing the mode. Coordinates are unused. Raw suburb streets never appear.</w:t>
      </w:r>
    </w:p>
    <w:p>
      <w:pPr>
        <w:pStyle w:val="Heading2"/>
      </w:pPr>
      <w:r>
        <w:t>fig03_department.png</w:t>
      </w:r>
    </w:p>
    <w:p>
      <w:r>
        <w:rPr>
          <w:rFonts w:ascii="Calibri" w:hAnsi="Calibri" w:eastAsia="Calibri"/>
          <w:b w:val="0"/>
          <w:i w:val="0"/>
          <w:sz w:val="22"/>
        </w:rPr>
        <w:t>Department (from work centre) is known at logging and changes the Fast/Slow/Unresolved mix. Public housing and open space run much higher Unresolved rates in the audit — partly ticket-closing practice, not only delay. This is an EDA chart, not a second model.</w:t>
      </w:r>
    </w:p>
    <w:p>
      <w:pPr>
        <w:pStyle w:val="Heading2"/>
      </w:pPr>
      <w:r>
        <w:t>fig04_complaint_type.png</w:t>
      </w:r>
    </w:p>
    <w:p>
      <w:r>
        <w:rPr>
          <w:rFonts w:ascii="Calibri" w:hAnsi="Calibri" w:eastAsia="Calibri"/>
          <w:b w:val="0"/>
          <w:i w:val="0"/>
          <w:sz w:val="22"/>
        </w:rPr>
        <w:t>Complaint type is the operational code at logging. Volume is dominated by power, sewer, street-light and bin faults. The dummy ignores this mix; later models must beat it.</w:t>
      </w:r>
    </w:p>
    <w:p>
      <w:pPr>
        <w:pStyle w:val="Heading2"/>
      </w:pPr>
      <w:r>
        <w:t>fig05_temporal_train.png</w:t>
      </w:r>
    </w:p>
    <w:p>
      <w:r>
        <w:rPr>
          <w:rFonts w:ascii="Calibri" w:hAnsi="Calibri" w:eastAsia="Calibri"/>
          <w:b w:val="0"/>
          <w:i w:val="0"/>
          <w:sz w:val="22"/>
        </w:rPr>
        <w:t>The main split is stratified random, so train still covers 1 Jan 2023 – 20 May 2026. Time drift is checked on the separate time split, not by peeking at test.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interpretations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