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Items the team must still complete</w:t>
      </w:r>
    </w:p>
    <w:p>
      <w:pPr>
        <w:pStyle w:val="ListBullet"/>
      </w:pPr>
      <w:r>
        <w:rPr>
          <w:rFonts w:ascii="Calibri" w:hAnsi="Calibri" w:eastAsia="Calibri"/>
          <w:b w:val="0"/>
          <w:i w:val="0"/>
          <w:sz w:val="22"/>
        </w:rPr>
        <w:t>The contribution statement records the supplied allocation, with initials in the signature cells and one date per member.</w:t>
      </w:r>
    </w:p>
    <w:p>
      <w:pPr>
        <w:pStyle w:val="ListBullet"/>
      </w:pPr>
      <w:r>
        <w:rPr>
          <w:rFonts w:ascii="Calibri" w:hAnsi="Calibri" w:eastAsia="Calibri"/>
          <w:b w:val="0"/>
          <w:i w:val="0"/>
          <w:sz w:val="22"/>
        </w:rPr>
        <w:t>Enter the group number, lecturer, and submission date. They are not recorded. The report cover and the contribution statement name Mpumelelo Ngozo (218409202, 218409202@tut4life.ac.za), Selowa Tumiso (218340172, 218340172@tut4life.ac.za), Ualwela Netshidzati (220069117, 220069117@tut4life.ac.za), and Thabang Mokoena (240668823, 240668823@tut4life.ac.za).</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