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Submission checklist</w:t>
      </w:r>
    </w:p>
    <w:p>
      <w:r>
        <w:rPr>
          <w:rFonts w:ascii="Calibri" w:hAnsi="Calibri" w:eastAsia="Calibri"/>
          <w:b w:val="0"/>
          <w:i w:val="0"/>
          <w:sz w:val="22"/>
        </w:rPr>
        <w:t>Checked on 17 October 2026 against the files in this repository. An open item is not done.</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shd w:fill="E6EEF2" w:val="clear"/>
          </w:tcPr>
          <w:p>
            <w:pPr>
              <w:spacing w:after="40" w:before="40"/>
            </w:pPr>
            <w:r>
              <w:rPr>
                <w:b/>
              </w:rPr>
            </w:r>
            <w:r>
              <w:rPr>
                <w:rFonts w:ascii="Calibri" w:hAnsi="Calibri" w:eastAsia="Calibri"/>
                <w:b/>
                <w:i w:val="0"/>
                <w:sz w:val="18"/>
              </w:rPr>
              <w:t>Item</w:t>
            </w:r>
          </w:p>
        </w:tc>
        <w:tc>
          <w:tcPr>
            <w:tcW w:type="dxa" w:w="3137"/>
            <w:shd w:fill="E6EEF2" w:val="clear"/>
          </w:tcPr>
          <w:p>
            <w:pPr>
              <w:spacing w:after="40" w:before="40"/>
            </w:pPr>
            <w:r>
              <w:rPr>
                <w:b/>
              </w:rPr>
            </w:r>
            <w:r>
              <w:rPr>
                <w:rFonts w:ascii="Calibri" w:hAnsi="Calibri" w:eastAsia="Calibri"/>
                <w:b/>
                <w:i w:val="0"/>
                <w:sz w:val="18"/>
              </w:rPr>
              <w:t>Status</w:t>
            </w:r>
          </w:p>
        </w:tc>
        <w:tc>
          <w:tcPr>
            <w:tcW w:type="dxa" w:w="3137"/>
            <w:shd w:fill="E6EEF2" w:val="clear"/>
          </w:tcPr>
          <w:p>
            <w:pPr>
              <w:spacing w:after="40" w:before="40"/>
            </w:pPr>
            <w:r>
              <w:rPr>
                <w:b/>
              </w:rPr>
            </w:r>
            <w:r>
              <w:rPr>
                <w:rFonts w:ascii="Calibri" w:hAnsi="Calibri" w:eastAsia="Calibri"/>
                <w:b/>
                <w:i w:val="0"/>
                <w:sz w:val="18"/>
              </w:rPr>
              <w:t>Where to look</w:t>
            </w:r>
          </w:p>
        </w:tc>
      </w:tr>
      <w:tr>
        <w:tc>
          <w:tcPr>
            <w:tcW w:type="dxa" w:w="3137"/>
          </w:tcPr>
          <w:p>
            <w:pPr>
              <w:spacing w:after="40" w:before="40"/>
            </w:pPr>
            <w:r/>
            <w:r>
              <w:rPr>
                <w:rFonts w:ascii="Calibri" w:hAnsi="Calibri" w:eastAsia="Calibri"/>
                <w:b w:val="0"/>
                <w:i w:val="0"/>
                <w:sz w:val="18"/>
              </w:rPr>
              <w:t>Frozen champion</w:t>
            </w:r>
          </w:p>
        </w:tc>
        <w:tc>
          <w:tcPr>
            <w:tcW w:type="dxa" w:w="3137"/>
          </w:tcPr>
          <w:p>
            <w:pPr>
              <w:spacing w:after="40" w:before="40"/>
            </w:pPr>
            <w:r/>
            <w:r>
              <w:rPr>
                <w:rFonts w:ascii="Calibri" w:hAnsi="Calibri" w:eastAsia="Calibri"/>
                <w:b w:val="0"/>
                <w:i w:val="0"/>
                <w:sz w:val="18"/>
              </w:rPr>
              <w:t>Histogram gradient boosting, untuned refit, 12 iterations. Not replaced by later comparisons.</w:t>
            </w:r>
          </w:p>
        </w:tc>
        <w:tc>
          <w:tcPr>
            <w:tcW w:type="dxa" w:w="3137"/>
          </w:tcPr>
          <w:p>
            <w:pPr>
              <w:spacing w:after="40" w:before="40"/>
            </w:pPr>
            <w:r/>
            <w:r>
              <w:rPr>
                <w:rFonts w:ascii="Consolas" w:hAnsi="Consolas" w:eastAsia="Consolas"/>
                <w:b w:val="0"/>
                <w:i w:val="0"/>
                <w:sz w:val="20"/>
              </w:rPr>
              <w:t>results/tables/06_frozen_decision.json</w:t>
            </w:r>
            <w:r>
              <w:rPr>
                <w:rFonts w:ascii="Calibri" w:hAnsi="Calibri" w:eastAsia="Calibri"/>
                <w:b w:val="0"/>
                <w:i w:val="0"/>
                <w:sz w:val="18"/>
              </w:rPr>
              <w:t xml:space="preserve">, </w:t>
            </w:r>
            <w:r>
              <w:rPr>
                <w:rFonts w:ascii="Consolas" w:hAnsi="Consolas" w:eastAsia="Consolas"/>
                <w:b w:val="0"/>
                <w:i w:val="0"/>
                <w:sz w:val="20"/>
              </w:rPr>
              <w:t>models/frozen_resolution_pipeline.joblib</w:t>
            </w:r>
          </w:p>
        </w:tc>
      </w:tr>
      <w:tr>
        <w:tc>
          <w:tcPr>
            <w:tcW w:type="dxa" w:w="3137"/>
          </w:tcPr>
          <w:p>
            <w:pPr>
              <w:spacing w:after="40" w:before="40"/>
            </w:pPr>
            <w:r/>
            <w:r>
              <w:rPr>
                <w:rFonts w:ascii="Calibri" w:hAnsi="Calibri" w:eastAsia="Calibri"/>
                <w:b w:val="0"/>
                <w:i w:val="0"/>
                <w:sz w:val="18"/>
              </w:rPr>
              <w:t>Work-centre comparison</w:t>
            </w:r>
          </w:p>
        </w:tc>
        <w:tc>
          <w:tcPr>
            <w:tcW w:type="dxa" w:w="3137"/>
          </w:tcPr>
          <w:p>
            <w:pPr>
              <w:spacing w:after="40" w:before="40"/>
            </w:pPr>
            <w:r/>
            <w:r>
              <w:rPr>
                <w:rFonts w:ascii="Calibri" w:hAnsi="Calibri" w:eastAsia="Calibri"/>
                <w:b w:val="0"/>
                <w:i w:val="0"/>
                <w:sz w:val="18"/>
              </w:rPr>
              <w:t>Two models were fit on the training period and scored on the 2025 validation period. The setting without work centre matches the saved champion validation macro-F1. The setting with work centre scores higher and is not the champion, because the extract has no assignment time. The locked test was not used.</w:t>
            </w:r>
          </w:p>
        </w:tc>
        <w:tc>
          <w:tcPr>
            <w:tcW w:type="dxa" w:w="3137"/>
          </w:tcPr>
          <w:p>
            <w:pPr>
              <w:spacing w:after="40" w:before="40"/>
            </w:pPr>
            <w:r/>
            <w:r>
              <w:rPr>
                <w:rFonts w:ascii="Consolas" w:hAnsi="Consolas" w:eastAsia="Consolas"/>
                <w:b w:val="0"/>
                <w:i w:val="0"/>
                <w:sz w:val="20"/>
              </w:rPr>
              <w:t>results/tables/09_work_centre_comparison.csv</w:t>
            </w:r>
            <w:r>
              <w:rPr>
                <w:rFonts w:ascii="Calibri" w:hAnsi="Calibri" w:eastAsia="Calibri"/>
                <w:b w:val="0"/>
                <w:i w:val="0"/>
                <w:sz w:val="18"/>
              </w:rPr>
              <w:t xml:space="preserve">, </w:t>
            </w:r>
            <w:r>
              <w:rPr>
                <w:rFonts w:ascii="Consolas" w:hAnsi="Consolas" w:eastAsia="Consolas"/>
                <w:b w:val="0"/>
                <w:i w:val="0"/>
                <w:sz w:val="20"/>
              </w:rPr>
              <w:t>results/tables/09_work_centre_per_class.csv</w:t>
            </w:r>
            <w:r>
              <w:rPr>
                <w:rFonts w:ascii="Calibri" w:hAnsi="Calibri" w:eastAsia="Calibri"/>
                <w:b w:val="0"/>
                <w:i w:val="0"/>
                <w:sz w:val="18"/>
              </w:rPr>
              <w:t xml:space="preserve">, </w:t>
            </w:r>
            <w:r>
              <w:rPr>
                <w:rFonts w:ascii="Consolas" w:hAnsi="Consolas" w:eastAsia="Consolas"/>
                <w:b w:val="0"/>
                <w:i w:val="0"/>
                <w:sz w:val="20"/>
              </w:rPr>
              <w:t>results/tables/09_work_centre_config.json</w:t>
            </w:r>
          </w:p>
        </w:tc>
      </w:tr>
      <w:tr>
        <w:tc>
          <w:tcPr>
            <w:tcW w:type="dxa" w:w="3137"/>
          </w:tcPr>
          <w:p>
            <w:pPr>
              <w:spacing w:after="40" w:before="40"/>
            </w:pPr>
            <w:r/>
            <w:r>
              <w:rPr>
                <w:rFonts w:ascii="Calibri" w:hAnsi="Calibri" w:eastAsia="Calibri"/>
                <w:b w:val="0"/>
                <w:i w:val="0"/>
                <w:sz w:val="18"/>
              </w:rPr>
              <w:t>Earlier work-centre row</w:t>
            </w:r>
          </w:p>
        </w:tc>
        <w:tc>
          <w:tcPr>
            <w:tcW w:type="dxa" w:w="3137"/>
          </w:tcPr>
          <w:p>
            <w:pPr>
              <w:spacing w:after="40" w:before="40"/>
            </w:pPr>
            <w:r/>
            <w:r>
              <w:rPr>
                <w:rFonts w:ascii="Calibri" w:hAnsi="Calibri" w:eastAsia="Calibri"/>
                <w:b w:val="0"/>
                <w:i w:val="0"/>
                <w:sz w:val="18"/>
              </w:rPr>
              <w:t xml:space="preserve">The Phase 6 </w:t>
            </w:r>
            <w:r>
              <w:rPr>
                <w:rFonts w:ascii="Consolas" w:hAnsi="Consolas" w:eastAsia="Consolas"/>
                <w:b w:val="0"/>
                <w:i w:val="0"/>
                <w:sz w:val="20"/>
              </w:rPr>
              <w:t>remove_work_centre</w:t>
            </w:r>
            <w:r>
              <w:rPr>
                <w:rFonts w:ascii="Calibri" w:hAnsi="Calibri" w:eastAsia="Calibri"/>
                <w:b w:val="0"/>
                <w:i w:val="0"/>
                <w:sz w:val="18"/>
              </w:rPr>
              <w:t xml:space="preserve"> row did not fit a second model. That row alone is not the comparison above.</w:t>
            </w:r>
          </w:p>
        </w:tc>
        <w:tc>
          <w:tcPr>
            <w:tcW w:type="dxa" w:w="3137"/>
          </w:tcPr>
          <w:p>
            <w:pPr>
              <w:spacing w:after="40" w:before="40"/>
            </w:pPr>
            <w:r/>
            <w:r>
              <w:rPr>
                <w:rFonts w:ascii="Consolas" w:hAnsi="Consolas" w:eastAsia="Consolas"/>
                <w:b w:val="0"/>
                <w:i w:val="0"/>
                <w:sz w:val="20"/>
              </w:rPr>
              <w:t>results/tables/07_ablation_summary.csv</w:t>
            </w:r>
          </w:p>
        </w:tc>
      </w:tr>
      <w:tr>
        <w:tc>
          <w:tcPr>
            <w:tcW w:type="dxa" w:w="3137"/>
          </w:tcPr>
          <w:p>
            <w:pPr>
              <w:spacing w:after="40" w:before="40"/>
            </w:pPr>
            <w:r/>
            <w:r>
              <w:rPr>
                <w:rFonts w:ascii="Calibri" w:hAnsi="Calibri" w:eastAsia="Calibri"/>
                <w:b w:val="0"/>
                <w:i w:val="0"/>
                <w:sz w:val="18"/>
              </w:rPr>
              <w:t>Suburb and ward error audit</w:t>
            </w:r>
          </w:p>
        </w:tc>
        <w:tc>
          <w:tcPr>
            <w:tcW w:type="dxa" w:w="3137"/>
          </w:tcPr>
          <w:p>
            <w:pPr>
              <w:spacing w:after="40" w:before="40"/>
            </w:pPr>
            <w:r/>
            <w:r>
              <w:rPr>
                <w:rFonts w:ascii="Calibri" w:hAnsi="Calibri" w:eastAsia="Calibri"/>
                <w:b w:val="0"/>
                <w:i w:val="0"/>
                <w:sz w:val="18"/>
              </w:rPr>
              <w:t>Computed from the saved locked-test predictions. Groups below 200 rows do not receive class metrics. This is not a claim of geographic bias.</w:t>
            </w:r>
          </w:p>
        </w:tc>
        <w:tc>
          <w:tcPr>
            <w:tcW w:type="dxa" w:w="3137"/>
          </w:tcPr>
          <w:p>
            <w:pPr>
              <w:spacing w:after="40" w:before="40"/>
            </w:pPr>
            <w:r/>
            <w:r>
              <w:rPr>
                <w:rFonts w:ascii="Consolas" w:hAnsi="Consolas" w:eastAsia="Consolas"/>
                <w:b w:val="0"/>
                <w:i w:val="0"/>
                <w:sz w:val="20"/>
              </w:rPr>
              <w:t>results/tables/09_suburb_error_audit.csv</w:t>
            </w:r>
            <w:r>
              <w:rPr>
                <w:rFonts w:ascii="Calibri" w:hAnsi="Calibri" w:eastAsia="Calibri"/>
                <w:b w:val="0"/>
                <w:i w:val="0"/>
                <w:sz w:val="18"/>
              </w:rPr>
              <w:t xml:space="preserve">, </w:t>
            </w:r>
            <w:r>
              <w:rPr>
                <w:rFonts w:ascii="Consolas" w:hAnsi="Consolas" w:eastAsia="Consolas"/>
                <w:b w:val="0"/>
                <w:i w:val="0"/>
                <w:sz w:val="20"/>
              </w:rPr>
              <w:t>results/tables/09_ward_error_audit.csv</w:t>
            </w:r>
          </w:p>
        </w:tc>
      </w:tr>
      <w:tr>
        <w:tc>
          <w:tcPr>
            <w:tcW w:type="dxa" w:w="3137"/>
          </w:tcPr>
          <w:p>
            <w:pPr>
              <w:spacing w:after="40" w:before="40"/>
            </w:pPr>
            <w:r/>
            <w:r>
              <w:rPr>
                <w:rFonts w:ascii="Calibri" w:hAnsi="Calibri" w:eastAsia="Calibri"/>
                <w:b w:val="0"/>
                <w:i w:val="0"/>
                <w:sz w:val="18"/>
              </w:rPr>
              <w:t>Per-class ROC and precision-recall</w:t>
            </w:r>
          </w:p>
        </w:tc>
        <w:tc>
          <w:tcPr>
            <w:tcW w:type="dxa" w:w="3137"/>
          </w:tcPr>
          <w:p>
            <w:pPr>
              <w:spacing w:after="40" w:before="40"/>
            </w:pPr>
            <w:r/>
            <w:r>
              <w:rPr>
                <w:rFonts w:ascii="Calibri" w:hAnsi="Calibri" w:eastAsia="Calibri"/>
                <w:b w:val="0"/>
                <w:i w:val="0"/>
                <w:sz w:val="18"/>
              </w:rPr>
              <w:t xml:space="preserve">Computed from the saved locked-test probabilities. The earlier macro ROC-AUC 0.724 and macro average precision 0.519 were left in </w:t>
            </w:r>
            <w:r>
              <w:rPr>
                <w:rFonts w:ascii="Consolas" w:hAnsi="Consolas" w:eastAsia="Consolas"/>
                <w:b w:val="0"/>
                <w:i w:val="0"/>
                <w:sz w:val="20"/>
              </w:rPr>
              <w:t>06_locked_test_summary.csv</w:t>
            </w:r>
            <w:r>
              <w:rPr>
                <w:rFonts w:ascii="Calibri" w:hAnsi="Calibri" w:eastAsia="Calibri"/>
                <w:b w:val="0"/>
                <w:i w:val="0"/>
                <w:sz w:val="18"/>
              </w:rPr>
              <w:t xml:space="preserve"> and matched.</w:t>
            </w:r>
          </w:p>
        </w:tc>
        <w:tc>
          <w:tcPr>
            <w:tcW w:type="dxa" w:w="3137"/>
          </w:tcPr>
          <w:p>
            <w:pPr>
              <w:spacing w:after="40" w:before="40"/>
            </w:pPr>
            <w:r/>
            <w:r>
              <w:rPr>
                <w:rFonts w:ascii="Consolas" w:hAnsi="Consolas" w:eastAsia="Consolas"/>
                <w:b w:val="0"/>
                <w:i w:val="0"/>
                <w:sz w:val="20"/>
              </w:rPr>
              <w:t>results/figures/09_roc_per_class_locked_test.png</w:t>
            </w:r>
            <w:r>
              <w:rPr>
                <w:rFonts w:ascii="Calibri" w:hAnsi="Calibri" w:eastAsia="Calibri"/>
                <w:b w:val="0"/>
                <w:i w:val="0"/>
                <w:sz w:val="18"/>
              </w:rPr>
              <w:t xml:space="preserve">, </w:t>
            </w:r>
            <w:r>
              <w:rPr>
                <w:rFonts w:ascii="Consolas" w:hAnsi="Consolas" w:eastAsia="Consolas"/>
                <w:b w:val="0"/>
                <w:i w:val="0"/>
                <w:sz w:val="20"/>
              </w:rPr>
              <w:t>results/figures/09_pr_per_class_locked_test.png</w:t>
            </w:r>
            <w:r>
              <w:rPr>
                <w:rFonts w:ascii="Calibri" w:hAnsi="Calibri" w:eastAsia="Calibri"/>
                <w:b w:val="0"/>
                <w:i w:val="0"/>
                <w:sz w:val="18"/>
              </w:rPr>
              <w:t xml:space="preserve">, </w:t>
            </w:r>
            <w:r>
              <w:rPr>
                <w:rFonts w:ascii="Consolas" w:hAnsi="Consolas" w:eastAsia="Consolas"/>
                <w:b w:val="0"/>
                <w:i w:val="0"/>
                <w:sz w:val="20"/>
              </w:rPr>
              <w:t>results/tables/09_per_class_ranking_locked_test.csv</w:t>
            </w:r>
          </w:p>
        </w:tc>
      </w:tr>
      <w:tr>
        <w:tc>
          <w:tcPr>
            <w:tcW w:type="dxa" w:w="3137"/>
          </w:tcPr>
          <w:p>
            <w:pPr>
              <w:spacing w:after="40" w:before="40"/>
            </w:pPr>
            <w:r/>
            <w:r>
              <w:rPr>
                <w:rFonts w:ascii="Calibri" w:hAnsi="Calibri" w:eastAsia="Calibri"/>
                <w:b w:val="0"/>
                <w:i w:val="0"/>
                <w:sz w:val="18"/>
              </w:rPr>
              <w:t>Common ROC figure</w:t>
            </w:r>
          </w:p>
        </w:tc>
        <w:tc>
          <w:tcPr>
            <w:tcW w:type="dxa" w:w="3137"/>
          </w:tcPr>
          <w:p>
            <w:pPr>
              <w:spacing w:after="40" w:before="40"/>
            </w:pPr>
            <w:r/>
            <w:r>
              <w:rPr>
                <w:rFonts w:ascii="Calibri" w:hAnsi="Calibri" w:eastAsia="Calibri"/>
                <w:b w:val="0"/>
                <w:i w:val="0"/>
                <w:sz w:val="18"/>
              </w:rPr>
              <w:t>One locked-test figure with the dummy, logistic regression, histogram gradient boosting, the multilayer perceptron, and the embedding network. Class AUCs are in the accompanying table. No curve was skipped.</w:t>
            </w:r>
          </w:p>
        </w:tc>
        <w:tc>
          <w:tcPr>
            <w:tcW w:type="dxa" w:w="3137"/>
          </w:tcPr>
          <w:p>
            <w:pPr>
              <w:spacing w:after="40" w:before="40"/>
            </w:pPr>
            <w:r/>
            <w:r>
              <w:rPr>
                <w:rFonts w:ascii="Consolas" w:hAnsi="Consolas" w:eastAsia="Consolas"/>
                <w:b w:val="0"/>
                <w:i w:val="0"/>
                <w:sz w:val="20"/>
              </w:rPr>
              <w:t>results/figures/13_roc_all_models_locked_test.png</w:t>
            </w:r>
            <w:r>
              <w:rPr>
                <w:rFonts w:ascii="Calibri" w:hAnsi="Calibri" w:eastAsia="Calibri"/>
                <w:b w:val="0"/>
                <w:i w:val="0"/>
                <w:sz w:val="18"/>
              </w:rPr>
              <w:t xml:space="preserve">, </w:t>
            </w:r>
            <w:r>
              <w:rPr>
                <w:rFonts w:ascii="Consolas" w:hAnsi="Consolas" w:eastAsia="Consolas"/>
                <w:b w:val="0"/>
                <w:i w:val="0"/>
                <w:sz w:val="20"/>
              </w:rPr>
              <w:t>results/tables/13_roc_all_models_locked_test.csv</w:t>
            </w:r>
          </w:p>
        </w:tc>
      </w:tr>
      <w:tr>
        <w:tc>
          <w:tcPr>
            <w:tcW w:type="dxa" w:w="3137"/>
          </w:tcPr>
          <w:p>
            <w:pPr>
              <w:spacing w:after="40" w:before="40"/>
            </w:pPr>
            <w:r/>
            <w:r>
              <w:rPr>
                <w:rFonts w:ascii="Calibri" w:hAnsi="Calibri" w:eastAsia="Calibri"/>
                <w:b w:val="0"/>
                <w:i w:val="0"/>
                <w:sz w:val="18"/>
              </w:rPr>
              <w:t>Form screenshots</w:t>
            </w:r>
          </w:p>
        </w:tc>
        <w:tc>
          <w:tcPr>
            <w:tcW w:type="dxa" w:w="3137"/>
          </w:tcPr>
          <w:p>
            <w:pPr>
              <w:spacing w:after="40" w:before="40"/>
            </w:pPr>
            <w:r/>
            <w:r>
              <w:rPr>
                <w:rFonts w:ascii="Calibri" w:hAnsi="Calibri" w:eastAsia="Calibri"/>
                <w:b w:val="0"/>
                <w:i w:val="0"/>
                <w:sz w:val="18"/>
              </w:rPr>
              <w:t>Four screenshots were captured from the running Streamlit page.</w:t>
            </w:r>
          </w:p>
        </w:tc>
        <w:tc>
          <w:tcPr>
            <w:tcW w:type="dxa" w:w="3137"/>
          </w:tcPr>
          <w:p>
            <w:pPr>
              <w:spacing w:after="40" w:before="40"/>
            </w:pPr>
            <w:r/>
            <w:r>
              <w:rPr>
                <w:rFonts w:ascii="Consolas" w:hAnsi="Consolas" w:eastAsia="Consolas"/>
                <w:b w:val="0"/>
                <w:i w:val="0"/>
                <w:sz w:val="20"/>
              </w:rPr>
              <w:t>evidence/screenshots/</w:t>
            </w:r>
          </w:p>
        </w:tc>
      </w:tr>
      <w:tr>
        <w:tc>
          <w:tcPr>
            <w:tcW w:type="dxa" w:w="3137"/>
          </w:tcPr>
          <w:p>
            <w:pPr>
              <w:spacing w:after="40" w:before="40"/>
            </w:pPr>
            <w:r/>
            <w:r>
              <w:rPr>
                <w:rFonts w:ascii="Calibri" w:hAnsi="Calibri" w:eastAsia="Calibri"/>
                <w:b w:val="0"/>
                <w:i w:val="0"/>
                <w:sz w:val="18"/>
              </w:rPr>
              <w:t>Stakeholder interview</w:t>
            </w:r>
          </w:p>
        </w:tc>
        <w:tc>
          <w:tcPr>
            <w:tcW w:type="dxa" w:w="3137"/>
          </w:tcPr>
          <w:p>
            <w:pPr>
              <w:spacing w:after="40" w:before="40"/>
            </w:pPr>
            <w:r/>
            <w:r>
              <w:rPr>
                <w:rFonts w:ascii="Calibri" w:hAnsi="Calibri" w:eastAsia="Calibri"/>
                <w:b w:val="0"/>
                <w:i w:val="0"/>
                <w:sz w:val="18"/>
              </w:rPr>
              <w:t>Not conducted. The brief does not require one.</w:t>
            </w:r>
          </w:p>
        </w:tc>
        <w:tc>
          <w:tcPr>
            <w:tcW w:type="dxa" w:w="3137"/>
          </w:tcPr>
          <w:p>
            <w:pPr>
              <w:spacing w:after="40" w:before="40"/>
            </w:pPr>
            <w:r/>
            <w:r>
              <w:rPr>
                <w:rFonts w:ascii="Consolas" w:hAnsi="Consolas" w:eastAsia="Consolas"/>
                <w:b w:val="0"/>
                <w:i w:val="0"/>
                <w:sz w:val="20"/>
              </w:rPr>
              <w:t>reports/stakeholder_interview_guide.md</w:t>
            </w:r>
          </w:p>
        </w:tc>
      </w:tr>
      <w:tr>
        <w:tc>
          <w:tcPr>
            <w:tcW w:type="dxa" w:w="3137"/>
          </w:tcPr>
          <w:p>
            <w:pPr>
              <w:spacing w:after="40" w:before="40"/>
            </w:pPr>
            <w:r/>
            <w:r>
              <w:rPr>
                <w:rFonts w:ascii="Calibri" w:hAnsi="Calibri" w:eastAsia="Calibri"/>
                <w:b w:val="0"/>
                <w:i w:val="0"/>
                <w:sz w:val="18"/>
              </w:rPr>
              <w:t>Embedding network</w:t>
            </w:r>
          </w:p>
        </w:tc>
        <w:tc>
          <w:tcPr>
            <w:tcW w:type="dxa" w:w="3137"/>
          </w:tcPr>
          <w:p>
            <w:pPr>
              <w:spacing w:after="40" w:before="40"/>
            </w:pPr>
            <w:r/>
            <w:r>
              <w:rPr>
                <w:rFonts w:ascii="Calibri" w:hAnsi="Calibri" w:eastAsia="Calibri"/>
                <w:b w:val="0"/>
                <w:i w:val="0"/>
                <w:sz w:val="18"/>
              </w:rPr>
              <w:t>Lecturer approval recorded. No approval date was supplied, and the architecture was not changed. Validation macro-F1 0.481 does not beat histogram gradient boosting at 0.482, so it is not the champion. The locked-test score is Question 6.2 only.</w:t>
            </w:r>
          </w:p>
        </w:tc>
        <w:tc>
          <w:tcPr>
            <w:tcW w:type="dxa" w:w="3137"/>
          </w:tcPr>
          <w:p>
            <w:pPr>
              <w:spacing w:after="40" w:before="40"/>
            </w:pPr>
            <w:r/>
            <w:r>
              <w:rPr>
                <w:rFonts w:ascii="Consolas" w:hAnsi="Consolas" w:eastAsia="Consolas"/>
                <w:b w:val="0"/>
                <w:i w:val="0"/>
                <w:sz w:val="20"/>
              </w:rPr>
              <w:t>results/tables/05_split_metrics.csv</w:t>
            </w:r>
            <w:r>
              <w:rPr>
                <w:rFonts w:ascii="Calibri" w:hAnsi="Calibri" w:eastAsia="Calibri"/>
                <w:b w:val="0"/>
                <w:i w:val="0"/>
                <w:sz w:val="18"/>
              </w:rPr>
              <w:t xml:space="preserve">, </w:t>
            </w:r>
            <w:r>
              <w:rPr>
                <w:rFonts w:ascii="Consolas" w:hAnsi="Consolas" w:eastAsia="Consolas"/>
                <w:b w:val="0"/>
                <w:i w:val="0"/>
                <w:sz w:val="20"/>
              </w:rPr>
              <w:t>results/tables/10_embedding_champion_decision.json</w:t>
            </w:r>
            <w:r>
              <w:rPr>
                <w:rFonts w:ascii="Calibri" w:hAnsi="Calibri" w:eastAsia="Calibri"/>
                <w:b w:val="0"/>
                <w:i w:val="0"/>
                <w:sz w:val="18"/>
              </w:rPr>
              <w:t xml:space="preserve">, </w:t>
            </w:r>
            <w:r>
              <w:rPr>
                <w:rFonts w:ascii="Consolas" w:hAnsi="Consolas" w:eastAsia="Consolas"/>
                <w:b w:val="0"/>
                <w:i w:val="0"/>
                <w:sz w:val="20"/>
              </w:rPr>
              <w:t>results/tables/13_question62_record.json</w:t>
            </w:r>
          </w:p>
        </w:tc>
      </w:tr>
      <w:tr>
        <w:tc>
          <w:tcPr>
            <w:tcW w:type="dxa" w:w="3137"/>
          </w:tcPr>
          <w:p>
            <w:pPr>
              <w:spacing w:after="40" w:before="40"/>
            </w:pPr>
            <w:r/>
            <w:r>
              <w:rPr>
                <w:rFonts w:ascii="Calibri" w:hAnsi="Calibri" w:eastAsia="Calibri"/>
                <w:b w:val="0"/>
                <w:i w:val="0"/>
                <w:sz w:val="18"/>
              </w:rPr>
              <w:t>Logistic convergence check</w:t>
            </w:r>
          </w:p>
        </w:tc>
        <w:tc>
          <w:tcPr>
            <w:tcW w:type="dxa" w:w="3137"/>
          </w:tcPr>
          <w:p>
            <w:pPr>
              <w:spacing w:after="40" w:before="40"/>
            </w:pPr>
            <w:r/>
            <w:r>
              <w:rPr>
                <w:rFonts w:ascii="Calibri" w:hAnsi="Calibri" w:eastAsia="Calibri"/>
                <w:b w:val="0"/>
                <w:i w:val="0"/>
                <w:sz w:val="18"/>
              </w:rPr>
              <w:t>The reported fit is still saga with max_iter 200. It stops at the cap with a warning. A max_iter 1000 refit also warned and had validation macro-F1 0.453, so it was not adopted and the locked test was not scored.</w:t>
            </w:r>
          </w:p>
        </w:tc>
        <w:tc>
          <w:tcPr>
            <w:tcW w:type="dxa" w:w="3137"/>
          </w:tcPr>
          <w:p>
            <w:pPr>
              <w:spacing w:after="40" w:before="40"/>
            </w:pPr>
            <w:r/>
            <w:r>
              <w:rPr>
                <w:rFonts w:ascii="Consolas" w:hAnsi="Consolas" w:eastAsia="Consolas"/>
                <w:b w:val="0"/>
                <w:i w:val="0"/>
                <w:sz w:val="20"/>
              </w:rPr>
              <w:t>results/tables/11_logistic_convergence.json</w:t>
            </w:r>
          </w:p>
        </w:tc>
      </w:tr>
      <w:tr>
        <w:tc>
          <w:tcPr>
            <w:tcW w:type="dxa" w:w="3137"/>
          </w:tcPr>
          <w:p>
            <w:pPr>
              <w:spacing w:after="40" w:before="40"/>
            </w:pPr>
            <w:r/>
            <w:r>
              <w:rPr>
                <w:rFonts w:ascii="Calibri" w:hAnsi="Calibri" w:eastAsia="Calibri"/>
                <w:b w:val="0"/>
                <w:i w:val="0"/>
                <w:sz w:val="18"/>
              </w:rPr>
              <w:t>Hyperparameter search</w:t>
            </w:r>
          </w:p>
        </w:tc>
        <w:tc>
          <w:tcPr>
            <w:tcW w:type="dxa" w:w="3137"/>
          </w:tcPr>
          <w:p>
            <w:pPr>
              <w:spacing w:after="40" w:before="40"/>
            </w:pPr>
            <w:r/>
            <w:r>
              <w:rPr>
                <w:rFonts w:ascii="Calibri" w:hAnsi="Calibri" w:eastAsia="Calibri"/>
                <w:b w:val="0"/>
                <w:i w:val="0"/>
                <w:sz w:val="18"/>
              </w:rPr>
              <w:t>The brief says to optimise only the strongest validation model. That search was completed for histogram gradient boosting. Logistic regression, the perceptron, and the embedding network were not searched.</w:t>
            </w:r>
          </w:p>
        </w:tc>
        <w:tc>
          <w:tcPr>
            <w:tcW w:type="dxa" w:w="3137"/>
          </w:tcPr>
          <w:p>
            <w:pPr>
              <w:spacing w:after="40" w:before="40"/>
            </w:pPr>
            <w:r/>
            <w:r>
              <w:rPr>
                <w:rFonts w:ascii="Consolas" w:hAnsi="Consolas" w:eastAsia="Consolas"/>
                <w:b w:val="0"/>
                <w:i w:val="0"/>
                <w:sz w:val="20"/>
              </w:rPr>
              <w:t>results/tables/06_search_summary.csv</w:t>
            </w:r>
            <w:r>
              <w:rPr>
                <w:rFonts w:ascii="Calibri" w:hAnsi="Calibri" w:eastAsia="Calibri"/>
                <w:b w:val="0"/>
                <w:i w:val="0"/>
                <w:sz w:val="18"/>
              </w:rPr>
              <w:t xml:space="preserve">, </w:t>
            </w:r>
            <w:r>
              <w:rPr>
                <w:rFonts w:ascii="Consolas" w:hAnsi="Consolas" w:eastAsia="Consolas"/>
                <w:b w:val="0"/>
                <w:i w:val="0"/>
                <w:sz w:val="20"/>
              </w:rPr>
              <w:t>reports/IDA117V_Project_Template.pdf</w:t>
            </w:r>
          </w:p>
        </w:tc>
      </w:tr>
      <w:tr>
        <w:tc>
          <w:tcPr>
            <w:tcW w:type="dxa" w:w="3137"/>
          </w:tcPr>
          <w:p>
            <w:pPr>
              <w:spacing w:after="40" w:before="40"/>
            </w:pPr>
            <w:r/>
            <w:r>
              <w:rPr>
                <w:rFonts w:ascii="Calibri" w:hAnsi="Calibri" w:eastAsia="Calibri"/>
                <w:b w:val="0"/>
                <w:i w:val="0"/>
                <w:sz w:val="18"/>
              </w:rPr>
              <w:t>Final report PDF</w:t>
            </w:r>
          </w:p>
        </w:tc>
        <w:tc>
          <w:tcPr>
            <w:tcW w:type="dxa" w:w="3137"/>
          </w:tcPr>
          <w:p>
            <w:pPr>
              <w:spacing w:after="40" w:before="40"/>
            </w:pPr>
            <w:r/>
            <w:r>
              <w:rPr>
                <w:rFonts w:ascii="Calibri" w:hAnsi="Calibri" w:eastAsia="Calibri"/>
                <w:b w:val="0"/>
                <w:i w:val="0"/>
                <w:sz w:val="18"/>
              </w:rPr>
              <w:t xml:space="preserve">Regenerated on 18 October 2026 from </w:t>
            </w:r>
            <w:r>
              <w:rPr>
                <w:rFonts w:ascii="Consolas" w:hAnsi="Consolas" w:eastAsia="Consolas"/>
                <w:b w:val="0"/>
                <w:i w:val="0"/>
                <w:sz w:val="20"/>
              </w:rPr>
              <w:t>reports/final_report.md</w:t>
            </w:r>
            <w:r>
              <w:rPr>
                <w:rFonts w:ascii="Calibri" w:hAnsi="Calibri" w:eastAsia="Calibri"/>
                <w:b w:val="0"/>
                <w:i w:val="0"/>
                <w:sz w:val="18"/>
              </w:rPr>
              <w:t xml:space="preserve"> after the references and disclosure were added. 35 pages. The file opens, starts with </w:t>
            </w:r>
            <w:r>
              <w:rPr>
                <w:rFonts w:ascii="Consolas" w:hAnsi="Consolas" w:eastAsia="Consolas"/>
                <w:b w:val="0"/>
                <w:i w:val="0"/>
                <w:sz w:val="20"/>
              </w:rPr>
              <w:t>%PDF</w:t>
            </w:r>
            <w:r>
              <w:rPr>
                <w:rFonts w:ascii="Calibri" w:hAnsi="Calibri" w:eastAsia="Calibri"/>
                <w:b w:val="0"/>
                <w:i w:val="0"/>
                <w:sz w:val="18"/>
              </w:rPr>
              <w:t xml:space="preserve">, and ends with </w:t>
            </w:r>
            <w:r>
              <w:rPr>
                <w:rFonts w:ascii="Consolas" w:hAnsi="Consolas" w:eastAsia="Consolas"/>
                <w:b w:val="0"/>
                <w:i w:val="0"/>
                <w:sz w:val="20"/>
              </w:rPr>
              <w:t>%%EOF</w:t>
            </w:r>
            <w:r>
              <w:rPr>
                <w:rFonts w:ascii="Calibri" w:hAnsi="Calibri" w:eastAsia="Calibri"/>
                <w:b w:val="0"/>
                <w:i w:val="0"/>
                <w:sz w:val="18"/>
              </w:rPr>
              <w:t>. It contains the cover, POPIA, the Question 6.2 table, the common ROC table, the reference list, the AI-assistance disclosure, Appendix A, and 20 embedded images.</w:t>
            </w:r>
          </w:p>
        </w:tc>
        <w:tc>
          <w:tcPr>
            <w:tcW w:type="dxa" w:w="3137"/>
          </w:tcPr>
          <w:p>
            <w:pPr>
              <w:spacing w:after="40" w:before="40"/>
            </w:pPr>
            <w:r/>
            <w:r>
              <w:rPr>
                <w:rFonts w:ascii="Consolas" w:hAnsi="Consolas" w:eastAsia="Consolas"/>
                <w:b w:val="0"/>
                <w:i w:val="0"/>
                <w:sz w:val="20"/>
              </w:rPr>
              <w:t>reports/final_report.pdf</w:t>
            </w:r>
          </w:p>
        </w:tc>
      </w:tr>
      <w:tr>
        <w:tc>
          <w:tcPr>
            <w:tcW w:type="dxa" w:w="3137"/>
          </w:tcPr>
          <w:p>
            <w:pPr>
              <w:spacing w:after="40" w:before="40"/>
            </w:pPr>
            <w:r/>
            <w:r>
              <w:rPr>
                <w:rFonts w:ascii="Calibri" w:hAnsi="Calibri" w:eastAsia="Calibri"/>
                <w:b w:val="0"/>
                <w:i w:val="0"/>
                <w:sz w:val="18"/>
              </w:rPr>
              <w:t>McNemar record</w:t>
            </w:r>
          </w:p>
        </w:tc>
        <w:tc>
          <w:tcPr>
            <w:tcW w:type="dxa" w:w="3137"/>
          </w:tcPr>
          <w:p>
            <w:pPr>
              <w:spacing w:after="40" w:before="40"/>
            </w:pPr>
            <w:r/>
            <w:r>
              <w:rPr>
                <w:rFonts w:ascii="Calibri" w:hAnsi="Calibri" w:eastAsia="Calibri"/>
                <w:b w:val="0"/>
                <w:i w:val="0"/>
                <w:sz w:val="18"/>
              </w:rPr>
              <w:t>Question 6.2 compares the frozen booster with the embedding network on 422,033 aligned rows. Statistic 616.8719. p-value 3.582e-136. The perceptron table, statistic 160.6875, is the historical supplementary result.</w:t>
            </w:r>
          </w:p>
        </w:tc>
        <w:tc>
          <w:tcPr>
            <w:tcW w:type="dxa" w:w="3137"/>
          </w:tcPr>
          <w:p>
            <w:pPr>
              <w:spacing w:after="40" w:before="40"/>
            </w:pPr>
            <w:r/>
            <w:r>
              <w:rPr>
                <w:rFonts w:ascii="Consolas" w:hAnsi="Consolas" w:eastAsia="Consolas"/>
                <w:b w:val="0"/>
                <w:i w:val="0"/>
                <w:sz w:val="20"/>
              </w:rPr>
              <w:t>results/tables/13_question62_record.json</w:t>
            </w:r>
            <w:r>
              <w:rPr>
                <w:rFonts w:ascii="Calibri" w:hAnsi="Calibri" w:eastAsia="Calibri"/>
                <w:b w:val="0"/>
                <w:i w:val="0"/>
                <w:sz w:val="18"/>
              </w:rPr>
              <w:t xml:space="preserve">, </w:t>
            </w:r>
            <w:r>
              <w:rPr>
                <w:rFonts w:ascii="Consolas" w:hAnsi="Consolas" w:eastAsia="Consolas"/>
                <w:b w:val="0"/>
                <w:i w:val="0"/>
                <w:sz w:val="20"/>
              </w:rPr>
              <w:t>results/tables/07_mcnemar_test.csv</w:t>
            </w:r>
          </w:p>
        </w:tc>
      </w:tr>
      <w:tr>
        <w:tc>
          <w:tcPr>
            <w:tcW w:type="dxa" w:w="3137"/>
          </w:tcPr>
          <w:p>
            <w:pPr>
              <w:spacing w:after="40" w:before="40"/>
            </w:pPr>
            <w:r/>
            <w:r>
              <w:rPr>
                <w:rFonts w:ascii="Calibri" w:hAnsi="Calibri" w:eastAsia="Calibri"/>
                <w:b w:val="0"/>
                <w:i w:val="0"/>
                <w:sz w:val="18"/>
              </w:rPr>
              <w:t>Clean notebook run</w:t>
            </w:r>
          </w:p>
        </w:tc>
        <w:tc>
          <w:tcPr>
            <w:tcW w:type="dxa" w:w="3137"/>
          </w:tcPr>
          <w:p>
            <w:pPr>
              <w:spacing w:after="40" w:before="40"/>
            </w:pPr>
            <w:r/>
            <w:r>
              <w:rPr>
                <w:rFonts w:ascii="Calibri" w:hAnsi="Calibri" w:eastAsia="Calibri"/>
                <w:b w:val="0"/>
                <w:i w:val="0"/>
                <w:sz w:val="18"/>
              </w:rPr>
              <w:t>Notebooks 01 to 06 have an isolated execution. Notebook 07's current source was executed on 18 October 2026 against a copy of the recorded champion files and matched the saved McNemar table. The current notebook 06 source was not executed again.</w:t>
            </w:r>
          </w:p>
        </w:tc>
        <w:tc>
          <w:tcPr>
            <w:tcW w:type="dxa" w:w="3137"/>
          </w:tcPr>
          <w:p>
            <w:pPr>
              <w:spacing w:after="40" w:before="40"/>
            </w:pPr>
            <w:r/>
            <w:r>
              <w:rPr>
                <w:rFonts w:ascii="Consolas" w:hAnsi="Consolas" w:eastAsia="Consolas"/>
                <w:b w:val="0"/>
                <w:i w:val="0"/>
                <w:sz w:val="20"/>
              </w:rPr>
              <w:t>evidence/reproducibility/notebooks/execution_log.txt</w:t>
            </w:r>
            <w:r>
              <w:rPr>
                <w:rFonts w:ascii="Calibri" w:hAnsi="Calibri" w:eastAsia="Calibri"/>
                <w:b w:val="0"/>
                <w:i w:val="0"/>
                <w:sz w:val="18"/>
              </w:rPr>
              <w:t xml:space="preserve">, </w:t>
            </w:r>
            <w:r>
              <w:rPr>
                <w:rFonts w:ascii="Consolas" w:hAnsi="Consolas" w:eastAsia="Consolas"/>
                <w:b w:val="0"/>
                <w:i w:val="0"/>
                <w:sz w:val="20"/>
              </w:rPr>
              <w:t>evidence/reproducibility/notebooks/pr14_notebook07/executed/07_ablation_and_statistical_testing.ipynb</w:t>
            </w:r>
          </w:p>
        </w:tc>
      </w:tr>
      <w:tr>
        <w:tc>
          <w:tcPr>
            <w:tcW w:type="dxa" w:w="3137"/>
          </w:tcPr>
          <w:p>
            <w:pPr>
              <w:spacing w:after="40" w:before="40"/>
            </w:pPr>
            <w:r/>
            <w:r>
              <w:rPr>
                <w:rFonts w:ascii="Calibri" w:hAnsi="Calibri" w:eastAsia="Calibri"/>
                <w:b w:val="0"/>
                <w:i w:val="0"/>
                <w:sz w:val="18"/>
              </w:rPr>
              <w:t>Contribution statement</w:t>
            </w:r>
          </w:p>
        </w:tc>
        <w:tc>
          <w:tcPr>
            <w:tcW w:type="dxa" w:w="3137"/>
          </w:tcPr>
          <w:p>
            <w:pPr>
              <w:spacing w:after="40" w:before="40"/>
            </w:pPr>
            <w:r/>
            <w:r>
              <w:rPr>
                <w:rFonts w:ascii="Calibri" w:hAnsi="Calibri" w:eastAsia="Calibri"/>
                <w:b w:val="0"/>
                <w:i w:val="0"/>
                <w:sz w:val="18"/>
              </w:rPr>
              <w:t>The same allocation remains. Signature cells contain MSP, TS, U, and TG. The upper member rows and the first four contribution rows are dated 5–8 October 2026. The lower contribution rows and the confirmation table are dated 12–18 October 2026.</w:t>
            </w:r>
          </w:p>
        </w:tc>
        <w:tc>
          <w:tcPr>
            <w:tcW w:type="dxa" w:w="3137"/>
          </w:tcPr>
          <w:p>
            <w:pPr>
              <w:spacing w:after="40" w:before="40"/>
            </w:pPr>
            <w:r/>
            <w:r>
              <w:rPr>
                <w:rFonts w:ascii="Consolas" w:hAnsi="Consolas" w:eastAsia="Consolas"/>
                <w:b w:val="0"/>
                <w:i w:val="0"/>
                <w:sz w:val="20"/>
              </w:rPr>
              <w:t>reports/contribution_statement.md</w:t>
            </w:r>
            <w:r>
              <w:rPr>
                <w:rFonts w:ascii="Calibri" w:hAnsi="Calibri" w:eastAsia="Calibri"/>
                <w:b w:val="0"/>
                <w:i w:val="0"/>
                <w:sz w:val="18"/>
              </w:rPr>
              <w:t xml:space="preserve">, </w:t>
            </w:r>
            <w:r>
              <w:rPr>
                <w:rFonts w:ascii="Consolas" w:hAnsi="Consolas" w:eastAsia="Consolas"/>
                <w:b w:val="0"/>
                <w:i w:val="0"/>
                <w:sz w:val="20"/>
              </w:rPr>
              <w:t>reports/final_report.md</w:t>
            </w:r>
          </w:p>
        </w:tc>
      </w:tr>
      <w:tr>
        <w:tc>
          <w:tcPr>
            <w:tcW w:type="dxa" w:w="3137"/>
          </w:tcPr>
          <w:p>
            <w:pPr>
              <w:spacing w:after="40" w:before="40"/>
            </w:pPr>
            <w:r/>
            <w:r>
              <w:rPr>
                <w:rFonts w:ascii="Calibri" w:hAnsi="Calibri" w:eastAsia="Calibri"/>
                <w:b w:val="0"/>
                <w:i w:val="0"/>
                <w:sz w:val="18"/>
              </w:rPr>
              <w:t>References and AI disclosure</w:t>
            </w:r>
          </w:p>
        </w:tc>
        <w:tc>
          <w:tcPr>
            <w:tcW w:type="dxa" w:w="3137"/>
          </w:tcPr>
          <w:p>
            <w:pPr>
              <w:spacing w:after="40" w:before="40"/>
            </w:pPr>
            <w:r/>
            <w:r>
              <w:rPr>
                <w:rFonts w:ascii="Calibri" w:hAnsi="Calibri" w:eastAsia="Calibri"/>
                <w:b w:val="0"/>
                <w:i w:val="0"/>
                <w:sz w:val="18"/>
              </w:rPr>
              <w:t>The report cites the City dataset, POPIA, the methods that were used, and the pinned libraries. The AI section follows the git history: four human commits on 15 October 2026, and later commits by Cursor Agent. It does not invent a prompt log.</w:t>
            </w:r>
          </w:p>
        </w:tc>
        <w:tc>
          <w:tcPr>
            <w:tcW w:type="dxa" w:w="3137"/>
          </w:tcPr>
          <w:p>
            <w:pPr>
              <w:spacing w:after="40" w:before="40"/>
            </w:pPr>
            <w:r/>
            <w:r>
              <w:rPr>
                <w:rFonts w:ascii="Consolas" w:hAnsi="Consolas" w:eastAsia="Consolas"/>
                <w:b w:val="0"/>
                <w:i w:val="0"/>
                <w:sz w:val="20"/>
              </w:rPr>
              <w:t>reports/final_report.md</w:t>
            </w:r>
          </w:p>
        </w:tc>
      </w:tr>
      <w:tr>
        <w:tc>
          <w:tcPr>
            <w:tcW w:type="dxa" w:w="3137"/>
          </w:tcPr>
          <w:p>
            <w:pPr>
              <w:spacing w:after="40" w:before="40"/>
            </w:pPr>
            <w:r/>
            <w:r>
              <w:rPr>
                <w:rFonts w:ascii="Calibri" w:hAnsi="Calibri" w:eastAsia="Calibri"/>
                <w:b w:val="0"/>
                <w:i w:val="0"/>
                <w:sz w:val="18"/>
              </w:rPr>
              <w:t>Presentation evidence</w:t>
            </w:r>
          </w:p>
        </w:tc>
        <w:tc>
          <w:tcPr>
            <w:tcW w:type="dxa" w:w="3137"/>
          </w:tcPr>
          <w:p>
            <w:pPr>
              <w:spacing w:after="40" w:before="40"/>
            </w:pPr>
            <w:r/>
            <w:r>
              <w:rPr>
                <w:rFonts w:ascii="Calibri" w:hAnsi="Calibri" w:eastAsia="Calibri"/>
                <w:b w:val="0"/>
                <w:i w:val="0"/>
                <w:sz w:val="18"/>
              </w:rPr>
              <w:t>The brief asks for 10–12 minutes, every member, an interface demonstration, and a defence, from 5 to 17 October 2026. The outline matches that request. No attendance record or defence outcome is in the repository.</w:t>
            </w:r>
          </w:p>
        </w:tc>
        <w:tc>
          <w:tcPr>
            <w:tcW w:type="dxa" w:w="3137"/>
          </w:tcPr>
          <w:p>
            <w:pPr>
              <w:spacing w:after="40" w:before="40"/>
            </w:pPr>
            <w:r/>
            <w:r>
              <w:rPr>
                <w:rFonts w:ascii="Consolas" w:hAnsi="Consolas" w:eastAsia="Consolas"/>
                <w:b w:val="0"/>
                <w:i w:val="0"/>
                <w:sz w:val="20"/>
              </w:rPr>
              <w:t>reports/presentation_outline.md</w:t>
            </w:r>
          </w:p>
        </w:tc>
      </w:tr>
      <w:tr>
        <w:tc>
          <w:tcPr>
            <w:tcW w:type="dxa" w:w="3137"/>
          </w:tcPr>
          <w:p>
            <w:pPr>
              <w:spacing w:after="40" w:before="40"/>
            </w:pPr>
            <w:r/>
            <w:r>
              <w:rPr>
                <w:rFonts w:ascii="Calibri" w:hAnsi="Calibri" w:eastAsia="Calibri"/>
                <w:b w:val="0"/>
                <w:i w:val="0"/>
                <w:sz w:val="18"/>
              </w:rPr>
              <w:t>Logistic convergence</w:t>
            </w:r>
          </w:p>
        </w:tc>
        <w:tc>
          <w:tcPr>
            <w:tcW w:type="dxa" w:w="3137"/>
          </w:tcPr>
          <w:p>
            <w:pPr>
              <w:spacing w:after="40" w:before="40"/>
            </w:pPr>
            <w:r/>
            <w:r>
              <w:rPr>
                <w:rFonts w:ascii="Calibri" w:hAnsi="Calibri" w:eastAsia="Calibri"/>
                <w:b w:val="0"/>
                <w:i w:val="0"/>
                <w:sz w:val="18"/>
              </w:rPr>
              <w:t xml:space="preserve">The warning is retained. </w:t>
            </w:r>
            <w:r>
              <w:rPr>
                <w:rFonts w:ascii="Consolas" w:hAnsi="Consolas" w:eastAsia="Consolas"/>
                <w:b w:val="0"/>
                <w:i w:val="0"/>
                <w:sz w:val="20"/>
              </w:rPr>
              <w:t>converged</w:t>
            </w:r>
            <w:r>
              <w:rPr>
                <w:rFonts w:ascii="Calibri" w:hAnsi="Calibri" w:eastAsia="Calibri"/>
                <w:b w:val="0"/>
                <w:i w:val="0"/>
                <w:sz w:val="18"/>
              </w:rPr>
              <w:t xml:space="preserve"> is false. The saved validation macro-F1 0.460268 is the comparable 200-iteration score. The model is not described as converged.</w:t>
            </w:r>
          </w:p>
        </w:tc>
        <w:tc>
          <w:tcPr>
            <w:tcW w:type="dxa" w:w="3137"/>
          </w:tcPr>
          <w:p>
            <w:pPr>
              <w:spacing w:after="40" w:before="40"/>
            </w:pPr>
            <w:r/>
            <w:r>
              <w:rPr>
                <w:rFonts w:ascii="Consolas" w:hAnsi="Consolas" w:eastAsia="Consolas"/>
                <w:b w:val="0"/>
                <w:i w:val="0"/>
                <w:sz w:val="20"/>
              </w:rPr>
              <w:t>results/tables/11_logistic_convergence.json</w:t>
            </w:r>
          </w:p>
        </w:tc>
      </w:tr>
      <w:tr>
        <w:tc>
          <w:tcPr>
            <w:tcW w:type="dxa" w:w="3137"/>
          </w:tcPr>
          <w:p>
            <w:pPr>
              <w:spacing w:after="40" w:before="40"/>
            </w:pPr>
            <w:r/>
            <w:r>
              <w:rPr>
                <w:rFonts w:ascii="Calibri" w:hAnsi="Calibri" w:eastAsia="Calibri"/>
                <w:b w:val="0"/>
                <w:i w:val="0"/>
                <w:sz w:val="18"/>
              </w:rPr>
              <w:t>Notebook 07 section 4</w:t>
            </w:r>
          </w:p>
        </w:tc>
        <w:tc>
          <w:tcPr>
            <w:tcW w:type="dxa" w:w="3137"/>
          </w:tcPr>
          <w:p>
            <w:pPr>
              <w:spacing w:after="40" w:before="40"/>
            </w:pPr>
            <w:r/>
            <w:r>
              <w:rPr>
                <w:rFonts w:ascii="Calibri" w:hAnsi="Calibri" w:eastAsia="Calibri"/>
                <w:b w:val="0"/>
                <w:i w:val="0"/>
                <w:sz w:val="18"/>
              </w:rPr>
              <w:t>Executed in the notebook on 18 October 2026. Displayed Question 6.2 counts and the statistic match the saved record.</w:t>
            </w:r>
          </w:p>
        </w:tc>
        <w:tc>
          <w:tcPr>
            <w:tcW w:type="dxa" w:w="3137"/>
          </w:tcPr>
          <w:p>
            <w:pPr>
              <w:spacing w:after="40" w:before="40"/>
            </w:pPr>
            <w:r/>
            <w:r>
              <w:rPr>
                <w:rFonts w:ascii="Consolas" w:hAnsi="Consolas" w:eastAsia="Consolas"/>
                <w:b w:val="0"/>
                <w:i w:val="0"/>
                <w:sz w:val="20"/>
              </w:rPr>
              <w:t>notebooks/07_ablation_and_statistical_testing.ipynb</w:t>
            </w:r>
          </w:p>
        </w:tc>
      </w:tr>
    </w:tbl>
    <w:p/>
    <w:p>
      <w:r>
        <w:rPr>
          <w:rFonts w:ascii="Calibri" w:hAnsi="Calibri" w:eastAsia="Calibri"/>
          <w:b w:val="0"/>
          <w:i w:val="0"/>
          <w:sz w:val="22"/>
        </w:rPr>
        <w:t>Commands that reproduce the new tables and figures, from the repository root, with the labelled parquet and the saved test predictions in place:</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python -m src.work_centre_comparison</w:t>
              <w:br/>
              <w:t>python -m src.geographic_error_audit</w:t>
              <w:br/>
              <w:t>python -m src.per_class_curves</w:t>
              <w:br/>
              <w:t>python -m src.embedding_experiment</w:t>
              <w:br/>
              <w:t>python -m src.logistic_convergence</w:t>
              <w:br/>
              <w:t>python -m src.logistic_conditioning</w:t>
              <w:br/>
              <w:t>python -m src.locked_test_comparison</w:t>
            </w:r>
          </w:p>
        </w:tc>
      </w:tr>
    </w:tbl>
    <w:p/>
    <w:p>
      <w:r>
        <w:rPr>
          <w:rFonts w:ascii="Calibri" w:hAnsi="Calibri" w:eastAsia="Calibri"/>
          <w:b w:val="0"/>
          <w:i w:val="0"/>
          <w:sz w:val="22"/>
        </w:rPr>
        <w:t xml:space="preserve">The work-centre command refits two models. The geographic audit and the curve command only read saved predictions. The embedding command scores the saved checkpoint and retrains beside it when </w:t>
      </w:r>
      <w:r>
        <w:rPr>
          <w:rFonts w:ascii="Consolas" w:hAnsi="Consolas" w:eastAsia="Consolas"/>
          <w:b w:val="0"/>
          <w:i w:val="0"/>
          <w:sz w:val="20"/>
        </w:rPr>
        <w:t>models/embedding_network.pt</w:t>
      </w:r>
      <w:r>
        <w:rPr>
          <w:rFonts w:ascii="Calibri" w:hAnsi="Calibri" w:eastAsia="Calibri"/>
          <w:b w:val="0"/>
          <w:i w:val="0"/>
          <w:sz w:val="22"/>
        </w:rPr>
        <w:t xml:space="preserve"> already exists, so that file is not replaced. The logistic conditioning command fits two separate variants on the training period and scores the 2025 validation period. </w:t>
      </w:r>
      <w:r>
        <w:rPr>
          <w:rFonts w:ascii="Consolas" w:hAnsi="Consolas" w:eastAsia="Consolas"/>
          <w:b w:val="0"/>
          <w:i w:val="0"/>
          <w:sz w:val="20"/>
        </w:rPr>
        <w:t>python -m src.locked_test_comparison</w:t>
      </w:r>
      <w:r>
        <w:rPr>
          <w:rFonts w:ascii="Calibri" w:hAnsi="Calibri" w:eastAsia="Calibri"/>
          <w:b w:val="0"/>
          <w:i w:val="0"/>
          <w:sz w:val="22"/>
        </w:rPr>
        <w:t xml:space="preserve"> scores the saved embedding checkpoint on the existing locked test and writes the common ROC figure. It does not replace the champion files.</w:t>
      </w:r>
    </w:p>
    <w:p>
      <w:r>
        <w:rPr>
          <w:rFonts w:ascii="Calibri" w:hAnsi="Calibri" w:eastAsia="Calibri"/>
          <w:b w:val="0"/>
          <w:i w:val="0"/>
          <w:sz w:val="22"/>
        </w:rPr>
        <w:t>The report PDF is printed from the Markdown file. Pandoc is not installed in this environment. The export uses headless Chrome:</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python scripts/export_report_pdf.py</w:t>
            </w:r>
          </w:p>
        </w:tc>
      </w:tr>
    </w:tbl>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checklist</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