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Департамент образования города Москвы</w:t>
      </w:r>
    </w:p>
    <w:p w:rsidR="00000000" w:rsidDel="00000000" w:rsidP="00000000" w:rsidRDefault="00000000" w:rsidRPr="00000000" w14:paraId="00000002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 высшего образования города Москвы  </w:t>
      </w:r>
    </w:p>
    <w:p w:rsidR="00000000" w:rsidDel="00000000" w:rsidP="00000000" w:rsidRDefault="00000000" w:rsidRPr="00000000" w14:paraId="00000005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«Московский городской педагогический университет» </w:t>
      </w:r>
    </w:p>
    <w:p w:rsidR="00000000" w:rsidDel="00000000" w:rsidP="00000000" w:rsidRDefault="00000000" w:rsidRPr="00000000" w14:paraId="00000006">
      <w:pPr>
        <w:spacing w:after="6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Институт цифрового образования </w:t>
      </w:r>
    </w:p>
    <w:p w:rsidR="00000000" w:rsidDel="00000000" w:rsidP="00000000" w:rsidRDefault="00000000" w:rsidRPr="00000000" w14:paraId="00000008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Департамент информатики, управления и технологий</w:t>
      </w:r>
    </w:p>
    <w:p w:rsidR="00000000" w:rsidDel="00000000" w:rsidP="00000000" w:rsidRDefault="00000000" w:rsidRPr="00000000" w14:paraId="00000009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ДИСЦИПЛИНА:</w:t>
      </w:r>
    </w:p>
    <w:p w:rsidR="00000000" w:rsidDel="00000000" w:rsidP="00000000" w:rsidRDefault="00000000" w:rsidRPr="00000000" w14:paraId="0000000C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424242"/>
          <w:sz w:val="27"/>
          <w:szCs w:val="27"/>
          <w:rtl w:val="0"/>
        </w:rPr>
        <w:t xml:space="preserve">Инструменты контроля версий в аналитических проектах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Семинар №4</w:t>
      </w:r>
    </w:p>
    <w:p w:rsidR="00000000" w:rsidDel="00000000" w:rsidP="00000000" w:rsidRDefault="00000000" w:rsidRPr="00000000" w14:paraId="0000000F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"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Тема: «Детекция отказов»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" w:line="240" w:lineRule="auto"/>
        <w:ind w:left="5529" w:hanging="282.99999999999955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Выполнила: </w:t>
      </w:r>
    </w:p>
    <w:p w:rsidR="00000000" w:rsidDel="00000000" w:rsidP="00000000" w:rsidRDefault="00000000" w:rsidRPr="00000000" w14:paraId="00000018">
      <w:pPr>
        <w:spacing w:after="6" w:line="240" w:lineRule="auto"/>
        <w:ind w:left="5529" w:hanging="282.99999999999955"/>
        <w:rPr/>
      </w:pPr>
      <w:r w:rsidDel="00000000" w:rsidR="00000000" w:rsidRPr="00000000">
        <w:rPr>
          <w:rtl w:val="0"/>
        </w:rPr>
        <w:t xml:space="preserve">Студентка группы АДЭУ-211 </w:t>
      </w:r>
    </w:p>
    <w:p w:rsidR="00000000" w:rsidDel="00000000" w:rsidP="00000000" w:rsidRDefault="00000000" w:rsidRPr="00000000" w14:paraId="00000019">
      <w:pPr>
        <w:spacing w:after="6" w:line="240" w:lineRule="auto"/>
        <w:ind w:left="5529" w:hanging="282.99999999999955"/>
        <w:rPr/>
      </w:pPr>
      <w:r w:rsidDel="00000000" w:rsidR="00000000" w:rsidRPr="00000000">
        <w:rPr>
          <w:rtl w:val="0"/>
        </w:rPr>
        <w:t xml:space="preserve">Мокрецова В.А.</w:t>
      </w:r>
    </w:p>
    <w:p w:rsidR="00000000" w:rsidDel="00000000" w:rsidP="00000000" w:rsidRDefault="00000000" w:rsidRPr="00000000" w14:paraId="0000001A">
      <w:pPr>
        <w:spacing w:after="6" w:line="240" w:lineRule="auto"/>
        <w:ind w:left="5529" w:hanging="282.999999999999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" w:line="240" w:lineRule="auto"/>
        <w:ind w:left="5529" w:hanging="282.99999999999955"/>
        <w:rPr/>
      </w:pPr>
      <w:r w:rsidDel="00000000" w:rsidR="00000000" w:rsidRPr="00000000">
        <w:rPr>
          <w:b w:val="1"/>
          <w:rtl w:val="0"/>
        </w:rPr>
        <w:t xml:space="preserve">Руководитель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after="6" w:line="240" w:lineRule="auto"/>
        <w:ind w:left="5529" w:hanging="282.99999999999955"/>
        <w:jc w:val="left"/>
        <w:rPr>
          <w:color w:val="000000"/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Босенко Т.М.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" w:line="240" w:lineRule="auto"/>
        <w:ind w:left="5529" w:hanging="282.999999999999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" w:line="240" w:lineRule="auto"/>
        <w:ind w:left="5529" w:hanging="282.999999999999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" w:line="240" w:lineRule="auto"/>
        <w:ind w:left="5812" w:hanging="282.999999999999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" w:line="240" w:lineRule="auto"/>
        <w:ind w:left="-850.3937007874016" w:firstLine="0"/>
        <w:jc w:val="center"/>
        <w:rPr/>
      </w:pPr>
      <w:r w:rsidDel="00000000" w:rsidR="00000000" w:rsidRPr="00000000">
        <w:rPr>
          <w:rtl w:val="0"/>
        </w:rPr>
        <w:t xml:space="preserve">Москва</w:t>
      </w:r>
    </w:p>
    <w:p w:rsidR="00000000" w:rsidDel="00000000" w:rsidP="00000000" w:rsidRDefault="00000000" w:rsidRPr="00000000" w14:paraId="00000027">
      <w:pPr>
        <w:spacing w:after="280" w:before="280" w:lineRule="auto"/>
        <w:ind w:left="3968.503937007874" w:firstLine="0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Определить сходимость SWIM, интервалы конвергенции (указать процент конвергенции, при котором график имеет наибольшее отклонение от гладкой кривой) компьютерной распределенной сети при следующих входных параметрах: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GOSSIP FANOUT - 10, 5, 3 nodes.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NODES = 50, 100.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PACKET LOSS – 10%, 50%.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№1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GOSSIP FANOUT - 10 nodes.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0,3 при 99,993%, интервалы конвергенции: 0,1 при 63,834%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178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432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№2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GOSSIP FANOUT - 10 nodes.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NODES = 100.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0,3 при 99,986%, интервалы конвергенции:  0,12 при 50%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17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432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№3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  <w:t xml:space="preserve">GOSSIP FANOUT - 10 nodes.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  <w:t xml:space="preserve">NODES = 100.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PACKET LOSS – 50%.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0,4 при 99,544%, интервалы конвергенции:  0,2 при 59,505%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30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№4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GOSSIP FANOUT - 10 nodes.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PACKET LOSS – 50%.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0,5 при 99,981%, интервалы конвергенции:  0,18 при 60%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432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924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№5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GOSSIP FANOUT - 5 nodes.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0,4 при 99,375%, интервалы конвергенции:  0,2 при 63,834%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289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№6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GOSSIP FANOUT - 5 nodes.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PACKET LOSS – 50%.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0,7 при 99,198%, интервалы конвергенции:  0,35 при 60%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432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67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№7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GOSSIP FANOUT - 5 nodes.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NODES = 100.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0,6 при 99,986%, интервалы конвергенции:  0,25 при 70%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163503" cy="239143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239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432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№8</w:t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GOSSIP FANOUT - 5 nodes.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NODES = 100.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PACKET LOSS – 50%.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 xml:space="preserve">Сходимость SWIM:1,1 при </w:t>
      </w:r>
      <w:r w:rsidDel="00000000" w:rsidR="00000000" w:rsidRPr="00000000">
        <w:rPr>
          <w:sz w:val="26"/>
          <w:szCs w:val="26"/>
          <w:rtl w:val="0"/>
        </w:rPr>
        <w:t xml:space="preserve">99,544%</w:t>
      </w:r>
      <w:r w:rsidDel="00000000" w:rsidR="00000000" w:rsidRPr="00000000">
        <w:rPr>
          <w:rtl w:val="0"/>
        </w:rPr>
        <w:t xml:space="preserve">, интервалы конвергенции: 0,4 при </w:t>
      </w:r>
      <w:r w:rsidDel="00000000" w:rsidR="00000000" w:rsidRPr="00000000">
        <w:rPr>
          <w:sz w:val="26"/>
          <w:szCs w:val="26"/>
          <w:rtl w:val="0"/>
        </w:rPr>
        <w:t xml:space="preserve">59,505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3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17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№9</w:t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GOSSIP FANOUT - 3 nodes.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0,9 при 99,973%, интервалы конвергенции:  0,30 при 52,951%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81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№10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GOSSIP FANOUT - 3 nodes.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  <w:t xml:space="preserve">PACKET LOSS – 50%.</w:t>
      </w:r>
    </w:p>
    <w:p w:rsidR="00000000" w:rsidDel="00000000" w:rsidP="00000000" w:rsidRDefault="00000000" w:rsidRPr="00000000" w14:paraId="0000007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Сходимость SWIM: 1,5 при </w:t>
      </w:r>
      <w:r w:rsidDel="00000000" w:rsidR="00000000" w:rsidRPr="00000000">
        <w:rPr>
          <w:sz w:val="24"/>
          <w:szCs w:val="24"/>
          <w:rtl w:val="0"/>
        </w:rPr>
        <w:t xml:space="preserve">99,969%</w:t>
      </w:r>
      <w:r w:rsidDel="00000000" w:rsidR="00000000" w:rsidRPr="00000000">
        <w:rPr>
          <w:rtl w:val="0"/>
        </w:rPr>
        <w:t xml:space="preserve">, интервалы конвергенции:0,6 при </w:t>
      </w:r>
      <w:r w:rsidDel="00000000" w:rsidR="00000000" w:rsidRPr="00000000">
        <w:rPr>
          <w:sz w:val="24"/>
          <w:szCs w:val="24"/>
          <w:rtl w:val="0"/>
        </w:rPr>
        <w:t xml:space="preserve">63,834%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1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7813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№11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 xml:space="preserve">GOSSIP FANOUT - 3 nodes.</w:t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NODES = 100.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8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Сходимость SWIM: 0,9 при </w:t>
      </w:r>
      <w:r w:rsidDel="00000000" w:rsidR="00000000" w:rsidRPr="00000000">
        <w:rPr>
          <w:sz w:val="24"/>
          <w:szCs w:val="24"/>
          <w:rtl w:val="0"/>
        </w:rPr>
        <w:t xml:space="preserve">99,986%,</w:t>
      </w:r>
      <w:r w:rsidDel="00000000" w:rsidR="00000000" w:rsidRPr="00000000">
        <w:rPr>
          <w:rtl w:val="0"/>
        </w:rPr>
        <w:t xml:space="preserve"> интервалы конвергенции:  0,375 при </w:t>
      </w:r>
      <w:r w:rsidDel="00000000" w:rsidR="00000000" w:rsidRPr="00000000">
        <w:rPr>
          <w:sz w:val="24"/>
          <w:szCs w:val="24"/>
          <w:rtl w:val="0"/>
        </w:rPr>
        <w:t xml:space="preserve">60%</w:t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924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  <w:t xml:space="preserve">№12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GOSSIP FANOUT - 3 nodes.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NODES = 100.</w:t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  <w:t xml:space="preserve">PACKET LOSS – 50%.</w:t>
      </w:r>
    </w:p>
    <w:p w:rsidR="00000000" w:rsidDel="00000000" w:rsidP="00000000" w:rsidRDefault="00000000" w:rsidRPr="00000000" w14:paraId="0000008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Сходимость SWIM: 1,6 при </w:t>
      </w:r>
      <w:r w:rsidDel="00000000" w:rsidR="00000000" w:rsidRPr="00000000">
        <w:rPr>
          <w:sz w:val="24"/>
          <w:szCs w:val="24"/>
          <w:rtl w:val="0"/>
        </w:rPr>
        <w:t xml:space="preserve">99,938%,</w:t>
      </w:r>
      <w:r w:rsidDel="00000000" w:rsidR="00000000" w:rsidRPr="00000000">
        <w:rPr>
          <w:rtl w:val="0"/>
        </w:rPr>
        <w:t xml:space="preserve"> интервалы конвергенции:  0,7 при </w:t>
      </w:r>
      <w:r w:rsidDel="00000000" w:rsidR="00000000" w:rsidRPr="00000000">
        <w:rPr>
          <w:sz w:val="24"/>
          <w:szCs w:val="24"/>
          <w:rtl w:val="0"/>
        </w:rPr>
        <w:t xml:space="preserve">65,34%</w:t>
      </w:r>
    </w:p>
    <w:p w:rsidR="00000000" w:rsidDel="00000000" w:rsidP="00000000" w:rsidRDefault="00000000" w:rsidRPr="00000000" w14:paraId="0000009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2743200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276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 12 построенных графиков с различными параметрами наиболее оптимальными представляются следующие варианты: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GOSSIP FANOUT - 10 nodes.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NODES = 100.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0,3 при 99,986%, интервалы конвергенции:  0,12 при 50%</w:t>
      </w:r>
    </w:p>
    <w:p w:rsidR="00000000" w:rsidDel="00000000" w:rsidP="00000000" w:rsidRDefault="00000000" w:rsidRPr="00000000" w14:paraId="0000009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Этот вариант показывает наилучшее время достижения сходимости. Большое число узлов (100) и низкая потеря пакетов (10%) благоприятствуют быстрой рассылке обновлений по кластеру.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GOSSIP FANOUT - 5 nodes.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0,4 при 99,375%, интервалы конвергенции:  0,195 при 60%</w:t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0,5 при 99,869%, интервалы конвергенции:  0,25 при 70%</w:t>
      </w:r>
    </w:p>
    <w:p w:rsidR="00000000" w:rsidDel="00000000" w:rsidP="00000000" w:rsidRDefault="00000000" w:rsidRPr="00000000" w14:paraId="0000009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Также показывает хорошее время конвергенции. Меньшее значение gossip fanout компенсируется большим числом узлов.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В итоге больше всего подходит </w:t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  <w:t xml:space="preserve">GOSSIP FANOUT - 5 nodes.</w:t>
      </w:r>
    </w:p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  <w:t xml:space="preserve">GOSSIP INTERVAL – 0.1.</w:t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  <w:t xml:space="preserve">NODES = 50.</w:t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PACKET LOSS – 10%.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  <w:t xml:space="preserve">Сходимость SWIM: 0,4 при 99,375%, интервалы конвергенции:  0,195 при 60%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Чтобы не нагружать сеть и увеличивать скорость.</w:t>
      </w:r>
    </w:p>
    <w:p w:rsidR="00000000" w:rsidDel="00000000" w:rsidP="00000000" w:rsidRDefault="00000000" w:rsidRPr="00000000" w14:paraId="000000A7">
      <w:pPr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4.png"/><Relationship Id="rId21" Type="http://schemas.openxmlformats.org/officeDocument/2006/relationships/image" Target="media/image12.png"/><Relationship Id="rId24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6.png"/><Relationship Id="rId25" Type="http://schemas.openxmlformats.org/officeDocument/2006/relationships/image" Target="media/image20.png"/><Relationship Id="rId28" Type="http://schemas.openxmlformats.org/officeDocument/2006/relationships/image" Target="media/image2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2.png"/><Relationship Id="rId7" Type="http://schemas.openxmlformats.org/officeDocument/2006/relationships/image" Target="media/image22.png"/><Relationship Id="rId8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5" Type="http://schemas.openxmlformats.org/officeDocument/2006/relationships/image" Target="media/image23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