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7AB5" w:rsidRPr="00255F56" w:rsidRDefault="00000000">
      <w:pPr>
        <w:spacing w:before="1600"/>
        <w:jc w:val="center"/>
        <w:rPr>
          <w:sz w:val="72"/>
          <w:szCs w:val="72"/>
        </w:rPr>
      </w:pPr>
      <w:r w:rsidRPr="00255F56">
        <w:rPr>
          <w:b/>
          <w:bCs/>
          <w:color w:val="1B2A4A"/>
          <w:sz w:val="72"/>
          <w:szCs w:val="72"/>
        </w:rPr>
        <w:t>Trader Performance &amp; Market Sentiment</w:t>
      </w:r>
    </w:p>
    <w:p w:rsidR="00007AB5" w:rsidRDefault="00000000">
      <w:pPr>
        <w:spacing w:before="120" w:after="60"/>
        <w:jc w:val="center"/>
      </w:pPr>
      <w:r w:rsidRPr="00255F56">
        <w:rPr>
          <w:color w:val="6B7280"/>
          <w:sz w:val="72"/>
          <w:szCs w:val="72"/>
        </w:rPr>
        <w:t xml:space="preserve">An Analysis of </w:t>
      </w:r>
      <w:proofErr w:type="spellStart"/>
      <w:r w:rsidRPr="00255F56">
        <w:rPr>
          <w:color w:val="6B7280"/>
          <w:sz w:val="72"/>
          <w:szCs w:val="72"/>
        </w:rPr>
        <w:t>Hyperliquid</w:t>
      </w:r>
      <w:proofErr w:type="spellEnd"/>
      <w:r w:rsidRPr="00255F56">
        <w:rPr>
          <w:color w:val="6B7280"/>
          <w:sz w:val="72"/>
          <w:szCs w:val="72"/>
        </w:rPr>
        <w:t xml:space="preserve"> Trading </w:t>
      </w:r>
      <w:proofErr w:type="spellStart"/>
      <w:r w:rsidRPr="00255F56">
        <w:rPr>
          <w:color w:val="6B7280"/>
          <w:sz w:val="72"/>
          <w:szCs w:val="72"/>
        </w:rPr>
        <w:t>Behavior</w:t>
      </w:r>
      <w:proofErr w:type="spellEnd"/>
      <w:r w:rsidRPr="00255F56">
        <w:rPr>
          <w:color w:val="6B7280"/>
          <w:sz w:val="72"/>
          <w:szCs w:val="72"/>
        </w:rPr>
        <w:t xml:space="preserve"> Against the Bitcoin Fear &amp; Greed</w:t>
      </w:r>
      <w:r>
        <w:rPr>
          <w:color w:val="6B7280"/>
          <w:sz w:val="26"/>
          <w:szCs w:val="26"/>
        </w:rPr>
        <w:t xml:space="preserve"> </w:t>
      </w:r>
    </w:p>
    <w:p w:rsidR="00007AB5" w:rsidRDefault="00000000">
      <w:r>
        <w:br w:type="page"/>
      </w:r>
    </w:p>
    <w:p w:rsidR="00007AB5" w:rsidRDefault="00000000">
      <w:pPr>
        <w:pStyle w:val="Heading1"/>
        <w:spacing w:before="360" w:after="160"/>
      </w:pPr>
      <w:r>
        <w:rPr>
          <w:b/>
          <w:bCs/>
          <w:color w:val="1B2A4A"/>
          <w:sz w:val="30"/>
          <w:szCs w:val="30"/>
        </w:rPr>
        <w:lastRenderedPageBreak/>
        <w:t>Executive Summary</w:t>
      </w:r>
    </w:p>
    <w:p w:rsidR="00007AB5" w:rsidRDefault="00000000">
      <w:pPr>
        <w:spacing w:after="160" w:line="300" w:lineRule="auto"/>
      </w:pPr>
      <w:r>
        <w:rPr>
          <w:color w:val="1F2937"/>
          <w:sz w:val="21"/>
          <w:szCs w:val="21"/>
        </w:rPr>
        <w:t xml:space="preserve">This report examines whether Bitcoin market sentiment — as measured by the Fear &amp; Greed Index — is associated with meaningful differences in trader </w:t>
      </w:r>
      <w:proofErr w:type="spellStart"/>
      <w:r>
        <w:rPr>
          <w:color w:val="1F2937"/>
          <w:sz w:val="21"/>
          <w:szCs w:val="21"/>
        </w:rPr>
        <w:t>behavior</w:t>
      </w:r>
      <w:proofErr w:type="spellEnd"/>
      <w:r>
        <w:rPr>
          <w:color w:val="1F2937"/>
          <w:sz w:val="21"/>
          <w:szCs w:val="21"/>
        </w:rPr>
        <w:t xml:space="preserve"> and performance on </w:t>
      </w:r>
      <w:proofErr w:type="spellStart"/>
      <w:r>
        <w:rPr>
          <w:color w:val="1F2937"/>
          <w:sz w:val="21"/>
          <w:szCs w:val="21"/>
        </w:rPr>
        <w:t>Hyperliquid</w:t>
      </w:r>
      <w:proofErr w:type="spellEnd"/>
      <w:r>
        <w:rPr>
          <w:color w:val="1F2937"/>
          <w:sz w:val="21"/>
          <w:szCs w:val="21"/>
        </w:rPr>
        <w:t>. Two datasets were joined on calendar date: 211,224 individual trade executions from 32 accounts (May 2023 – May 2025), and daily sentiment classifications ranging from Extreme Fear to Extreme Greed. 211,218 trades (99.997%) matched a sentiment label.</w:t>
      </w:r>
    </w:p>
    <w:p w:rsidR="00007AB5" w:rsidRDefault="00000000">
      <w:pPr>
        <w:spacing w:after="160" w:line="300" w:lineRule="auto"/>
      </w:pPr>
      <w:r>
        <w:rPr>
          <w:color w:val="1F2937"/>
          <w:sz w:val="21"/>
          <w:szCs w:val="21"/>
        </w:rPr>
        <w:t>The headline finding is that sentiment correlates with how traders behave far more strongly than with whether they win. Win rates stay in a fairly tight 76–89% band across all five sentiment regimes, but activity level, position sizing, and directional bias (long vs. short) shift substantially. Extreme Fear days see roughly 4–6x more trades per day than Greed days, and short positions perform disproportionately well during Extreme Fear — consistent with traders correctly leaning bearish and adding to positions during sharp drawdowns.</w:t>
      </w:r>
    </w:p>
    <w:p w:rsidR="00007AB5" w:rsidRDefault="00000000">
      <w:pPr>
        <w:spacing w:after="160" w:line="300" w:lineRule="auto"/>
      </w:pPr>
      <w:r>
        <w:rPr>
          <w:color w:val="1F2937"/>
          <w:sz w:val="21"/>
          <w:szCs w:val="21"/>
        </w:rPr>
        <w:t>Overall the account base is highly profitable (net of fees, +$10.0M across 104,402 closed trades), but that profitability is concentrated: 5 of 32 accounts generated the large majority of gains, and 3 accounts finished net negative. This points to skill/strategy as the dominant driver of outcomes, with sentiment acting as a secondary, activity-shaping variable rather than a simple predictor of profit or loss.</w:t>
      </w:r>
    </w:p>
    <w:p w:rsidR="00007AB5" w:rsidRDefault="00000000">
      <w:pPr>
        <w:pStyle w:val="Heading1"/>
        <w:spacing w:before="360" w:after="160"/>
      </w:pPr>
      <w:r>
        <w:rPr>
          <w:b/>
          <w:bCs/>
          <w:color w:val="1B2A4A"/>
          <w:sz w:val="30"/>
          <w:szCs w:val="30"/>
        </w:rPr>
        <w:t>1. Data &amp; Methodology</w:t>
      </w:r>
    </w:p>
    <w:p w:rsidR="00007AB5" w:rsidRDefault="00000000">
      <w:pPr>
        <w:pStyle w:val="Heading2"/>
        <w:spacing w:before="280" w:after="120"/>
      </w:pPr>
      <w:r>
        <w:rPr>
          <w:b/>
          <w:bCs/>
          <w:color w:val="1B2A4A"/>
          <w:sz w:val="24"/>
          <w:szCs w:val="24"/>
        </w:rPr>
        <w:t>1.1 Datasets</w:t>
      </w:r>
    </w:p>
    <w:p w:rsidR="00007AB5" w:rsidRDefault="00000000">
      <w:pPr>
        <w:pStyle w:val="ListParagraph"/>
        <w:numPr>
          <w:ilvl w:val="0"/>
          <w:numId w:val="1"/>
        </w:numPr>
        <w:spacing w:after="90" w:line="290" w:lineRule="auto"/>
      </w:pPr>
      <w:r>
        <w:rPr>
          <w:color w:val="1F2937"/>
          <w:sz w:val="21"/>
          <w:szCs w:val="21"/>
        </w:rPr>
        <w:t>Bitcoin Market Sentiment Index — 2,644 daily records (Feb 2018 – May 2025) with a 0–100 sentiment value and a five-way classification: Extreme Fear, Fear, Neutral, Greed, Extreme Greed.</w:t>
      </w:r>
    </w:p>
    <w:p w:rsidR="00007AB5" w:rsidRDefault="00000000">
      <w:pPr>
        <w:pStyle w:val="ListParagraph"/>
        <w:numPr>
          <w:ilvl w:val="0"/>
          <w:numId w:val="1"/>
        </w:numPr>
        <w:spacing w:after="90" w:line="290" w:lineRule="auto"/>
      </w:pPr>
      <w:proofErr w:type="spellStart"/>
      <w:r>
        <w:rPr>
          <w:color w:val="1F2937"/>
          <w:sz w:val="21"/>
          <w:szCs w:val="21"/>
        </w:rPr>
        <w:t>Hyperliquid</w:t>
      </w:r>
      <w:proofErr w:type="spellEnd"/>
      <w:r>
        <w:rPr>
          <w:color w:val="1F2937"/>
          <w:sz w:val="21"/>
          <w:szCs w:val="21"/>
        </w:rPr>
        <w:t xml:space="preserve"> Historical Trades — 211,224 executions from 32 accounts across 246 symbols, including execution price, size (tokens &amp; USD), side, direction (open/close, long/short), closed </w:t>
      </w:r>
      <w:proofErr w:type="spellStart"/>
      <w:r>
        <w:rPr>
          <w:color w:val="1F2937"/>
          <w:sz w:val="21"/>
          <w:szCs w:val="21"/>
        </w:rPr>
        <w:t>PnL</w:t>
      </w:r>
      <w:proofErr w:type="spellEnd"/>
      <w:r>
        <w:rPr>
          <w:color w:val="1F2937"/>
          <w:sz w:val="21"/>
          <w:szCs w:val="21"/>
        </w:rPr>
        <w:t>, fees, and timestamps.</w:t>
      </w:r>
    </w:p>
    <w:p w:rsidR="00007AB5" w:rsidRDefault="00000000">
      <w:pPr>
        <w:pStyle w:val="Heading2"/>
        <w:spacing w:before="280" w:after="120"/>
      </w:pPr>
      <w:r>
        <w:rPr>
          <w:b/>
          <w:bCs/>
          <w:color w:val="1B2A4A"/>
          <w:sz w:val="24"/>
          <w:szCs w:val="24"/>
        </w:rPr>
        <w:t>1.2 Processing</w:t>
      </w:r>
    </w:p>
    <w:p w:rsidR="00007AB5" w:rsidRDefault="00000000">
      <w:pPr>
        <w:pStyle w:val="ListParagraph"/>
        <w:numPr>
          <w:ilvl w:val="0"/>
          <w:numId w:val="1"/>
        </w:numPr>
        <w:spacing w:after="90" w:line="290" w:lineRule="auto"/>
      </w:pPr>
      <w:r>
        <w:rPr>
          <w:color w:val="1F2937"/>
          <w:sz w:val="21"/>
          <w:szCs w:val="21"/>
        </w:rPr>
        <w:t>Trade timestamps were converted to calendar dates and left-joined to the sentiment table on that date; 6 trades outside the sentiment index's date coverage were dropped.</w:t>
      </w:r>
    </w:p>
    <w:p w:rsidR="00007AB5" w:rsidRDefault="00000000">
      <w:pPr>
        <w:pStyle w:val="ListParagraph"/>
        <w:numPr>
          <w:ilvl w:val="0"/>
          <w:numId w:val="1"/>
        </w:numPr>
        <w:spacing w:after="90" w:line="290" w:lineRule="auto"/>
      </w:pPr>
      <w:r>
        <w:rPr>
          <w:color w:val="1F2937"/>
          <w:sz w:val="21"/>
          <w:szCs w:val="21"/>
        </w:rPr>
        <w:t xml:space="preserve">“Closed </w:t>
      </w:r>
      <w:proofErr w:type="spellStart"/>
      <w:r>
        <w:rPr>
          <w:color w:val="1F2937"/>
          <w:sz w:val="21"/>
          <w:szCs w:val="21"/>
        </w:rPr>
        <w:t>PnL</w:t>
      </w:r>
      <w:proofErr w:type="spellEnd"/>
      <w:r>
        <w:rPr>
          <w:color w:val="1F2937"/>
          <w:sz w:val="21"/>
          <w:szCs w:val="21"/>
        </w:rPr>
        <w:t xml:space="preserve">” is non-zero only on the trade that closes or partially closes a position, so trade-level win rate and </w:t>
      </w:r>
      <w:proofErr w:type="spellStart"/>
      <w:r>
        <w:rPr>
          <w:color w:val="1F2937"/>
          <w:sz w:val="21"/>
          <w:szCs w:val="21"/>
        </w:rPr>
        <w:t>PnL</w:t>
      </w:r>
      <w:proofErr w:type="spellEnd"/>
      <w:r>
        <w:rPr>
          <w:color w:val="1F2937"/>
          <w:sz w:val="21"/>
          <w:szCs w:val="21"/>
        </w:rPr>
        <w:t>-per-trade statistics use the subset of 104,402 closing trades; activity and position-sizing statistics use all 211,218 trades.</w:t>
      </w:r>
    </w:p>
    <w:p w:rsidR="00007AB5" w:rsidRDefault="00000000">
      <w:pPr>
        <w:pStyle w:val="ListParagraph"/>
        <w:numPr>
          <w:ilvl w:val="0"/>
          <w:numId w:val="1"/>
        </w:numPr>
        <w:spacing w:after="90" w:line="290" w:lineRule="auto"/>
      </w:pPr>
      <w:r>
        <w:rPr>
          <w:color w:val="1F2937"/>
          <w:sz w:val="21"/>
          <w:szCs w:val="21"/>
        </w:rPr>
        <w:t>“Long” groups Open Long / Close Long directions; “Short” groups Open Short / Close Short.</w:t>
      </w:r>
    </w:p>
    <w:p w:rsidR="00007AB5" w:rsidRDefault="00000000">
      <w:pPr>
        <w:pStyle w:val="ListParagraph"/>
        <w:numPr>
          <w:ilvl w:val="0"/>
          <w:numId w:val="1"/>
        </w:numPr>
        <w:spacing w:after="90" w:line="290" w:lineRule="auto"/>
      </w:pPr>
      <w:r>
        <w:rPr>
          <w:color w:val="1F2937"/>
          <w:sz w:val="21"/>
          <w:szCs w:val="21"/>
        </w:rPr>
        <w:t xml:space="preserve">Statistical comparison of Fear vs. Greed trade </w:t>
      </w:r>
      <w:proofErr w:type="spellStart"/>
      <w:r>
        <w:rPr>
          <w:color w:val="1F2937"/>
          <w:sz w:val="21"/>
          <w:szCs w:val="21"/>
        </w:rPr>
        <w:t>PnL</w:t>
      </w:r>
      <w:proofErr w:type="spellEnd"/>
      <w:r>
        <w:rPr>
          <w:color w:val="1F2937"/>
          <w:sz w:val="21"/>
          <w:szCs w:val="21"/>
        </w:rPr>
        <w:t xml:space="preserve"> used a two-sided Mann-Whitney U test (robust to the heavy right-skew typical of </w:t>
      </w:r>
      <w:proofErr w:type="spellStart"/>
      <w:r>
        <w:rPr>
          <w:color w:val="1F2937"/>
          <w:sz w:val="21"/>
          <w:szCs w:val="21"/>
        </w:rPr>
        <w:t>PnL</w:t>
      </w:r>
      <w:proofErr w:type="spellEnd"/>
      <w:r>
        <w:rPr>
          <w:color w:val="1F2937"/>
          <w:sz w:val="21"/>
          <w:szCs w:val="21"/>
        </w:rPr>
        <w:t xml:space="preserve"> distributions).</w:t>
      </w:r>
    </w:p>
    <w:p w:rsidR="00007AB5" w:rsidRDefault="00000000">
      <w:pPr>
        <w:pStyle w:val="Heading1"/>
        <w:spacing w:before="360" w:after="160"/>
      </w:pPr>
      <w:r>
        <w:rPr>
          <w:b/>
          <w:bCs/>
          <w:color w:val="1B2A4A"/>
          <w:sz w:val="30"/>
          <w:szCs w:val="30"/>
        </w:rPr>
        <w:t>2. Headline Metrics by Sentiment Regime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50"/>
        <w:gridCol w:w="1950"/>
        <w:gridCol w:w="1750"/>
        <w:gridCol w:w="1750"/>
      </w:tblGrid>
      <w:tr w:rsidR="00007AB5">
        <w:tblPrEx>
          <w:tblCellMar>
            <w:top w:w="0" w:type="dxa"/>
            <w:bottom w:w="0" w:type="dxa"/>
          </w:tblCellMar>
        </w:tblPrEx>
        <w:trPr>
          <w:tblHeader/>
        </w:trPr>
        <w:tc>
          <w:tcPr>
            <w:tcW w:w="2800" w:type="dxa"/>
            <w:shd w:val="clear" w:color="auto" w:fill="1B2A4A"/>
            <w:tcMar>
              <w:top w:w="80" w:type="dxa"/>
              <w:left w:w="120" w:type="dxa"/>
              <w:bottom w:w="80" w:type="dxa"/>
              <w:right w:w="120" w:type="dxa"/>
            </w:tcMar>
          </w:tcPr>
          <w:p w:rsidR="00007AB5" w:rsidRDefault="00000000">
            <w:r>
              <w:rPr>
                <w:b/>
                <w:bCs/>
                <w:color w:val="FFFFFF"/>
                <w:sz w:val="19"/>
                <w:szCs w:val="19"/>
              </w:rPr>
              <w:t>Sentiment</w:t>
            </w:r>
          </w:p>
        </w:tc>
        <w:tc>
          <w:tcPr>
            <w:tcW w:w="1750" w:type="dxa"/>
            <w:shd w:val="clear" w:color="auto" w:fill="1B2A4A"/>
            <w:tcMar>
              <w:top w:w="80" w:type="dxa"/>
              <w:left w:w="120" w:type="dxa"/>
              <w:bottom w:w="80" w:type="dxa"/>
              <w:right w:w="120" w:type="dxa"/>
            </w:tcMar>
          </w:tcPr>
          <w:p w:rsidR="00007AB5" w:rsidRDefault="00000000">
            <w:pPr>
              <w:jc w:val="center"/>
            </w:pPr>
            <w:r>
              <w:rPr>
                <w:b/>
                <w:bCs/>
                <w:color w:val="FFFFFF"/>
                <w:sz w:val="19"/>
                <w:szCs w:val="19"/>
              </w:rPr>
              <w:t>Closing Trades</w:t>
            </w:r>
          </w:p>
        </w:tc>
        <w:tc>
          <w:tcPr>
            <w:tcW w:w="1950" w:type="dxa"/>
            <w:shd w:val="clear" w:color="auto" w:fill="1B2A4A"/>
            <w:tcMar>
              <w:top w:w="80" w:type="dxa"/>
              <w:left w:w="120" w:type="dxa"/>
              <w:bottom w:w="80" w:type="dxa"/>
              <w:right w:w="120" w:type="dxa"/>
            </w:tcMar>
          </w:tcPr>
          <w:p w:rsidR="00007AB5" w:rsidRDefault="00000000">
            <w:pPr>
              <w:jc w:val="center"/>
            </w:pPr>
            <w:r>
              <w:rPr>
                <w:b/>
                <w:bCs/>
                <w:color w:val="FFFFFF"/>
                <w:sz w:val="19"/>
                <w:szCs w:val="19"/>
              </w:rPr>
              <w:t xml:space="preserve">Total </w:t>
            </w:r>
            <w:proofErr w:type="spellStart"/>
            <w:r>
              <w:rPr>
                <w:b/>
                <w:bCs/>
                <w:color w:val="FFFFFF"/>
                <w:sz w:val="19"/>
                <w:szCs w:val="19"/>
              </w:rPr>
              <w:t>PnL</w:t>
            </w:r>
            <w:proofErr w:type="spellEnd"/>
            <w:r>
              <w:rPr>
                <w:b/>
                <w:bCs/>
                <w:color w:val="FFFFFF"/>
                <w:sz w:val="19"/>
                <w:szCs w:val="19"/>
              </w:rPr>
              <w:t xml:space="preserve"> (USD)</w:t>
            </w:r>
          </w:p>
        </w:tc>
        <w:tc>
          <w:tcPr>
            <w:tcW w:w="1750" w:type="dxa"/>
            <w:shd w:val="clear" w:color="auto" w:fill="1B2A4A"/>
            <w:tcMar>
              <w:top w:w="80" w:type="dxa"/>
              <w:left w:w="120" w:type="dxa"/>
              <w:bottom w:w="80" w:type="dxa"/>
              <w:right w:w="120" w:type="dxa"/>
            </w:tcMar>
          </w:tcPr>
          <w:p w:rsidR="00007AB5" w:rsidRDefault="00000000">
            <w:pPr>
              <w:jc w:val="center"/>
            </w:pPr>
            <w:proofErr w:type="spellStart"/>
            <w:r>
              <w:rPr>
                <w:b/>
                <w:bCs/>
                <w:color w:val="FFFFFF"/>
                <w:sz w:val="19"/>
                <w:szCs w:val="19"/>
              </w:rPr>
              <w:t>Avg</w:t>
            </w:r>
            <w:proofErr w:type="spellEnd"/>
            <w:r>
              <w:rPr>
                <w:b/>
                <w:bCs/>
                <w:color w:val="FFFFFF"/>
                <w:sz w:val="19"/>
                <w:szCs w:val="19"/>
              </w:rPr>
              <w:t xml:space="preserve"> </w:t>
            </w:r>
            <w:proofErr w:type="spellStart"/>
            <w:r>
              <w:rPr>
                <w:b/>
                <w:bCs/>
                <w:color w:val="FFFFFF"/>
                <w:sz w:val="19"/>
                <w:szCs w:val="19"/>
              </w:rPr>
              <w:t>PnL</w:t>
            </w:r>
            <w:proofErr w:type="spellEnd"/>
            <w:r>
              <w:rPr>
                <w:b/>
                <w:bCs/>
                <w:color w:val="FFFFFF"/>
                <w:sz w:val="19"/>
                <w:szCs w:val="19"/>
              </w:rPr>
              <w:t>/Trade</w:t>
            </w:r>
          </w:p>
        </w:tc>
        <w:tc>
          <w:tcPr>
            <w:tcW w:w="1750" w:type="dxa"/>
            <w:shd w:val="clear" w:color="auto" w:fill="1B2A4A"/>
            <w:tcMar>
              <w:top w:w="80" w:type="dxa"/>
              <w:left w:w="120" w:type="dxa"/>
              <w:bottom w:w="80" w:type="dxa"/>
              <w:right w:w="120" w:type="dxa"/>
            </w:tcMar>
          </w:tcPr>
          <w:p w:rsidR="00007AB5" w:rsidRDefault="00000000">
            <w:pPr>
              <w:jc w:val="center"/>
            </w:pPr>
            <w:r>
              <w:rPr>
                <w:b/>
                <w:bCs/>
                <w:color w:val="FFFFFF"/>
                <w:sz w:val="19"/>
                <w:szCs w:val="19"/>
              </w:rPr>
              <w:t>Win Rate</w:t>
            </w:r>
          </w:p>
        </w:tc>
      </w:tr>
      <w:tr w:rsidR="00007AB5">
        <w:tblPrEx>
          <w:tblCellMar>
            <w:top w:w="0" w:type="dxa"/>
            <w:bottom w:w="0" w:type="dxa"/>
          </w:tblCellMar>
        </w:tblPrEx>
        <w:tc>
          <w:tcPr>
            <w:tcW w:w="2800" w:type="dxa"/>
            <w:shd w:val="clear" w:color="auto" w:fill="FFFFFF"/>
            <w:tcMar>
              <w:top w:w="80" w:type="dxa"/>
              <w:left w:w="120" w:type="dxa"/>
              <w:bottom w:w="80" w:type="dxa"/>
              <w:right w:w="120" w:type="dxa"/>
            </w:tcMar>
          </w:tcPr>
          <w:p w:rsidR="00007AB5" w:rsidRDefault="00000000">
            <w:r>
              <w:rPr>
                <w:color w:val="1F2937"/>
                <w:sz w:val="19"/>
                <w:szCs w:val="19"/>
              </w:rPr>
              <w:t>Extreme Fear</w:t>
            </w:r>
          </w:p>
        </w:tc>
        <w:tc>
          <w:tcPr>
            <w:tcW w:w="1750" w:type="dxa"/>
            <w:shd w:val="clear" w:color="auto" w:fill="FFFFFF"/>
            <w:tcMar>
              <w:top w:w="80" w:type="dxa"/>
              <w:left w:w="120" w:type="dxa"/>
              <w:bottom w:w="80" w:type="dxa"/>
              <w:right w:w="120" w:type="dxa"/>
            </w:tcMar>
          </w:tcPr>
          <w:p w:rsidR="00007AB5" w:rsidRDefault="00000000">
            <w:pPr>
              <w:jc w:val="center"/>
            </w:pPr>
            <w:r>
              <w:rPr>
                <w:color w:val="1F2937"/>
                <w:sz w:val="19"/>
                <w:szCs w:val="19"/>
              </w:rPr>
              <w:t>21,400</w:t>
            </w:r>
          </w:p>
        </w:tc>
        <w:tc>
          <w:tcPr>
            <w:tcW w:w="1950" w:type="dxa"/>
            <w:shd w:val="clear" w:color="auto" w:fill="FFFFFF"/>
            <w:tcMar>
              <w:top w:w="80" w:type="dxa"/>
              <w:left w:w="120" w:type="dxa"/>
              <w:bottom w:w="80" w:type="dxa"/>
              <w:right w:w="120" w:type="dxa"/>
            </w:tcMar>
          </w:tcPr>
          <w:p w:rsidR="00007AB5" w:rsidRDefault="00000000">
            <w:pPr>
              <w:jc w:val="center"/>
            </w:pPr>
            <w:r>
              <w:rPr>
                <w:color w:val="1F2937"/>
                <w:sz w:val="19"/>
                <w:szCs w:val="19"/>
              </w:rPr>
              <w:t>$739,110</w:t>
            </w:r>
          </w:p>
        </w:tc>
        <w:tc>
          <w:tcPr>
            <w:tcW w:w="1750" w:type="dxa"/>
            <w:shd w:val="clear" w:color="auto" w:fill="FFFFFF"/>
            <w:tcMar>
              <w:top w:w="80" w:type="dxa"/>
              <w:left w:w="120" w:type="dxa"/>
              <w:bottom w:w="80" w:type="dxa"/>
              <w:right w:w="120" w:type="dxa"/>
            </w:tcMar>
          </w:tcPr>
          <w:p w:rsidR="00007AB5" w:rsidRDefault="00000000">
            <w:pPr>
              <w:jc w:val="center"/>
            </w:pPr>
            <w:r>
              <w:rPr>
                <w:color w:val="1F2937"/>
                <w:sz w:val="19"/>
                <w:szCs w:val="19"/>
              </w:rPr>
              <w:t>$34.54</w:t>
            </w:r>
          </w:p>
        </w:tc>
        <w:tc>
          <w:tcPr>
            <w:tcW w:w="1750" w:type="dxa"/>
            <w:shd w:val="clear" w:color="auto" w:fill="FFFFFF"/>
            <w:tcMar>
              <w:top w:w="80" w:type="dxa"/>
              <w:left w:w="120" w:type="dxa"/>
              <w:bottom w:w="80" w:type="dxa"/>
              <w:right w:w="120" w:type="dxa"/>
            </w:tcMar>
          </w:tcPr>
          <w:p w:rsidR="00007AB5" w:rsidRDefault="00000000">
            <w:pPr>
              <w:jc w:val="center"/>
            </w:pPr>
            <w:r>
              <w:rPr>
                <w:color w:val="1F2937"/>
                <w:sz w:val="19"/>
                <w:szCs w:val="19"/>
              </w:rPr>
              <w:t>76.2%</w:t>
            </w:r>
          </w:p>
        </w:tc>
      </w:tr>
      <w:tr w:rsidR="00007AB5">
        <w:tblPrEx>
          <w:tblCellMar>
            <w:top w:w="0" w:type="dxa"/>
            <w:bottom w:w="0" w:type="dxa"/>
          </w:tblCellMar>
        </w:tblPrEx>
        <w:tc>
          <w:tcPr>
            <w:tcW w:w="2800" w:type="dxa"/>
            <w:shd w:val="clear" w:color="auto" w:fill="F2F4F7"/>
            <w:tcMar>
              <w:top w:w="80" w:type="dxa"/>
              <w:left w:w="120" w:type="dxa"/>
              <w:bottom w:w="80" w:type="dxa"/>
              <w:right w:w="120" w:type="dxa"/>
            </w:tcMar>
          </w:tcPr>
          <w:p w:rsidR="00007AB5" w:rsidRDefault="00000000">
            <w:r>
              <w:rPr>
                <w:color w:val="1F2937"/>
                <w:sz w:val="19"/>
                <w:szCs w:val="19"/>
              </w:rPr>
              <w:t>Fear</w:t>
            </w:r>
          </w:p>
        </w:tc>
        <w:tc>
          <w:tcPr>
            <w:tcW w:w="1750" w:type="dxa"/>
            <w:shd w:val="clear" w:color="auto" w:fill="F2F4F7"/>
            <w:tcMar>
              <w:top w:w="80" w:type="dxa"/>
              <w:left w:w="120" w:type="dxa"/>
              <w:bottom w:w="80" w:type="dxa"/>
              <w:right w:w="120" w:type="dxa"/>
            </w:tcMar>
          </w:tcPr>
          <w:p w:rsidR="00007AB5" w:rsidRDefault="00000000">
            <w:pPr>
              <w:jc w:val="center"/>
            </w:pPr>
            <w:r>
              <w:rPr>
                <w:color w:val="1F2937"/>
                <w:sz w:val="19"/>
                <w:szCs w:val="19"/>
              </w:rPr>
              <w:t>61,837</w:t>
            </w:r>
          </w:p>
        </w:tc>
        <w:tc>
          <w:tcPr>
            <w:tcW w:w="1950" w:type="dxa"/>
            <w:shd w:val="clear" w:color="auto" w:fill="F2F4F7"/>
            <w:tcMar>
              <w:top w:w="80" w:type="dxa"/>
              <w:left w:w="120" w:type="dxa"/>
              <w:bottom w:w="80" w:type="dxa"/>
              <w:right w:w="120" w:type="dxa"/>
            </w:tcMar>
          </w:tcPr>
          <w:p w:rsidR="00007AB5" w:rsidRDefault="00000000">
            <w:pPr>
              <w:jc w:val="center"/>
            </w:pPr>
            <w:r>
              <w:rPr>
                <w:color w:val="1F2937"/>
                <w:sz w:val="19"/>
                <w:szCs w:val="19"/>
              </w:rPr>
              <w:t>$3,357,155</w:t>
            </w:r>
          </w:p>
        </w:tc>
        <w:tc>
          <w:tcPr>
            <w:tcW w:w="1750" w:type="dxa"/>
            <w:shd w:val="clear" w:color="auto" w:fill="F2F4F7"/>
            <w:tcMar>
              <w:top w:w="80" w:type="dxa"/>
              <w:left w:w="120" w:type="dxa"/>
              <w:bottom w:w="80" w:type="dxa"/>
              <w:right w:w="120" w:type="dxa"/>
            </w:tcMar>
          </w:tcPr>
          <w:p w:rsidR="00007AB5" w:rsidRDefault="00000000">
            <w:pPr>
              <w:jc w:val="center"/>
            </w:pPr>
            <w:r>
              <w:rPr>
                <w:color w:val="1F2937"/>
                <w:sz w:val="19"/>
                <w:szCs w:val="19"/>
              </w:rPr>
              <w:t>$54.29</w:t>
            </w:r>
          </w:p>
        </w:tc>
        <w:tc>
          <w:tcPr>
            <w:tcW w:w="1750" w:type="dxa"/>
            <w:shd w:val="clear" w:color="auto" w:fill="F2F4F7"/>
            <w:tcMar>
              <w:top w:w="80" w:type="dxa"/>
              <w:left w:w="120" w:type="dxa"/>
              <w:bottom w:w="80" w:type="dxa"/>
              <w:right w:w="120" w:type="dxa"/>
            </w:tcMar>
          </w:tcPr>
          <w:p w:rsidR="00007AB5" w:rsidRDefault="00000000">
            <w:pPr>
              <w:jc w:val="center"/>
            </w:pPr>
            <w:r>
              <w:rPr>
                <w:color w:val="1F2937"/>
                <w:sz w:val="19"/>
                <w:szCs w:val="19"/>
              </w:rPr>
              <w:t>87.3%</w:t>
            </w:r>
          </w:p>
        </w:tc>
      </w:tr>
      <w:tr w:rsidR="00007AB5">
        <w:tblPrEx>
          <w:tblCellMar>
            <w:top w:w="0" w:type="dxa"/>
            <w:bottom w:w="0" w:type="dxa"/>
          </w:tblCellMar>
        </w:tblPrEx>
        <w:tc>
          <w:tcPr>
            <w:tcW w:w="2800" w:type="dxa"/>
            <w:shd w:val="clear" w:color="auto" w:fill="FFFFFF"/>
            <w:tcMar>
              <w:top w:w="80" w:type="dxa"/>
              <w:left w:w="120" w:type="dxa"/>
              <w:bottom w:w="80" w:type="dxa"/>
              <w:right w:w="120" w:type="dxa"/>
            </w:tcMar>
          </w:tcPr>
          <w:p w:rsidR="00007AB5" w:rsidRDefault="00000000">
            <w:r>
              <w:rPr>
                <w:color w:val="1F2937"/>
                <w:sz w:val="19"/>
                <w:szCs w:val="19"/>
              </w:rPr>
              <w:lastRenderedPageBreak/>
              <w:t>Neutral</w:t>
            </w:r>
          </w:p>
        </w:tc>
        <w:tc>
          <w:tcPr>
            <w:tcW w:w="1750" w:type="dxa"/>
            <w:shd w:val="clear" w:color="auto" w:fill="FFFFFF"/>
            <w:tcMar>
              <w:top w:w="80" w:type="dxa"/>
              <w:left w:w="120" w:type="dxa"/>
              <w:bottom w:w="80" w:type="dxa"/>
              <w:right w:w="120" w:type="dxa"/>
            </w:tcMar>
          </w:tcPr>
          <w:p w:rsidR="00007AB5" w:rsidRDefault="00000000">
            <w:pPr>
              <w:jc w:val="center"/>
            </w:pPr>
            <w:r>
              <w:rPr>
                <w:color w:val="1F2937"/>
                <w:sz w:val="19"/>
                <w:szCs w:val="19"/>
              </w:rPr>
              <w:t>37,686</w:t>
            </w:r>
          </w:p>
        </w:tc>
        <w:tc>
          <w:tcPr>
            <w:tcW w:w="1950" w:type="dxa"/>
            <w:shd w:val="clear" w:color="auto" w:fill="FFFFFF"/>
            <w:tcMar>
              <w:top w:w="80" w:type="dxa"/>
              <w:left w:w="120" w:type="dxa"/>
              <w:bottom w:w="80" w:type="dxa"/>
              <w:right w:w="120" w:type="dxa"/>
            </w:tcMar>
          </w:tcPr>
          <w:p w:rsidR="00007AB5" w:rsidRDefault="00000000">
            <w:pPr>
              <w:jc w:val="center"/>
            </w:pPr>
            <w:r>
              <w:rPr>
                <w:color w:val="1F2937"/>
                <w:sz w:val="19"/>
                <w:szCs w:val="19"/>
              </w:rPr>
              <w:t>$1,292,921</w:t>
            </w:r>
          </w:p>
        </w:tc>
        <w:tc>
          <w:tcPr>
            <w:tcW w:w="1750" w:type="dxa"/>
            <w:shd w:val="clear" w:color="auto" w:fill="FFFFFF"/>
            <w:tcMar>
              <w:top w:w="80" w:type="dxa"/>
              <w:left w:w="120" w:type="dxa"/>
              <w:bottom w:w="80" w:type="dxa"/>
              <w:right w:w="120" w:type="dxa"/>
            </w:tcMar>
          </w:tcPr>
          <w:p w:rsidR="00007AB5" w:rsidRDefault="00000000">
            <w:pPr>
              <w:jc w:val="center"/>
            </w:pPr>
            <w:r>
              <w:rPr>
                <w:color w:val="1F2937"/>
                <w:sz w:val="19"/>
                <w:szCs w:val="19"/>
              </w:rPr>
              <w:t>$34.31</w:t>
            </w:r>
          </w:p>
        </w:tc>
        <w:tc>
          <w:tcPr>
            <w:tcW w:w="1750" w:type="dxa"/>
            <w:shd w:val="clear" w:color="auto" w:fill="FFFFFF"/>
            <w:tcMar>
              <w:top w:w="80" w:type="dxa"/>
              <w:left w:w="120" w:type="dxa"/>
              <w:bottom w:w="80" w:type="dxa"/>
              <w:right w:w="120" w:type="dxa"/>
            </w:tcMar>
          </w:tcPr>
          <w:p w:rsidR="00007AB5" w:rsidRDefault="00000000">
            <w:pPr>
              <w:jc w:val="center"/>
            </w:pPr>
            <w:r>
              <w:rPr>
                <w:color w:val="1F2937"/>
                <w:sz w:val="19"/>
                <w:szCs w:val="19"/>
              </w:rPr>
              <w:t>82.4%</w:t>
            </w:r>
          </w:p>
        </w:tc>
      </w:tr>
      <w:tr w:rsidR="00007AB5">
        <w:tblPrEx>
          <w:tblCellMar>
            <w:top w:w="0" w:type="dxa"/>
            <w:bottom w:w="0" w:type="dxa"/>
          </w:tblCellMar>
        </w:tblPrEx>
        <w:tc>
          <w:tcPr>
            <w:tcW w:w="2800" w:type="dxa"/>
            <w:shd w:val="clear" w:color="auto" w:fill="F2F4F7"/>
            <w:tcMar>
              <w:top w:w="80" w:type="dxa"/>
              <w:left w:w="120" w:type="dxa"/>
              <w:bottom w:w="80" w:type="dxa"/>
              <w:right w:w="120" w:type="dxa"/>
            </w:tcMar>
          </w:tcPr>
          <w:p w:rsidR="00007AB5" w:rsidRDefault="00000000">
            <w:r>
              <w:rPr>
                <w:color w:val="1F2937"/>
                <w:sz w:val="19"/>
                <w:szCs w:val="19"/>
              </w:rPr>
              <w:t>Greed</w:t>
            </w:r>
          </w:p>
        </w:tc>
        <w:tc>
          <w:tcPr>
            <w:tcW w:w="1750" w:type="dxa"/>
            <w:shd w:val="clear" w:color="auto" w:fill="F2F4F7"/>
            <w:tcMar>
              <w:top w:w="80" w:type="dxa"/>
              <w:left w:w="120" w:type="dxa"/>
              <w:bottom w:w="80" w:type="dxa"/>
              <w:right w:w="120" w:type="dxa"/>
            </w:tcMar>
          </w:tcPr>
          <w:p w:rsidR="00007AB5" w:rsidRDefault="00000000">
            <w:pPr>
              <w:jc w:val="center"/>
            </w:pPr>
            <w:r>
              <w:rPr>
                <w:color w:val="1F2937"/>
                <w:sz w:val="19"/>
                <w:szCs w:val="19"/>
              </w:rPr>
              <w:t>50,303</w:t>
            </w:r>
          </w:p>
        </w:tc>
        <w:tc>
          <w:tcPr>
            <w:tcW w:w="1950" w:type="dxa"/>
            <w:shd w:val="clear" w:color="auto" w:fill="F2F4F7"/>
            <w:tcMar>
              <w:top w:w="80" w:type="dxa"/>
              <w:left w:w="120" w:type="dxa"/>
              <w:bottom w:w="80" w:type="dxa"/>
              <w:right w:w="120" w:type="dxa"/>
            </w:tcMar>
          </w:tcPr>
          <w:p w:rsidR="00007AB5" w:rsidRDefault="00000000">
            <w:pPr>
              <w:jc w:val="center"/>
            </w:pPr>
            <w:r>
              <w:rPr>
                <w:color w:val="1F2937"/>
                <w:sz w:val="19"/>
                <w:szCs w:val="19"/>
              </w:rPr>
              <w:t>$2,150,129</w:t>
            </w:r>
          </w:p>
        </w:tc>
        <w:tc>
          <w:tcPr>
            <w:tcW w:w="1750" w:type="dxa"/>
            <w:shd w:val="clear" w:color="auto" w:fill="F2F4F7"/>
            <w:tcMar>
              <w:top w:w="80" w:type="dxa"/>
              <w:left w:w="120" w:type="dxa"/>
              <w:bottom w:w="80" w:type="dxa"/>
              <w:right w:w="120" w:type="dxa"/>
            </w:tcMar>
          </w:tcPr>
          <w:p w:rsidR="00007AB5" w:rsidRDefault="00000000">
            <w:pPr>
              <w:jc w:val="center"/>
            </w:pPr>
            <w:r>
              <w:rPr>
                <w:color w:val="1F2937"/>
                <w:sz w:val="19"/>
                <w:szCs w:val="19"/>
              </w:rPr>
              <w:t>$42.74</w:t>
            </w:r>
          </w:p>
        </w:tc>
        <w:tc>
          <w:tcPr>
            <w:tcW w:w="1750" w:type="dxa"/>
            <w:shd w:val="clear" w:color="auto" w:fill="F2F4F7"/>
            <w:tcMar>
              <w:top w:w="80" w:type="dxa"/>
              <w:left w:w="120" w:type="dxa"/>
              <w:bottom w:w="80" w:type="dxa"/>
              <w:right w:w="120" w:type="dxa"/>
            </w:tcMar>
          </w:tcPr>
          <w:p w:rsidR="00007AB5" w:rsidRDefault="00000000">
            <w:pPr>
              <w:jc w:val="center"/>
            </w:pPr>
            <w:r>
              <w:rPr>
                <w:color w:val="1F2937"/>
                <w:sz w:val="19"/>
                <w:szCs w:val="19"/>
              </w:rPr>
              <w:t>76.9%</w:t>
            </w:r>
          </w:p>
        </w:tc>
      </w:tr>
      <w:tr w:rsidR="00007AB5">
        <w:tblPrEx>
          <w:tblCellMar>
            <w:top w:w="0" w:type="dxa"/>
            <w:bottom w:w="0" w:type="dxa"/>
          </w:tblCellMar>
        </w:tblPrEx>
        <w:tc>
          <w:tcPr>
            <w:tcW w:w="2800" w:type="dxa"/>
            <w:shd w:val="clear" w:color="auto" w:fill="FFFFFF"/>
            <w:tcMar>
              <w:top w:w="80" w:type="dxa"/>
              <w:left w:w="120" w:type="dxa"/>
              <w:bottom w:w="80" w:type="dxa"/>
              <w:right w:w="120" w:type="dxa"/>
            </w:tcMar>
          </w:tcPr>
          <w:p w:rsidR="00007AB5" w:rsidRDefault="00000000">
            <w:r>
              <w:rPr>
                <w:color w:val="1F2937"/>
                <w:sz w:val="19"/>
                <w:szCs w:val="19"/>
              </w:rPr>
              <w:t>Extreme Greed</w:t>
            </w:r>
          </w:p>
        </w:tc>
        <w:tc>
          <w:tcPr>
            <w:tcW w:w="1750" w:type="dxa"/>
            <w:shd w:val="clear" w:color="auto" w:fill="FFFFFF"/>
            <w:tcMar>
              <w:top w:w="80" w:type="dxa"/>
              <w:left w:w="120" w:type="dxa"/>
              <w:bottom w:w="80" w:type="dxa"/>
              <w:right w:w="120" w:type="dxa"/>
            </w:tcMar>
          </w:tcPr>
          <w:p w:rsidR="00007AB5" w:rsidRDefault="00000000">
            <w:pPr>
              <w:jc w:val="center"/>
            </w:pPr>
            <w:r>
              <w:rPr>
                <w:color w:val="1F2937"/>
                <w:sz w:val="19"/>
                <w:szCs w:val="19"/>
              </w:rPr>
              <w:t>39,992</w:t>
            </w:r>
          </w:p>
        </w:tc>
        <w:tc>
          <w:tcPr>
            <w:tcW w:w="1950" w:type="dxa"/>
            <w:shd w:val="clear" w:color="auto" w:fill="FFFFFF"/>
            <w:tcMar>
              <w:top w:w="80" w:type="dxa"/>
              <w:left w:w="120" w:type="dxa"/>
              <w:bottom w:w="80" w:type="dxa"/>
              <w:right w:w="120" w:type="dxa"/>
            </w:tcMar>
          </w:tcPr>
          <w:p w:rsidR="00007AB5" w:rsidRDefault="00000000">
            <w:pPr>
              <w:jc w:val="center"/>
            </w:pPr>
            <w:r>
              <w:rPr>
                <w:color w:val="1F2937"/>
                <w:sz w:val="19"/>
                <w:szCs w:val="19"/>
              </w:rPr>
              <w:t>$2,715,171</w:t>
            </w:r>
          </w:p>
        </w:tc>
        <w:tc>
          <w:tcPr>
            <w:tcW w:w="1750" w:type="dxa"/>
            <w:shd w:val="clear" w:color="auto" w:fill="FFFFFF"/>
            <w:tcMar>
              <w:top w:w="80" w:type="dxa"/>
              <w:left w:w="120" w:type="dxa"/>
              <w:bottom w:w="80" w:type="dxa"/>
              <w:right w:w="120" w:type="dxa"/>
            </w:tcMar>
          </w:tcPr>
          <w:p w:rsidR="00007AB5" w:rsidRDefault="00000000">
            <w:pPr>
              <w:jc w:val="center"/>
            </w:pPr>
            <w:r>
              <w:rPr>
                <w:color w:val="1F2937"/>
                <w:sz w:val="19"/>
                <w:szCs w:val="19"/>
              </w:rPr>
              <w:t>$67.89</w:t>
            </w:r>
          </w:p>
        </w:tc>
        <w:tc>
          <w:tcPr>
            <w:tcW w:w="1750" w:type="dxa"/>
            <w:shd w:val="clear" w:color="auto" w:fill="FFFFFF"/>
            <w:tcMar>
              <w:top w:w="80" w:type="dxa"/>
              <w:left w:w="120" w:type="dxa"/>
              <w:bottom w:w="80" w:type="dxa"/>
              <w:right w:w="120" w:type="dxa"/>
            </w:tcMar>
          </w:tcPr>
          <w:p w:rsidR="00007AB5" w:rsidRDefault="00000000">
            <w:pPr>
              <w:jc w:val="center"/>
            </w:pPr>
            <w:r>
              <w:rPr>
                <w:color w:val="1F2937"/>
                <w:sz w:val="19"/>
                <w:szCs w:val="19"/>
              </w:rPr>
              <w:t>89.2%</w:t>
            </w:r>
          </w:p>
        </w:tc>
      </w:tr>
    </w:tbl>
    <w:p w:rsidR="00007AB5" w:rsidRDefault="00000000">
      <w:pPr>
        <w:spacing w:after="320"/>
        <w:jc w:val="center"/>
      </w:pPr>
      <w:r>
        <w:rPr>
          <w:i/>
          <w:iCs/>
          <w:color w:val="6B7280"/>
          <w:sz w:val="18"/>
          <w:szCs w:val="18"/>
        </w:rPr>
        <w:t xml:space="preserve">Table 1. Closed-trade counts reflect all trades on days carrying that label; </w:t>
      </w:r>
      <w:proofErr w:type="spellStart"/>
      <w:r>
        <w:rPr>
          <w:i/>
          <w:iCs/>
          <w:color w:val="6B7280"/>
          <w:sz w:val="18"/>
          <w:szCs w:val="18"/>
        </w:rPr>
        <w:t>PnL</w:t>
      </w:r>
      <w:proofErr w:type="spellEnd"/>
      <w:r>
        <w:rPr>
          <w:i/>
          <w:iCs/>
          <w:color w:val="6B7280"/>
          <w:sz w:val="18"/>
          <w:szCs w:val="18"/>
        </w:rPr>
        <w:t xml:space="preserve"> figures are gross of fees.</w:t>
      </w:r>
    </w:p>
    <w:p w:rsidR="00007AB5" w:rsidRDefault="00000000">
      <w:pPr>
        <w:spacing w:before="120" w:after="80"/>
        <w:jc w:val="center"/>
      </w:pPr>
      <w:r>
        <w:rPr>
          <w:noProof/>
        </w:rPr>
        <w:drawing>
          <wp:inline distT="0" distB="0" distL="0" distR="0">
            <wp:extent cx="6499343" cy="2797534"/>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549506" cy="2819126"/>
                    </a:xfrm>
                    <a:prstGeom prst="rect">
                      <a:avLst/>
                    </a:prstGeom>
                  </pic:spPr>
                </pic:pic>
              </a:graphicData>
            </a:graphic>
          </wp:inline>
        </w:drawing>
      </w:r>
    </w:p>
    <w:p w:rsidR="00007AB5" w:rsidRDefault="00000000">
      <w:pPr>
        <w:spacing w:after="320"/>
        <w:jc w:val="center"/>
      </w:pPr>
      <w:r>
        <w:rPr>
          <w:i/>
          <w:iCs/>
          <w:color w:val="6B7280"/>
          <w:sz w:val="18"/>
          <w:szCs w:val="18"/>
        </w:rPr>
        <w:t xml:space="preserve">Figure 1. Total and average closed </w:t>
      </w:r>
      <w:proofErr w:type="spellStart"/>
      <w:r>
        <w:rPr>
          <w:i/>
          <w:iCs/>
          <w:color w:val="6B7280"/>
          <w:sz w:val="18"/>
          <w:szCs w:val="18"/>
        </w:rPr>
        <w:t>PnL</w:t>
      </w:r>
      <w:proofErr w:type="spellEnd"/>
      <w:r>
        <w:rPr>
          <w:i/>
          <w:iCs/>
          <w:color w:val="6B7280"/>
          <w:sz w:val="18"/>
          <w:szCs w:val="18"/>
        </w:rPr>
        <w:t xml:space="preserve"> by sentiment regime. Fear and Extreme Greed are the two most profitable regimes in aggregate.</w:t>
      </w:r>
    </w:p>
    <w:p w:rsidR="00007AB5" w:rsidRDefault="00000000">
      <w:pPr>
        <w:spacing w:before="120" w:after="80"/>
        <w:jc w:val="center"/>
      </w:pPr>
      <w:r>
        <w:rPr>
          <w:noProof/>
        </w:rPr>
        <w:drawing>
          <wp:inline distT="0" distB="0" distL="0" distR="0">
            <wp:extent cx="6076950" cy="3646170"/>
            <wp:effectExtent l="0" t="0" r="0" b="0"/>
            <wp:docPr id="1198137748" name="Picture 1198137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76950" cy="3646170"/>
                    </a:xfrm>
                    <a:prstGeom prst="rect">
                      <a:avLst/>
                    </a:prstGeom>
                  </pic:spPr>
                </pic:pic>
              </a:graphicData>
            </a:graphic>
          </wp:inline>
        </w:drawing>
      </w:r>
    </w:p>
    <w:p w:rsidR="00007AB5" w:rsidRDefault="00000000">
      <w:pPr>
        <w:spacing w:after="320"/>
        <w:jc w:val="center"/>
      </w:pPr>
      <w:r>
        <w:rPr>
          <w:i/>
          <w:iCs/>
          <w:color w:val="6B7280"/>
          <w:sz w:val="18"/>
          <w:szCs w:val="18"/>
        </w:rPr>
        <w:t>Figure 2. Win rate is highest during Extreme Greed (89.2%) and Fear (87.3%), and lowest during Extreme Fear (76.2%) and Greed (76.9%) — the two regimes where sentiment is arguably most “ordinary,” not extreme.</w:t>
      </w:r>
    </w:p>
    <w:p w:rsidR="00007AB5" w:rsidRDefault="00000000">
      <w:pPr>
        <w:spacing w:after="160" w:line="300" w:lineRule="auto"/>
      </w:pPr>
      <w:r>
        <w:rPr>
          <w:color w:val="1F2937"/>
          <w:sz w:val="21"/>
          <w:szCs w:val="21"/>
        </w:rPr>
        <w:lastRenderedPageBreak/>
        <w:t xml:space="preserve">A Mann-Whitney U test comparing per-trade </w:t>
      </w:r>
      <w:proofErr w:type="spellStart"/>
      <w:r>
        <w:rPr>
          <w:color w:val="1F2937"/>
          <w:sz w:val="21"/>
          <w:szCs w:val="21"/>
        </w:rPr>
        <w:t>PnL</w:t>
      </w:r>
      <w:proofErr w:type="spellEnd"/>
      <w:r>
        <w:rPr>
          <w:color w:val="1F2937"/>
          <w:sz w:val="21"/>
          <w:szCs w:val="21"/>
        </w:rPr>
        <w:t xml:space="preserve"> in Fear-labelled days (n=61,837) against Greed-labelled days (n=50,303) found no statistically significant difference in the distribution (p = 0.53). In other words, pooled across all traders, Fear days are not reliably more or less profitable per trade than Greed days — the regime-level averages in Table 1 are driven more by trade volume and a handful of large winners than by a systematic sentiment edge.</w:t>
      </w:r>
    </w:p>
    <w:p w:rsidR="00007AB5" w:rsidRDefault="00000000">
      <w:pPr>
        <w:pStyle w:val="Heading1"/>
        <w:spacing w:before="360" w:after="160"/>
      </w:pPr>
      <w:r>
        <w:rPr>
          <w:b/>
          <w:bCs/>
          <w:color w:val="1B2A4A"/>
          <w:sz w:val="30"/>
          <w:szCs w:val="30"/>
        </w:rPr>
        <w:t xml:space="preserve">3. Trading </w:t>
      </w:r>
      <w:proofErr w:type="spellStart"/>
      <w:r>
        <w:rPr>
          <w:b/>
          <w:bCs/>
          <w:color w:val="1B2A4A"/>
          <w:sz w:val="30"/>
          <w:szCs w:val="30"/>
        </w:rPr>
        <w:t>Behavior</w:t>
      </w:r>
      <w:proofErr w:type="spellEnd"/>
      <w:r>
        <w:rPr>
          <w:b/>
          <w:bCs/>
          <w:color w:val="1B2A4A"/>
          <w:sz w:val="30"/>
          <w:szCs w:val="30"/>
        </w:rPr>
        <w:t xml:space="preserve"> Shifts With Sentiment</w:t>
      </w:r>
    </w:p>
    <w:p w:rsidR="00007AB5" w:rsidRDefault="00000000">
      <w:pPr>
        <w:pStyle w:val="Heading2"/>
        <w:spacing w:before="280" w:after="120"/>
      </w:pPr>
      <w:r>
        <w:rPr>
          <w:b/>
          <w:bCs/>
          <w:color w:val="1B2A4A"/>
          <w:sz w:val="24"/>
          <w:szCs w:val="24"/>
        </w:rPr>
        <w:t>3.1 Activity Level</w:t>
      </w:r>
    </w:p>
    <w:p w:rsidR="00007AB5" w:rsidRDefault="00000000">
      <w:pPr>
        <w:spacing w:before="120" w:after="80"/>
        <w:jc w:val="center"/>
      </w:pPr>
      <w:r>
        <w:rPr>
          <w:noProof/>
        </w:rPr>
        <w:drawing>
          <wp:inline distT="0" distB="0" distL="0" distR="0">
            <wp:extent cx="6426200" cy="3855720"/>
            <wp:effectExtent l="0" t="0" r="0" b="0"/>
            <wp:docPr id="825946653" name="Picture 825946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26200" cy="3855720"/>
                    </a:xfrm>
                    <a:prstGeom prst="rect">
                      <a:avLst/>
                    </a:prstGeom>
                  </pic:spPr>
                </pic:pic>
              </a:graphicData>
            </a:graphic>
          </wp:inline>
        </w:drawing>
      </w:r>
    </w:p>
    <w:p w:rsidR="00007AB5" w:rsidRDefault="00000000">
      <w:pPr>
        <w:spacing w:after="320"/>
        <w:jc w:val="center"/>
      </w:pPr>
      <w:r>
        <w:rPr>
          <w:i/>
          <w:iCs/>
          <w:color w:val="6B7280"/>
          <w:sz w:val="18"/>
          <w:szCs w:val="18"/>
        </w:rPr>
        <w:t>Figure 3. Average trades executed per day, by sentiment. Extreme Fear days average ~1,529 trades/day — roughly 4–6x the pace of Greed or Extreme Greed days — though Extreme Fear covers only 14 calendar days in this sample, so a small number of high-volatility days drive the average.</w:t>
      </w:r>
    </w:p>
    <w:p w:rsidR="00007AB5" w:rsidRDefault="00000000">
      <w:pPr>
        <w:spacing w:after="160" w:line="300" w:lineRule="auto"/>
      </w:pPr>
      <w:r>
        <w:rPr>
          <w:color w:val="1F2937"/>
          <w:sz w:val="21"/>
          <w:szCs w:val="21"/>
        </w:rPr>
        <w:t>Traders in this dataset are dramatically more active during Fear and Extreme Fear than during Greed. This is consistent with elevated volatility during sell-offs generating more entries, exits, and re-balancing, and/or with a subset of active traders specifically hunting for volatility-driven opportunities during drawdowns.</w:t>
      </w:r>
    </w:p>
    <w:p w:rsidR="00255F56" w:rsidRDefault="00255F56">
      <w:pPr>
        <w:pStyle w:val="Heading2"/>
        <w:spacing w:before="280" w:after="120"/>
        <w:rPr>
          <w:b/>
          <w:bCs/>
          <w:color w:val="1B2A4A"/>
          <w:sz w:val="24"/>
          <w:szCs w:val="24"/>
        </w:rPr>
      </w:pPr>
    </w:p>
    <w:p w:rsidR="00255F56" w:rsidRDefault="00255F56">
      <w:pPr>
        <w:pStyle w:val="Heading2"/>
        <w:spacing w:before="280" w:after="120"/>
        <w:rPr>
          <w:b/>
          <w:bCs/>
          <w:color w:val="1B2A4A"/>
          <w:sz w:val="24"/>
          <w:szCs w:val="24"/>
        </w:rPr>
      </w:pPr>
    </w:p>
    <w:p w:rsidR="00255F56" w:rsidRDefault="00255F56">
      <w:pPr>
        <w:pStyle w:val="Heading2"/>
        <w:spacing w:before="280" w:after="120"/>
        <w:rPr>
          <w:b/>
          <w:bCs/>
          <w:color w:val="1B2A4A"/>
          <w:sz w:val="24"/>
          <w:szCs w:val="24"/>
        </w:rPr>
      </w:pPr>
    </w:p>
    <w:p w:rsidR="00255F56" w:rsidRDefault="00255F56">
      <w:pPr>
        <w:pStyle w:val="Heading2"/>
        <w:spacing w:before="280" w:after="120"/>
        <w:rPr>
          <w:b/>
          <w:bCs/>
          <w:color w:val="1B2A4A"/>
          <w:sz w:val="24"/>
          <w:szCs w:val="24"/>
        </w:rPr>
      </w:pPr>
    </w:p>
    <w:p w:rsidR="00255F56" w:rsidRDefault="00255F56">
      <w:pPr>
        <w:pStyle w:val="Heading2"/>
        <w:spacing w:before="280" w:after="120"/>
        <w:rPr>
          <w:b/>
          <w:bCs/>
          <w:color w:val="1B2A4A"/>
          <w:sz w:val="24"/>
          <w:szCs w:val="24"/>
        </w:rPr>
      </w:pPr>
    </w:p>
    <w:p w:rsidR="00007AB5" w:rsidRDefault="00000000">
      <w:pPr>
        <w:pStyle w:val="Heading2"/>
        <w:spacing w:before="280" w:after="120"/>
      </w:pPr>
      <w:r>
        <w:rPr>
          <w:b/>
          <w:bCs/>
          <w:color w:val="1B2A4A"/>
          <w:sz w:val="24"/>
          <w:szCs w:val="24"/>
        </w:rPr>
        <w:lastRenderedPageBreak/>
        <w:t>3.2 Position Sizing</w:t>
      </w:r>
    </w:p>
    <w:p w:rsidR="00007AB5" w:rsidRDefault="00000000">
      <w:pPr>
        <w:spacing w:before="120" w:after="80"/>
        <w:jc w:val="center"/>
      </w:pPr>
      <w:r>
        <w:rPr>
          <w:noProof/>
        </w:rPr>
        <w:drawing>
          <wp:inline distT="0" distB="0" distL="0" distR="0">
            <wp:extent cx="6467475" cy="3880485"/>
            <wp:effectExtent l="0" t="0" r="9525" b="5715"/>
            <wp:docPr id="322111050" name="Picture 32211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67475" cy="3880485"/>
                    </a:xfrm>
                    <a:prstGeom prst="rect">
                      <a:avLst/>
                    </a:prstGeom>
                  </pic:spPr>
                </pic:pic>
              </a:graphicData>
            </a:graphic>
          </wp:inline>
        </w:drawing>
      </w:r>
    </w:p>
    <w:p w:rsidR="00007AB5" w:rsidRDefault="00000000">
      <w:pPr>
        <w:spacing w:after="320"/>
        <w:jc w:val="center"/>
      </w:pPr>
      <w:r>
        <w:rPr>
          <w:i/>
          <w:iCs/>
          <w:color w:val="6B7280"/>
          <w:sz w:val="18"/>
          <w:szCs w:val="18"/>
        </w:rPr>
        <w:t>Figure 4. Average trade size (USD) by sentiment. Traders size up during Fear (</w:t>
      </w:r>
      <w:proofErr w:type="spellStart"/>
      <w:r>
        <w:rPr>
          <w:i/>
          <w:iCs/>
          <w:color w:val="6B7280"/>
          <w:sz w:val="18"/>
          <w:szCs w:val="18"/>
        </w:rPr>
        <w:t>avg</w:t>
      </w:r>
      <w:proofErr w:type="spellEnd"/>
      <w:r>
        <w:rPr>
          <w:i/>
          <w:iCs/>
          <w:color w:val="6B7280"/>
          <w:sz w:val="18"/>
          <w:szCs w:val="18"/>
        </w:rPr>
        <w:t xml:space="preserve"> $7,816) relative to Extreme Greed (</w:t>
      </w:r>
      <w:proofErr w:type="spellStart"/>
      <w:r>
        <w:rPr>
          <w:i/>
          <w:iCs/>
          <w:color w:val="6B7280"/>
          <w:sz w:val="18"/>
          <w:szCs w:val="18"/>
        </w:rPr>
        <w:t>avg</w:t>
      </w:r>
      <w:proofErr w:type="spellEnd"/>
      <w:r>
        <w:rPr>
          <w:i/>
          <w:iCs/>
          <w:color w:val="6B7280"/>
          <w:sz w:val="18"/>
          <w:szCs w:val="18"/>
        </w:rPr>
        <w:t xml:space="preserve"> $3,112) — more than double.</w:t>
      </w:r>
    </w:p>
    <w:p w:rsidR="00007AB5" w:rsidRDefault="00000000">
      <w:pPr>
        <w:spacing w:after="160" w:line="300" w:lineRule="auto"/>
      </w:pPr>
      <w:r>
        <w:rPr>
          <w:color w:val="1F2937"/>
          <w:sz w:val="21"/>
          <w:szCs w:val="21"/>
        </w:rPr>
        <w:t xml:space="preserve">Combined with the activity finding above, this suggests a “buy the fear” </w:t>
      </w:r>
      <w:proofErr w:type="spellStart"/>
      <w:r>
        <w:rPr>
          <w:color w:val="1F2937"/>
          <w:sz w:val="21"/>
          <w:szCs w:val="21"/>
        </w:rPr>
        <w:t>behavioral</w:t>
      </w:r>
      <w:proofErr w:type="spellEnd"/>
      <w:r>
        <w:rPr>
          <w:color w:val="1F2937"/>
          <w:sz w:val="21"/>
          <w:szCs w:val="21"/>
        </w:rPr>
        <w:t xml:space="preserve"> pattern in this account base: more trades, and larger trades, when the market is fearful, tapering off into smaller, more numerous but individually smaller positions as sentiment turns euphoric.</w:t>
      </w:r>
    </w:p>
    <w:p w:rsidR="00007AB5" w:rsidRDefault="00000000">
      <w:pPr>
        <w:pStyle w:val="Heading2"/>
        <w:spacing w:before="280" w:after="120"/>
      </w:pPr>
      <w:r>
        <w:rPr>
          <w:b/>
          <w:bCs/>
          <w:color w:val="1B2A4A"/>
          <w:sz w:val="24"/>
          <w:szCs w:val="24"/>
        </w:rPr>
        <w:t>3.3 Long vs. Short Positioning</w:t>
      </w:r>
    </w:p>
    <w:p w:rsidR="00007AB5" w:rsidRDefault="00000000">
      <w:pPr>
        <w:spacing w:before="120" w:after="80"/>
        <w:jc w:val="center"/>
      </w:pPr>
      <w:r>
        <w:rPr>
          <w:noProof/>
        </w:rPr>
        <w:drawing>
          <wp:inline distT="0" distB="0" distL="0" distR="0">
            <wp:extent cx="5331744" cy="2999105"/>
            <wp:effectExtent l="0" t="0" r="2540" b="0"/>
            <wp:docPr id="861730640" name="Picture 86173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46017" cy="3007133"/>
                    </a:xfrm>
                    <a:prstGeom prst="rect">
                      <a:avLst/>
                    </a:prstGeom>
                  </pic:spPr>
                </pic:pic>
              </a:graphicData>
            </a:graphic>
          </wp:inline>
        </w:drawing>
      </w:r>
    </w:p>
    <w:p w:rsidR="00007AB5" w:rsidRDefault="00000000">
      <w:pPr>
        <w:spacing w:after="320"/>
        <w:jc w:val="center"/>
      </w:pPr>
      <w:r>
        <w:rPr>
          <w:i/>
          <w:iCs/>
          <w:color w:val="6B7280"/>
          <w:sz w:val="18"/>
          <w:szCs w:val="18"/>
        </w:rPr>
        <w:lastRenderedPageBreak/>
        <w:t>Figure 5. Long vs. short win rate by sentiment. Short win rate spikes to 70.6% relative to its own baseline during Extreme Fear being the one regime where it approaches long-side win rates, and long-side win rate is consistently strong (85–90%) across every regime.</w:t>
      </w:r>
    </w:p>
    <w:p w:rsidR="00007AB5" w:rsidRDefault="00000000">
      <w:pPr>
        <w:spacing w:after="160" w:line="300" w:lineRule="auto"/>
      </w:pPr>
      <w:r>
        <w:rPr>
          <w:color w:val="1F2937"/>
          <w:sz w:val="21"/>
          <w:szCs w:val="21"/>
        </w:rPr>
        <w:t xml:space="preserve">The average long-side trade wins 84–90% of the time in every sentiment bucket, indicating this trader population is structurally long-biased and generally skilled at (or lucky with) long entries regardless of backdrop. Shorts are more sentiment-sensitive: their win rate and average </w:t>
      </w:r>
      <w:proofErr w:type="spellStart"/>
      <w:r>
        <w:rPr>
          <w:color w:val="1F2937"/>
          <w:sz w:val="21"/>
          <w:szCs w:val="21"/>
        </w:rPr>
        <w:t>PnL</w:t>
      </w:r>
      <w:proofErr w:type="spellEnd"/>
      <w:r>
        <w:rPr>
          <w:color w:val="1F2937"/>
          <w:sz w:val="21"/>
          <w:szCs w:val="21"/>
        </w:rPr>
        <w:t xml:space="preserve"> are highest in Extreme Fear and Fear (when price is more likely actually falling) and weakest in Greed, which is the intuitive, textbook pattern.</w:t>
      </w:r>
    </w:p>
    <w:p w:rsidR="00007AB5" w:rsidRDefault="00000000">
      <w:pPr>
        <w:pStyle w:val="Heading1"/>
        <w:spacing w:before="360" w:after="160"/>
      </w:pPr>
      <w:r>
        <w:rPr>
          <w:b/>
          <w:bCs/>
          <w:color w:val="1B2A4A"/>
          <w:sz w:val="30"/>
          <w:szCs w:val="30"/>
        </w:rPr>
        <w:t>4. Coin-Level Patterns</w:t>
      </w:r>
    </w:p>
    <w:p w:rsidR="00007AB5" w:rsidRDefault="00000000">
      <w:pPr>
        <w:spacing w:before="120" w:after="80"/>
        <w:jc w:val="center"/>
      </w:pPr>
      <w:r>
        <w:rPr>
          <w:noProof/>
        </w:rPr>
        <w:drawing>
          <wp:inline distT="0" distB="0" distL="0" distR="0">
            <wp:extent cx="6479540" cy="3599615"/>
            <wp:effectExtent l="0" t="0" r="0" b="1270"/>
            <wp:docPr id="776806924" name="Picture 776806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97505" cy="3609595"/>
                    </a:xfrm>
                    <a:prstGeom prst="rect">
                      <a:avLst/>
                    </a:prstGeom>
                  </pic:spPr>
                </pic:pic>
              </a:graphicData>
            </a:graphic>
          </wp:inline>
        </w:drawing>
      </w:r>
    </w:p>
    <w:p w:rsidR="00007AB5" w:rsidRDefault="00000000">
      <w:pPr>
        <w:spacing w:after="320"/>
        <w:jc w:val="center"/>
      </w:pPr>
      <w:r>
        <w:rPr>
          <w:i/>
          <w:iCs/>
          <w:color w:val="6B7280"/>
          <w:sz w:val="18"/>
          <w:szCs w:val="18"/>
        </w:rPr>
        <w:t xml:space="preserve">Figure 6. Average closed </w:t>
      </w:r>
      <w:proofErr w:type="spellStart"/>
      <w:r>
        <w:rPr>
          <w:i/>
          <w:iCs/>
          <w:color w:val="6B7280"/>
          <w:sz w:val="18"/>
          <w:szCs w:val="18"/>
        </w:rPr>
        <w:t>PnL</w:t>
      </w:r>
      <w:proofErr w:type="spellEnd"/>
      <w:r>
        <w:rPr>
          <w:i/>
          <w:iCs/>
          <w:color w:val="6B7280"/>
          <w:sz w:val="18"/>
          <w:szCs w:val="18"/>
        </w:rPr>
        <w:t xml:space="preserve"> (USD) per trade, by coin and sentiment, for the eight most-traded symbols. Green = more profitable, red = less profitable.</w:t>
      </w:r>
    </w:p>
    <w:p w:rsidR="00007AB5" w:rsidRDefault="00000000">
      <w:pPr>
        <w:spacing w:after="160" w:line="300" w:lineRule="auto"/>
      </w:pPr>
      <w:r>
        <w:rPr>
          <w:color w:val="1F2937"/>
          <w:sz w:val="21"/>
          <w:szCs w:val="21"/>
        </w:rPr>
        <w:t>Coin-level results diverge sharply from the aggregate picture, which matters for strategy design:</w:t>
      </w:r>
    </w:p>
    <w:p w:rsidR="00007AB5" w:rsidRDefault="00000000">
      <w:pPr>
        <w:pStyle w:val="ListParagraph"/>
        <w:numPr>
          <w:ilvl w:val="0"/>
          <w:numId w:val="1"/>
        </w:numPr>
        <w:spacing w:after="90" w:line="290" w:lineRule="auto"/>
      </w:pPr>
      <w:r>
        <w:rPr>
          <w:color w:val="1F2937"/>
          <w:sz w:val="21"/>
          <w:szCs w:val="21"/>
        </w:rPr>
        <w:t>BTC and SOL are profitable across nearly every regime, with SOL peaking in Greed ($285/trade) rather than Fear.</w:t>
      </w:r>
    </w:p>
    <w:p w:rsidR="00007AB5" w:rsidRDefault="00000000">
      <w:pPr>
        <w:pStyle w:val="ListParagraph"/>
        <w:numPr>
          <w:ilvl w:val="0"/>
          <w:numId w:val="1"/>
        </w:numPr>
        <w:spacing w:after="90" w:line="290" w:lineRule="auto"/>
      </w:pPr>
      <w:r>
        <w:rPr>
          <w:color w:val="1F2937"/>
          <w:sz w:val="21"/>
          <w:szCs w:val="21"/>
        </w:rPr>
        <w:t>ETH and MELANIA are strongly profitable in Fear/Extreme Fear but turn negative in Extreme Greed — a pattern consistent with these positions being used as short hedges or mean-reversion trades during sell-offs, which stop working once the market is already euphoric.</w:t>
      </w:r>
    </w:p>
    <w:p w:rsidR="00007AB5" w:rsidRDefault="00000000">
      <w:pPr>
        <w:pStyle w:val="ListParagraph"/>
        <w:numPr>
          <w:ilvl w:val="0"/>
          <w:numId w:val="1"/>
        </w:numPr>
        <w:spacing w:after="90" w:line="290" w:lineRule="auto"/>
      </w:pPr>
      <w:r>
        <w:rPr>
          <w:color w:val="1F2937"/>
          <w:sz w:val="21"/>
          <w:szCs w:val="21"/>
        </w:rPr>
        <w:t>FARTCOIN and PURR/USDC are unprofitable in Extreme Fear (-$244 and -$62 per trade respectively) but recover in Greed/Extreme Greed — lower-cap, higher-beta names that seem to punish traders more in panics than they reward them in rallies.</w:t>
      </w:r>
    </w:p>
    <w:p w:rsidR="00007AB5" w:rsidRDefault="00000000">
      <w:pPr>
        <w:spacing w:after="160" w:line="300" w:lineRule="auto"/>
      </w:pPr>
      <w:r>
        <w:rPr>
          <w:color w:val="1F2937"/>
          <w:sz w:val="21"/>
          <w:szCs w:val="21"/>
        </w:rPr>
        <w:t>The takeaway is that “trade with sentiment” is not a uniform rule — it works for some symbols and fails for others, so any sentiment-based overlay should be applied per-asset rather than account-wide.</w:t>
      </w:r>
    </w:p>
    <w:p w:rsidR="00007AB5" w:rsidRDefault="00000000">
      <w:pPr>
        <w:pStyle w:val="Heading1"/>
        <w:spacing w:before="360" w:after="160"/>
      </w:pPr>
      <w:r>
        <w:rPr>
          <w:b/>
          <w:bCs/>
          <w:color w:val="1B2A4A"/>
          <w:sz w:val="30"/>
          <w:szCs w:val="30"/>
        </w:rPr>
        <w:lastRenderedPageBreak/>
        <w:t>5. Trader Concentration</w:t>
      </w:r>
    </w:p>
    <w:p w:rsidR="00007AB5" w:rsidRDefault="00000000">
      <w:pPr>
        <w:spacing w:after="160" w:line="300" w:lineRule="auto"/>
      </w:pPr>
      <w:r>
        <w:rPr>
          <w:color w:val="1F2937"/>
          <w:sz w:val="21"/>
          <w:szCs w:val="21"/>
        </w:rPr>
        <w:t xml:space="preserve">Profitability in this dataset is concentrated in a small number of accounts. Of 32 total accounts, the top 5 by net </w:t>
      </w:r>
      <w:proofErr w:type="spellStart"/>
      <w:r>
        <w:rPr>
          <w:color w:val="1F2937"/>
          <w:sz w:val="21"/>
          <w:szCs w:val="21"/>
        </w:rPr>
        <w:t>PnL</w:t>
      </w:r>
      <w:proofErr w:type="spellEnd"/>
      <w:r>
        <w:rPr>
          <w:color w:val="1F2937"/>
          <w:sz w:val="21"/>
          <w:szCs w:val="21"/>
        </w:rPr>
        <w:t xml:space="preserve"> contributed the majority of the pool's total gains, led by one account with ~$2.14M in closed </w:t>
      </w:r>
      <w:proofErr w:type="spellStart"/>
      <w:r>
        <w:rPr>
          <w:color w:val="1F2937"/>
          <w:sz w:val="21"/>
          <w:szCs w:val="21"/>
        </w:rPr>
        <w:t>PnL</w:t>
      </w:r>
      <w:proofErr w:type="spellEnd"/>
      <w:r>
        <w:rPr>
          <w:color w:val="1F2937"/>
          <w:sz w:val="21"/>
          <w:szCs w:val="21"/>
        </w:rPr>
        <w:t xml:space="preserve">. Three accounts finished net negative overall, with the weakest at approximately -$168K. Total fees paid across the dataset were $245,849 against $10.25M in gross closed </w:t>
      </w:r>
      <w:proofErr w:type="spellStart"/>
      <w:r>
        <w:rPr>
          <w:color w:val="1F2937"/>
          <w:sz w:val="21"/>
          <w:szCs w:val="21"/>
        </w:rPr>
        <w:t>PnL</w:t>
      </w:r>
      <w:proofErr w:type="spellEnd"/>
      <w:r>
        <w:rPr>
          <w:color w:val="1F2937"/>
          <w:sz w:val="21"/>
          <w:szCs w:val="21"/>
        </w:rPr>
        <w:t xml:space="preserve"> ($10.01M net) — fees are a modest ~2.4% drag on gross profits.</w:t>
      </w:r>
    </w:p>
    <w:p w:rsidR="00007AB5" w:rsidRDefault="00000000">
      <w:pPr>
        <w:spacing w:after="160" w:line="300" w:lineRule="auto"/>
      </w:pPr>
      <w:r>
        <w:rPr>
          <w:color w:val="1F2937"/>
          <w:sz w:val="21"/>
          <w:szCs w:val="21"/>
        </w:rPr>
        <w:t>This concentration means that pool-level sentiment statistics (Sections 2–3) can be skewed by the largest accounts' trading patterns. Any strategy built on these findings should be validated per-account, not assumed to generalize uniformly across the 32 traders.</w:t>
      </w:r>
    </w:p>
    <w:p w:rsidR="00007AB5" w:rsidRDefault="00000000">
      <w:pPr>
        <w:pStyle w:val="Heading1"/>
        <w:spacing w:before="360" w:after="160"/>
      </w:pPr>
      <w:r>
        <w:rPr>
          <w:b/>
          <w:bCs/>
          <w:color w:val="1B2A4A"/>
          <w:sz w:val="30"/>
          <w:szCs w:val="30"/>
        </w:rPr>
        <w:t>6. Key Insights</w:t>
      </w:r>
    </w:p>
    <w:p w:rsidR="00007AB5" w:rsidRDefault="00000000">
      <w:pPr>
        <w:pStyle w:val="ListParagraph"/>
        <w:numPr>
          <w:ilvl w:val="0"/>
          <w:numId w:val="1"/>
        </w:numPr>
        <w:spacing w:after="90" w:line="290" w:lineRule="auto"/>
      </w:pPr>
      <w:r>
        <w:rPr>
          <w:color w:val="1F2937"/>
          <w:sz w:val="21"/>
          <w:szCs w:val="21"/>
        </w:rPr>
        <w:t>Win rate is remarkably stable across sentiment (76–89%) — sentiment does not predict whether a trade wins, it predicts how much traders trade and how big.</w:t>
      </w:r>
    </w:p>
    <w:p w:rsidR="00007AB5" w:rsidRDefault="00000000">
      <w:pPr>
        <w:pStyle w:val="ListParagraph"/>
        <w:numPr>
          <w:ilvl w:val="0"/>
          <w:numId w:val="1"/>
        </w:numPr>
        <w:spacing w:after="90" w:line="290" w:lineRule="auto"/>
      </w:pPr>
      <w:r>
        <w:rPr>
          <w:color w:val="1F2937"/>
          <w:sz w:val="21"/>
          <w:szCs w:val="21"/>
        </w:rPr>
        <w:t>Activity and position size both rise sharply during Fear/Extreme Fear and shrink during Greed — this cohort behaves like contrarian, “buy the dip” traders rather than momentum chasers.</w:t>
      </w:r>
    </w:p>
    <w:p w:rsidR="00007AB5" w:rsidRDefault="00000000">
      <w:pPr>
        <w:pStyle w:val="ListParagraph"/>
        <w:numPr>
          <w:ilvl w:val="0"/>
          <w:numId w:val="1"/>
        </w:numPr>
        <w:spacing w:after="90" w:line="290" w:lineRule="auto"/>
      </w:pPr>
      <w:r>
        <w:rPr>
          <w:color w:val="1F2937"/>
          <w:sz w:val="21"/>
          <w:szCs w:val="21"/>
        </w:rPr>
        <w:t>Long positions are the consistent profit engine (84–90% win rate in every regime); shorts are the sentiment-sensitive lever, earning their keep specifically during Fear and Extreme Fear.</w:t>
      </w:r>
    </w:p>
    <w:p w:rsidR="00007AB5" w:rsidRDefault="00000000">
      <w:pPr>
        <w:pStyle w:val="ListParagraph"/>
        <w:numPr>
          <w:ilvl w:val="0"/>
          <w:numId w:val="1"/>
        </w:numPr>
        <w:spacing w:after="90" w:line="290" w:lineRule="auto"/>
      </w:pPr>
      <w:r>
        <w:rPr>
          <w:color w:val="1F2937"/>
          <w:sz w:val="21"/>
          <w:szCs w:val="21"/>
        </w:rPr>
        <w:t>Sentiment-based rules should be asset-specific: they help on ETH/MELANIA-style names and hurt on lower-cap, high-beta names like FARTCOIN during panics.</w:t>
      </w:r>
    </w:p>
    <w:p w:rsidR="00007AB5" w:rsidRDefault="00000000">
      <w:pPr>
        <w:pStyle w:val="ListParagraph"/>
        <w:numPr>
          <w:ilvl w:val="0"/>
          <w:numId w:val="1"/>
        </w:numPr>
        <w:spacing w:after="90" w:line="290" w:lineRule="auto"/>
      </w:pPr>
      <w:r>
        <w:rPr>
          <w:color w:val="1F2937"/>
          <w:sz w:val="21"/>
          <w:szCs w:val="21"/>
        </w:rPr>
        <w:t>Aggregate profitability is driven by a handful of large accounts, so pool-wide patterns should be treated as directional rather than a guarantee for any individual trader.</w:t>
      </w:r>
    </w:p>
    <w:p w:rsidR="00007AB5" w:rsidRDefault="00000000">
      <w:pPr>
        <w:pStyle w:val="Heading1"/>
        <w:spacing w:before="360" w:after="160"/>
      </w:pPr>
      <w:r>
        <w:rPr>
          <w:b/>
          <w:bCs/>
          <w:color w:val="1B2A4A"/>
          <w:sz w:val="30"/>
          <w:szCs w:val="30"/>
        </w:rPr>
        <w:t>7. Recommendations for Strategy Design</w:t>
      </w:r>
    </w:p>
    <w:p w:rsidR="00007AB5" w:rsidRDefault="00000000">
      <w:pPr>
        <w:pStyle w:val="ListParagraph"/>
        <w:numPr>
          <w:ilvl w:val="0"/>
          <w:numId w:val="1"/>
        </w:numPr>
        <w:spacing w:after="90" w:line="290" w:lineRule="auto"/>
      </w:pPr>
      <w:r>
        <w:rPr>
          <w:color w:val="1F2937"/>
          <w:sz w:val="21"/>
          <w:szCs w:val="21"/>
        </w:rPr>
        <w:t>Use sentiment as a position-sizing and activity signal, not a directional win-rate signal: scale exposure up cautiously during Fear/Extreme Fear (where this cohort already trades bigger and more often) rather than assuming every fear-driven trade is a high-probability win.</w:t>
      </w:r>
    </w:p>
    <w:p w:rsidR="00007AB5" w:rsidRDefault="00000000">
      <w:pPr>
        <w:pStyle w:val="ListParagraph"/>
        <w:numPr>
          <w:ilvl w:val="0"/>
          <w:numId w:val="1"/>
        </w:numPr>
        <w:spacing w:after="90" w:line="290" w:lineRule="auto"/>
      </w:pPr>
      <w:r>
        <w:rPr>
          <w:color w:val="1F2937"/>
          <w:sz w:val="21"/>
          <w:szCs w:val="21"/>
        </w:rPr>
        <w:t>Bias toward long exposure by default, given its consistently high win rate; reserve short exposure for confirmed Fear/Extreme Fear conditions where the data shows shorts genuinely earning their edge.</w:t>
      </w:r>
    </w:p>
    <w:p w:rsidR="00007AB5" w:rsidRDefault="00000000">
      <w:pPr>
        <w:pStyle w:val="ListParagraph"/>
        <w:numPr>
          <w:ilvl w:val="0"/>
          <w:numId w:val="1"/>
        </w:numPr>
        <w:spacing w:after="90" w:line="290" w:lineRule="auto"/>
      </w:pPr>
      <w:r>
        <w:rPr>
          <w:color w:val="1F2937"/>
          <w:sz w:val="21"/>
          <w:szCs w:val="21"/>
        </w:rPr>
        <w:t>Apply any sentiment overlay per-asset. BTC, SOL, ETH and MELANIA show tractable, differentiated sentiment relationships; smaller/high-beta tokens like FARTCOIN do not follow the same rules and may need sentiment-agnostic risk controls (e.g., tighter stops in Extreme Fear).</w:t>
      </w:r>
    </w:p>
    <w:p w:rsidR="00007AB5" w:rsidRDefault="00000000">
      <w:pPr>
        <w:pStyle w:val="ListParagraph"/>
        <w:numPr>
          <w:ilvl w:val="0"/>
          <w:numId w:val="1"/>
        </w:numPr>
        <w:spacing w:after="90" w:line="290" w:lineRule="auto"/>
      </w:pPr>
      <w:r>
        <w:rPr>
          <w:color w:val="1F2937"/>
          <w:sz w:val="21"/>
          <w:szCs w:val="21"/>
        </w:rPr>
        <w:t>Because 14 of 730 days carry the Extreme Fear label, treat Extreme Fear findings as directionally useful but statistically thin; prioritize monitoring live performance in the next few genuine Extreme Fear episodes before sizing up materially.</w:t>
      </w:r>
    </w:p>
    <w:p w:rsidR="00007AB5" w:rsidRDefault="00000000">
      <w:pPr>
        <w:pStyle w:val="ListParagraph"/>
        <w:numPr>
          <w:ilvl w:val="0"/>
          <w:numId w:val="1"/>
        </w:numPr>
        <w:spacing w:after="90" w:line="290" w:lineRule="auto"/>
      </w:pPr>
      <w:r>
        <w:rPr>
          <w:color w:val="1F2937"/>
          <w:sz w:val="21"/>
          <w:szCs w:val="21"/>
        </w:rPr>
        <w:t xml:space="preserve">Track per-account performance separately from pool aggregates before rolling out any sentiment-based rule change, since a small number of accounts currently account for most of the realized </w:t>
      </w:r>
      <w:proofErr w:type="spellStart"/>
      <w:r>
        <w:rPr>
          <w:color w:val="1F2937"/>
          <w:sz w:val="21"/>
          <w:szCs w:val="21"/>
        </w:rPr>
        <w:t>PnL</w:t>
      </w:r>
      <w:proofErr w:type="spellEnd"/>
      <w:r>
        <w:rPr>
          <w:color w:val="1F2937"/>
          <w:sz w:val="21"/>
          <w:szCs w:val="21"/>
        </w:rPr>
        <w:t>.</w:t>
      </w:r>
    </w:p>
    <w:p w:rsidR="00255F56" w:rsidRDefault="00255F56">
      <w:pPr>
        <w:pStyle w:val="Heading1"/>
        <w:spacing w:before="360" w:after="160"/>
        <w:rPr>
          <w:b/>
          <w:bCs/>
          <w:color w:val="1B2A4A"/>
          <w:sz w:val="30"/>
          <w:szCs w:val="30"/>
        </w:rPr>
      </w:pPr>
    </w:p>
    <w:p w:rsidR="00007AB5" w:rsidRDefault="00000000">
      <w:pPr>
        <w:pStyle w:val="Heading1"/>
        <w:spacing w:before="360" w:after="160"/>
      </w:pPr>
      <w:r>
        <w:rPr>
          <w:b/>
          <w:bCs/>
          <w:color w:val="1B2A4A"/>
          <w:sz w:val="30"/>
          <w:szCs w:val="30"/>
        </w:rPr>
        <w:lastRenderedPageBreak/>
        <w:t>8. Limitations</w:t>
      </w:r>
    </w:p>
    <w:p w:rsidR="00007AB5" w:rsidRDefault="00000000">
      <w:pPr>
        <w:pStyle w:val="ListParagraph"/>
        <w:numPr>
          <w:ilvl w:val="0"/>
          <w:numId w:val="1"/>
        </w:numPr>
        <w:spacing w:after="90" w:line="290" w:lineRule="auto"/>
      </w:pPr>
      <w:r>
        <w:rPr>
          <w:color w:val="1F2937"/>
          <w:sz w:val="21"/>
          <w:szCs w:val="21"/>
        </w:rPr>
        <w:t>The Fear &amp; Greed Index is a daily, market-wide signal; it is not asset-specific and may not reflect sentiment for lower-cap tokens like FARTCOIN or MELANIA.</w:t>
      </w:r>
    </w:p>
    <w:p w:rsidR="00007AB5" w:rsidRDefault="00000000">
      <w:pPr>
        <w:pStyle w:val="ListParagraph"/>
        <w:numPr>
          <w:ilvl w:val="0"/>
          <w:numId w:val="1"/>
        </w:numPr>
        <w:spacing w:after="90" w:line="290" w:lineRule="auto"/>
      </w:pPr>
      <w:r>
        <w:rPr>
          <w:color w:val="1F2937"/>
          <w:sz w:val="21"/>
          <w:szCs w:val="21"/>
        </w:rPr>
        <w:t xml:space="preserve">Closed </w:t>
      </w:r>
      <w:proofErr w:type="spellStart"/>
      <w:r>
        <w:rPr>
          <w:color w:val="1F2937"/>
          <w:sz w:val="21"/>
          <w:szCs w:val="21"/>
        </w:rPr>
        <w:t>PnL</w:t>
      </w:r>
      <w:proofErr w:type="spellEnd"/>
      <w:r>
        <w:rPr>
          <w:color w:val="1F2937"/>
          <w:sz w:val="21"/>
          <w:szCs w:val="21"/>
        </w:rPr>
        <w:t xml:space="preserve"> reflects realized gains/losses only; it does not include unrealized </w:t>
      </w:r>
      <w:proofErr w:type="spellStart"/>
      <w:r>
        <w:rPr>
          <w:color w:val="1F2937"/>
          <w:sz w:val="21"/>
          <w:szCs w:val="21"/>
        </w:rPr>
        <w:t>PnL</w:t>
      </w:r>
      <w:proofErr w:type="spellEnd"/>
      <w:r>
        <w:rPr>
          <w:color w:val="1F2937"/>
          <w:sz w:val="21"/>
          <w:szCs w:val="21"/>
        </w:rPr>
        <w:t xml:space="preserve"> on open positions at the end of the sample window.</w:t>
      </w:r>
    </w:p>
    <w:p w:rsidR="00007AB5" w:rsidRDefault="00000000">
      <w:pPr>
        <w:pStyle w:val="ListParagraph"/>
        <w:numPr>
          <w:ilvl w:val="0"/>
          <w:numId w:val="1"/>
        </w:numPr>
        <w:spacing w:after="90" w:line="290" w:lineRule="auto"/>
      </w:pPr>
      <w:r>
        <w:rPr>
          <w:color w:val="1F2937"/>
          <w:sz w:val="21"/>
          <w:szCs w:val="21"/>
        </w:rPr>
        <w:t>With 32 accounts and a 2-year window, some sentiment/coin combinations (e.g., Extreme Fear, 14 days) rest on limited data and should be treated as exploratory rather than conclusive.</w:t>
      </w:r>
    </w:p>
    <w:p w:rsidR="00007AB5" w:rsidRDefault="00000000">
      <w:pPr>
        <w:pStyle w:val="ListParagraph"/>
        <w:numPr>
          <w:ilvl w:val="0"/>
          <w:numId w:val="1"/>
        </w:numPr>
        <w:spacing w:after="90" w:line="290" w:lineRule="auto"/>
      </w:pPr>
      <w:r>
        <w:rPr>
          <w:color w:val="1F2937"/>
          <w:sz w:val="21"/>
          <w:szCs w:val="21"/>
        </w:rPr>
        <w:t xml:space="preserve">“Leverage” was not directly available in the trade data and was therefore not </w:t>
      </w:r>
      <w:proofErr w:type="spellStart"/>
      <w:r>
        <w:rPr>
          <w:color w:val="1F2937"/>
          <w:sz w:val="21"/>
          <w:szCs w:val="21"/>
        </w:rPr>
        <w:t>analyzed</w:t>
      </w:r>
      <w:proofErr w:type="spellEnd"/>
      <w:r>
        <w:rPr>
          <w:color w:val="1F2937"/>
          <w:sz w:val="21"/>
          <w:szCs w:val="21"/>
        </w:rPr>
        <w:t>; position size in USD was used as the closest available proxy for risk-taking.</w:t>
      </w:r>
    </w:p>
    <w:sectPr w:rsidR="00007AB5">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32D0F"/>
    <w:multiLevelType w:val="hybridMultilevel"/>
    <w:tmpl w:val="CB0C2B88"/>
    <w:lvl w:ilvl="0" w:tplc="83A849D4">
      <w:start w:val="1"/>
      <w:numFmt w:val="bullet"/>
      <w:lvlText w:val="●"/>
      <w:lvlJc w:val="left"/>
      <w:pPr>
        <w:ind w:left="720" w:hanging="360"/>
      </w:pPr>
    </w:lvl>
    <w:lvl w:ilvl="1" w:tplc="DF568356">
      <w:start w:val="1"/>
      <w:numFmt w:val="bullet"/>
      <w:lvlText w:val="○"/>
      <w:lvlJc w:val="left"/>
      <w:pPr>
        <w:ind w:left="1440" w:hanging="360"/>
      </w:pPr>
    </w:lvl>
    <w:lvl w:ilvl="2" w:tplc="0F7AFEFA">
      <w:start w:val="1"/>
      <w:numFmt w:val="bullet"/>
      <w:lvlText w:val="■"/>
      <w:lvlJc w:val="left"/>
      <w:pPr>
        <w:ind w:left="2160" w:hanging="360"/>
      </w:pPr>
    </w:lvl>
    <w:lvl w:ilvl="3" w:tplc="81D44524">
      <w:start w:val="1"/>
      <w:numFmt w:val="bullet"/>
      <w:lvlText w:val="●"/>
      <w:lvlJc w:val="left"/>
      <w:pPr>
        <w:ind w:left="2880" w:hanging="360"/>
      </w:pPr>
    </w:lvl>
    <w:lvl w:ilvl="4" w:tplc="F93651D0">
      <w:start w:val="1"/>
      <w:numFmt w:val="bullet"/>
      <w:lvlText w:val="○"/>
      <w:lvlJc w:val="left"/>
      <w:pPr>
        <w:ind w:left="3600" w:hanging="360"/>
      </w:pPr>
    </w:lvl>
    <w:lvl w:ilvl="5" w:tplc="17EE6C42">
      <w:start w:val="1"/>
      <w:numFmt w:val="bullet"/>
      <w:lvlText w:val="■"/>
      <w:lvlJc w:val="left"/>
      <w:pPr>
        <w:ind w:left="4320" w:hanging="360"/>
      </w:pPr>
    </w:lvl>
    <w:lvl w:ilvl="6" w:tplc="86A88572">
      <w:start w:val="1"/>
      <w:numFmt w:val="bullet"/>
      <w:lvlText w:val="●"/>
      <w:lvlJc w:val="left"/>
      <w:pPr>
        <w:ind w:left="5040" w:hanging="360"/>
      </w:pPr>
    </w:lvl>
    <w:lvl w:ilvl="7" w:tplc="E9CCC3FA">
      <w:start w:val="1"/>
      <w:numFmt w:val="bullet"/>
      <w:lvlText w:val="●"/>
      <w:lvlJc w:val="left"/>
      <w:pPr>
        <w:ind w:left="5760" w:hanging="360"/>
      </w:pPr>
    </w:lvl>
    <w:lvl w:ilvl="8" w:tplc="D97ABF92">
      <w:start w:val="1"/>
      <w:numFmt w:val="bullet"/>
      <w:lvlText w:val="●"/>
      <w:lvlJc w:val="left"/>
      <w:pPr>
        <w:ind w:left="6480" w:hanging="360"/>
      </w:pPr>
    </w:lvl>
  </w:abstractNum>
  <w:num w:numId="1" w16cid:durableId="19466924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AB5"/>
    <w:rsid w:val="00007AB5"/>
    <w:rsid w:val="00255F56"/>
    <w:rsid w:val="005518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E5E25"/>
  <w15:docId w15:val="{2E64951B-9739-4F6B-8077-63A6CDE0D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1536</Words>
  <Characters>8761</Characters>
  <Application>Microsoft Office Word</Application>
  <DocSecurity>0</DocSecurity>
  <Lines>73</Lines>
  <Paragraphs>20</Paragraphs>
  <ScaleCrop>false</ScaleCrop>
  <Company/>
  <LinksUpToDate>false</LinksUpToDate>
  <CharactersWithSpaces>10277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Moksh Adlakha</cp:lastModifiedBy>
  <cp:revision>2</cp:revision>
  <dcterms:created xsi:type="dcterms:W3CDTF">2026-07-11T07:16:00Z</dcterms:created>
  <dcterms:modified xsi:type="dcterms:W3CDTF">2026-07-11T07:23:00Z</dcterms:modified>
</cp:coreProperties>
</file>