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Engineer Onboarding Checklist</w:t>
      </w:r>
    </w:p>
    <w:p>
      <w:r>
        <w:t>Owner: Engineering Enablement. This checklist is completed jointly by the new engineer and their assigned onboarding buddy.</w:t>
      </w:r>
    </w:p>
    <w:p>
      <w:pPr>
        <w:pStyle w:val="Heading1"/>
      </w:pPr>
      <w:r>
        <w:t>Week one</w:t>
      </w:r>
    </w:p>
    <w:p>
      <w:pPr>
        <w:pStyle w:val="ListBullet"/>
      </w:pPr>
      <w:r>
        <w:t>Collect laptop and hardware security key from IT. Both are mandatory before any production access is requested.</w:t>
      </w:r>
    </w:p>
    <w:p>
      <w:pPr>
        <w:pStyle w:val="ListBullet"/>
      </w:pPr>
      <w:r>
        <w:t>Complete the Information Security induction. Access requests are not processed until this is recorded as complete.</w:t>
      </w:r>
    </w:p>
    <w:p>
      <w:pPr>
        <w:pStyle w:val="ListBullet"/>
      </w:pPr>
      <w:r>
        <w:t>Read the Engineering Handbook and the Incident Response Standard.</w:t>
      </w:r>
    </w:p>
    <w:p>
      <w:pPr>
        <w:pStyle w:val="ListBullet"/>
      </w:pPr>
      <w:r>
        <w:t>Pair with your onboarding buddy to ship one small change to production. The target is a merged and deployed pull request by the end of week one.</w:t>
      </w:r>
    </w:p>
    <w:p>
      <w:pPr>
        <w:pStyle w:val="Heading1"/>
      </w:pPr>
      <w:r>
        <w:t>Week two</w:t>
      </w:r>
    </w:p>
    <w:p>
      <w:pPr>
        <w:pStyle w:val="ListBullet"/>
      </w:pPr>
      <w:r>
        <w:t>Shadow one on-call handover. New engineers do not join the on-call rotation until the end of month three.</w:t>
      </w:r>
    </w:p>
    <w:p>
      <w:pPr>
        <w:pStyle w:val="ListBullet"/>
      </w:pPr>
      <w:r>
        <w:t>Complete the data handling module covering the Confidential and Restricted classifications.</w:t>
      </w:r>
    </w:p>
    <w:p>
      <w:pPr>
        <w:pStyle w:val="ListBullet"/>
      </w:pPr>
      <w:r>
        <w:t>Meet your skip-level manager for a 30 minute introduction.</w:t>
      </w:r>
    </w:p>
    <w:p>
      <w:pPr>
        <w:pStyle w:val="Heading1"/>
      </w:pPr>
      <w:r>
        <w:t>Probation and review</w:t>
      </w:r>
    </w:p>
    <w:p>
      <w:r>
        <w:t>The probation period for engineering roles is six months. A formal review is held at month three and again at month six. Probation may be extended once, by a maximum of three months, and only with the agreement of the department head.</w:t>
      </w:r>
    </w:p>
    <w:p>
      <w:pPr>
        <w:pStyle w:val="Heading1"/>
      </w:pPr>
      <w:r>
        <w:t>Equipment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Laptop refresh cycle</w:t>
            </w:r>
          </w:p>
        </w:tc>
        <w:tc>
          <w:tcPr>
            <w:tcW w:type="dxa" w:w="4320"/>
          </w:tcPr>
          <w:p>
            <w:r>
              <w:t>Every 3 years, or earlier on hardware failure</w:t>
            </w:r>
          </w:p>
        </w:tc>
      </w:tr>
      <w:tr>
        <w:tc>
          <w:tcPr>
            <w:tcW w:type="dxa" w:w="4320"/>
          </w:tcPr>
          <w:p>
            <w:r>
              <w:t>Home office allowance</w:t>
            </w:r>
          </w:p>
        </w:tc>
        <w:tc>
          <w:tcPr>
            <w:tcW w:type="dxa" w:w="4320"/>
          </w:tcPr>
          <w:p>
            <w:r>
              <w:t>600 EUR, claimable once every 4 years</w:t>
            </w:r>
          </w:p>
        </w:tc>
      </w:tr>
      <w:tr>
        <w:tc>
          <w:tcPr>
            <w:tcW w:type="dxa" w:w="4320"/>
          </w:tcPr>
          <w:p>
            <w:r>
              <w:t>Monitor allowance</w:t>
            </w:r>
          </w:p>
        </w:tc>
        <w:tc>
          <w:tcPr>
            <w:tcW w:type="dxa" w:w="4320"/>
          </w:tcPr>
          <w:p>
            <w:r>
              <w:t>Up to 2 external monitors per 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Engineer Onboarding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