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4D0D7" w14:textId="77777777" w:rsidR="00CF20DD" w:rsidRDefault="00CF20DD" w:rsidP="00CF20DD">
      <w:pPr>
        <w:pStyle w:val="Heading1"/>
      </w:pPr>
      <w:r>
        <w:t>Introduction to Artificial Intelligence</w:t>
      </w:r>
    </w:p>
    <w:p w14:paraId="15CC9057" w14:textId="77777777" w:rsidR="00CF20DD" w:rsidRPr="0070018B" w:rsidRDefault="00CF20DD" w:rsidP="00CF20DD">
      <w:pPr>
        <w:rPr>
          <w:rFonts w:ascii="-webkit-standard" w:hAnsi="-webkit-standard" w:hint="eastAsia"/>
          <w:color w:val="000000"/>
          <w:sz w:val="23"/>
        </w:rPr>
      </w:pPr>
      <w:r w:rsidRPr="0070018B">
        <w:rPr>
          <w:rFonts w:ascii="-webkit-standard" w:hAnsi="-webkit-standard"/>
          <w:color w:val="000000"/>
          <w:sz w:val="23"/>
        </w:rPr>
        <w:t xml:space="preserve">Artificial Intelligence (AI) represents a cutting-edge area of computer science focused on designing systems that can replicate human cognitive capabilities. Leveraging advancements in machine learning, deep learning, and natural language understanding, AI empowers machines to interpret data, identify trends, and make autonomous decisions. Its widespread integration across sectors such as finance, healthcare, and transportation </w:t>
      </w:r>
      <w:proofErr w:type="gramStart"/>
      <w:r w:rsidRPr="0070018B">
        <w:rPr>
          <w:rFonts w:ascii="-webkit-standard" w:hAnsi="-webkit-standard"/>
          <w:color w:val="000000"/>
          <w:sz w:val="23"/>
        </w:rPr>
        <w:t>is</w:t>
      </w:r>
      <w:proofErr w:type="gramEnd"/>
      <w:r w:rsidRPr="0070018B">
        <w:rPr>
          <w:rFonts w:ascii="-webkit-standard" w:hAnsi="-webkit-standard"/>
          <w:color w:val="000000"/>
          <w:sz w:val="23"/>
        </w:rPr>
        <w:t xml:space="preserve"> transforming how problems are </w:t>
      </w:r>
      <w:proofErr w:type="gramStart"/>
      <w:r w:rsidRPr="0070018B">
        <w:rPr>
          <w:rFonts w:ascii="-webkit-standard" w:hAnsi="-webkit-standard"/>
          <w:color w:val="000000"/>
          <w:sz w:val="23"/>
        </w:rPr>
        <w:t>approached</w:t>
      </w:r>
      <w:proofErr w:type="gramEnd"/>
      <w:r w:rsidRPr="0070018B">
        <w:rPr>
          <w:rFonts w:ascii="-webkit-standard" w:hAnsi="-webkit-standard"/>
          <w:color w:val="000000"/>
          <w:sz w:val="23"/>
        </w:rPr>
        <w:t xml:space="preserve"> and solutions are implemented. Despite its promise, AI introduces new challenges, particularly in maintaining ethical standards around data privacy, fairness, and accountability. As innovation accelerates, it is crucial to ensure responsible development and deployment practices that align with societal needs and values. </w:t>
      </w:r>
    </w:p>
    <w:p w14:paraId="63CA10FA" w14:textId="77777777" w:rsidR="00CF20DD" w:rsidRDefault="00CF20DD" w:rsidP="00CF20DD">
      <w:r>
        <w:rPr>
          <w:noProof/>
        </w:rPr>
        <w:drawing>
          <wp:inline distT="0" distB="0" distL="0" distR="0" wp14:anchorId="1580374A" wp14:editId="72D5BFF6">
            <wp:extent cx="5486400" cy="3526790"/>
            <wp:effectExtent l="0" t="0" r="0" b="3810"/>
            <wp:docPr id="1126963816" name="Picture 1" descr="A person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63816" name="Picture 1" descr="A person using a computer&#10;&#10;AI-generated content may be incorrect."/>
                    <pic:cNvPicPr/>
                  </pic:nvPicPr>
                  <pic:blipFill>
                    <a:blip r:embed="rId6"/>
                    <a:stretch>
                      <a:fillRect/>
                    </a:stretch>
                  </pic:blipFill>
                  <pic:spPr>
                    <a:xfrm>
                      <a:off x="0" y="0"/>
                      <a:ext cx="5486400" cy="3526790"/>
                    </a:xfrm>
                    <a:prstGeom prst="rect">
                      <a:avLst/>
                    </a:prstGeom>
                  </pic:spPr>
                </pic:pic>
              </a:graphicData>
            </a:graphic>
          </wp:inline>
        </w:drawing>
      </w:r>
    </w:p>
    <w:p w14:paraId="59FA2993" w14:textId="77777777" w:rsidR="00CF20DD" w:rsidRDefault="00CF20DD" w:rsidP="00CF20DD">
      <w:pPr>
        <w:pStyle w:val="Heading1"/>
      </w:pPr>
      <w:r>
        <w:t>AI in Healthcare</w:t>
      </w:r>
    </w:p>
    <w:p w14:paraId="6D19D5AD" w14:textId="77777777" w:rsidR="00CF20DD" w:rsidRDefault="00CF20DD" w:rsidP="00CF20DD">
      <w:pPr>
        <w:rPr>
          <w:noProof/>
        </w:rPr>
      </w:pPr>
      <w:r w:rsidRPr="00E90E1B">
        <w:rPr>
          <w:rFonts w:ascii="-webkit-standard" w:hAnsi="-webkit-standard"/>
          <w:color w:val="000000"/>
          <w:sz w:val="23"/>
        </w:rPr>
        <w:t xml:space="preserve">AI in Healthcare is revolutionizing the medical field by providing innovative solutions that enhance patient care, streamline operations, and improve diagnostic accuracy. Advanced algorithms and machine learning techniques analyze vast amounts of medical data to detect patterns and identify anomalies, enabling early diagnosis of diseases such as cancer and cardiovascular conditions. These tools support healthcare professionals by offering decision-making insights, reducing human error, and tailoring treatment plans to individual patients through personalized medicine. AI applications extend to </w:t>
      </w:r>
      <w:r w:rsidRPr="00E90E1B">
        <w:rPr>
          <w:rFonts w:ascii="-webkit-standard" w:hAnsi="-webkit-standard"/>
          <w:color w:val="000000"/>
          <w:sz w:val="23"/>
        </w:rPr>
        <w:lastRenderedPageBreak/>
        <w:t>medical imaging, where neural networks assist in interpreting complex scans with greater precision, and to robotic surgery, which enhances the accuracy and safety of procedures. Moreover, AI-driven predictive analytics are being used to anticipate patient needs and allocate resources effectively, particularly in emergency care and chronic disease management. Despite these significant advancements, integrating AI into healthcare also presents challenges, including data privacy concerns, the need for robust regulatory frameworks, and the ongoing requirement for human oversight to interpret AI outputs responsibly.</w:t>
      </w:r>
    </w:p>
    <w:p w14:paraId="13272F8F" w14:textId="77777777" w:rsidR="00CF20DD" w:rsidRDefault="00CF20DD" w:rsidP="00CF20DD">
      <w:r>
        <w:rPr>
          <w:noProof/>
        </w:rPr>
        <w:drawing>
          <wp:inline distT="0" distB="0" distL="0" distR="0" wp14:anchorId="0D323569" wp14:editId="5A37A5FB">
            <wp:extent cx="4817764" cy="2752928"/>
            <wp:effectExtent l="0" t="0" r="0" b="3175"/>
            <wp:docPr id="2103530641" name="Picture 2" descr="A person and person in a medical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30641" name="Picture 2" descr="A person and person in a medical room&#10;&#10;AI-generated content may be incorrect."/>
                    <pic:cNvPicPr/>
                  </pic:nvPicPr>
                  <pic:blipFill>
                    <a:blip r:embed="rId7"/>
                    <a:stretch>
                      <a:fillRect/>
                    </a:stretch>
                  </pic:blipFill>
                  <pic:spPr>
                    <a:xfrm>
                      <a:off x="0" y="0"/>
                      <a:ext cx="4972090" cy="2841112"/>
                    </a:xfrm>
                    <a:prstGeom prst="rect">
                      <a:avLst/>
                    </a:prstGeom>
                  </pic:spPr>
                </pic:pic>
              </a:graphicData>
            </a:graphic>
          </wp:inline>
        </w:drawing>
      </w:r>
    </w:p>
    <w:p w14:paraId="61582F07" w14:textId="77777777" w:rsidR="00CF20DD" w:rsidRPr="00E011B2" w:rsidRDefault="00CF20DD" w:rsidP="00CF20DD">
      <w:pPr>
        <w:pStyle w:val="Heading1"/>
        <w:spacing w:before="0"/>
      </w:pPr>
      <w:r>
        <w:t>AI in Education</w:t>
      </w:r>
    </w:p>
    <w:p w14:paraId="0F111496" w14:textId="77777777" w:rsidR="00CF20DD" w:rsidRPr="007B1E8F" w:rsidRDefault="00CF20DD" w:rsidP="00CF20DD">
      <w:pPr>
        <w:pStyle w:val="Heading1"/>
        <w:spacing w:before="0"/>
        <w:rPr>
          <w:rFonts w:ascii="-webkit-standard" w:eastAsiaTheme="minorEastAsia" w:hAnsi="-webkit-standard" w:cstheme="minorBidi" w:hint="eastAsia"/>
          <w:b w:val="0"/>
          <w:bCs w:val="0"/>
          <w:color w:val="000000"/>
          <w:sz w:val="23"/>
          <w:szCs w:val="22"/>
        </w:rPr>
      </w:pPr>
      <w:r w:rsidRPr="00E011B2">
        <w:rPr>
          <w:rFonts w:ascii="-webkit-standard" w:eastAsiaTheme="minorEastAsia" w:hAnsi="-webkit-standard" w:cstheme="minorBidi"/>
          <w:b w:val="0"/>
          <w:bCs w:val="0"/>
          <w:color w:val="000000"/>
          <w:sz w:val="23"/>
          <w:szCs w:val="22"/>
        </w:rPr>
        <w:t>Artificial Intelligence (AI) is transforming education by creating more personalized, efficient, and accessible learning experiences. AI-powered tools can adapt to individual learning styles and paces, offering tailored content through adaptive learning platforms. Intelligent tutoring systems provide students with real-time feedback and support outside the classroom, enhancing understanding and retention. Educators benefit from automated grading and administrative assistance, allowing them to focus more on teaching and student engagement. AI also helps identify at-risk students early by analyzing performance data, enabling timely intervention. Additionally, AI-powered language translation and speech recognition tools make education more inclusive for students with diverse linguistic backgrounds or special needs. As AI continues to evolve, it holds the potential to bridge gaps in education and promote lifelong learning opportunities for all.</w:t>
      </w:r>
    </w:p>
    <w:p w14:paraId="1D4F6755" w14:textId="77777777" w:rsidR="00CF20DD" w:rsidRDefault="00CF20DD" w:rsidP="00CF20DD">
      <w:pPr>
        <w:pStyle w:val="Heading1"/>
      </w:pPr>
      <w:r>
        <w:t>AI in Transportation</w:t>
      </w:r>
    </w:p>
    <w:p w14:paraId="0A3BDB22" w14:textId="77777777" w:rsidR="00CF20DD" w:rsidRPr="000910B3" w:rsidRDefault="00CF20DD" w:rsidP="00CF20DD">
      <w:pPr>
        <w:rPr>
          <w:rFonts w:ascii="-webkit-standard" w:hAnsi="-webkit-standard" w:hint="eastAsia"/>
          <w:color w:val="000000"/>
          <w:sz w:val="23"/>
        </w:rPr>
      </w:pPr>
      <w:r w:rsidRPr="000910B3">
        <w:rPr>
          <w:rFonts w:ascii="-webkit-standard" w:hAnsi="-webkit-standard"/>
          <w:color w:val="000000"/>
          <w:sz w:val="23"/>
        </w:rPr>
        <w:t xml:space="preserve">AI in Transportation is driving a profound transformation in how people and goods move, ushering in an era of enhanced safety, efficiency, and sustainability. By leveraging </w:t>
      </w:r>
      <w:r w:rsidRPr="000910B3">
        <w:rPr>
          <w:rFonts w:ascii="-webkit-standard" w:hAnsi="-webkit-standard"/>
          <w:color w:val="000000"/>
          <w:sz w:val="23"/>
        </w:rPr>
        <w:lastRenderedPageBreak/>
        <w:t>advanced machine learning algorithms, transportation systems can analyze real-time data from traffic patterns, weather conditions, and vehicle sensors to optimize routes and reduce congestion. Autonomous vehicles, powered by sophisticated AI, are emerging as a promising solution to minimize human error, improve road safety, and offer greater mobility for all. In public transit, AI assists in scheduling, demand forecasting, and route planning, ensuring that services are both efficient and responsive to changing commuter needs. Additionally, logistics and supply chain operations benefit from AI-driven predictive analytics, which help companies streamline deliveries and reduce operational costs. As urban populations continue to grow, the integration of AI into transportation infrastructure is crucial for creating smarter cities that prioritize environmental sustainability and reduced carbon emissions. While the technology presents significant opportunities, challenges such as regulatory hurdles, cybersecurity concerns, and public trust must be addressed to fully realize its potential.</w:t>
      </w:r>
    </w:p>
    <w:p w14:paraId="3552641F" w14:textId="77777777" w:rsidR="00CF20DD" w:rsidRDefault="00CF20DD" w:rsidP="00CF20DD">
      <w:r>
        <w:rPr>
          <w:noProof/>
        </w:rPr>
        <w:drawing>
          <wp:inline distT="0" distB="0" distL="0" distR="0" wp14:anchorId="23E767CD" wp14:editId="7F85E03C">
            <wp:extent cx="3463047" cy="3463047"/>
            <wp:effectExtent l="0" t="0" r="4445" b="4445"/>
            <wp:docPr id="949015662" name="Picture 3" descr="A drone flying over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15662" name="Picture 3" descr="A drone flying over a city&#10;&#10;AI-generated content may be incorrect."/>
                    <pic:cNvPicPr/>
                  </pic:nvPicPr>
                  <pic:blipFill>
                    <a:blip r:embed="rId8"/>
                    <a:stretch>
                      <a:fillRect/>
                    </a:stretch>
                  </pic:blipFill>
                  <pic:spPr>
                    <a:xfrm>
                      <a:off x="0" y="0"/>
                      <a:ext cx="3473285" cy="3473285"/>
                    </a:xfrm>
                    <a:prstGeom prst="rect">
                      <a:avLst/>
                    </a:prstGeom>
                  </pic:spPr>
                </pic:pic>
              </a:graphicData>
            </a:graphic>
          </wp:inline>
        </w:drawing>
      </w:r>
    </w:p>
    <w:p w14:paraId="34D7B8A7" w14:textId="77777777" w:rsidR="00CF20DD" w:rsidRDefault="00CF20DD" w:rsidP="00CF20DD">
      <w:pPr>
        <w:pStyle w:val="Heading1"/>
      </w:pPr>
      <w:r>
        <w:t>AI in Finance</w:t>
      </w:r>
    </w:p>
    <w:p w14:paraId="52D3ABC5" w14:textId="77777777" w:rsidR="00CF20DD" w:rsidRPr="001B6624" w:rsidRDefault="00CF20DD" w:rsidP="00CF20DD">
      <w:pPr>
        <w:rPr>
          <w:rFonts w:ascii="-webkit-standard" w:hAnsi="-webkit-standard" w:hint="eastAsia"/>
          <w:color w:val="000000"/>
          <w:sz w:val="23"/>
        </w:rPr>
      </w:pPr>
      <w:r w:rsidRPr="001B6624">
        <w:rPr>
          <w:rFonts w:ascii="-webkit-standard" w:hAnsi="-webkit-standard"/>
          <w:color w:val="000000"/>
          <w:sz w:val="23"/>
        </w:rPr>
        <w:t xml:space="preserve">AI in Finance is revolutionizing the financial sector by introducing advanced analytical tools and automation to improve decision-making, risk management, and customer service. Financial institutions are leveraging machine learning algorithms to process enormous volumes of data in real time, enabling more accurate predictions of market trends and investment opportunities. This technology enhances fraud detection by identifying suspicious patterns and anomalies, thereby safeguarding assets and maintaining regulatory compliance. AI-powered platforms also facilitate personalized </w:t>
      </w:r>
      <w:r w:rsidRPr="001B6624">
        <w:rPr>
          <w:rFonts w:ascii="-webkit-standard" w:hAnsi="-webkit-standard"/>
          <w:color w:val="000000"/>
          <w:sz w:val="23"/>
        </w:rPr>
        <w:lastRenderedPageBreak/>
        <w:t>banking experiences through intelligent chatbots and recommendation systems, which offer tailored advice and streamline customer interactions. In addition, algorithmic trading has become a prominent application of AI, where rapid processing speeds allow for swift execution of trades that capitalize on minute market fluctuations. These innovations not only reduce operational costs and improve efficiency but also open new avenues for financial innovation and competitiveness in a rapidly evolving market landscape. However, the integration of AI in finance necessitates stringent measures to address ethical concerns, data privacy issues, and the potential for algorithmic biases, ensuring that the benefits are realized responsibly and equitably across the industry.</w:t>
      </w:r>
    </w:p>
    <w:p w14:paraId="1D717AE3" w14:textId="77777777" w:rsidR="00CF20DD" w:rsidRDefault="00CF20DD" w:rsidP="00CF20DD">
      <w:pPr>
        <w:rPr>
          <w:rFonts w:ascii="-webkit-standard" w:hAnsi="-webkit-standard" w:hint="eastAsia"/>
          <w:color w:val="000000"/>
          <w:sz w:val="27"/>
          <w:szCs w:val="27"/>
        </w:rPr>
      </w:pPr>
    </w:p>
    <w:p w14:paraId="25841389" w14:textId="77777777" w:rsidR="00CF20DD" w:rsidRDefault="00CF20DD" w:rsidP="00CF20DD">
      <w:r>
        <w:rPr>
          <w:noProof/>
        </w:rPr>
        <w:drawing>
          <wp:inline distT="0" distB="0" distL="0" distR="0" wp14:anchorId="4DF869EA" wp14:editId="4E04031C">
            <wp:extent cx="4894093" cy="2752928"/>
            <wp:effectExtent l="0" t="0" r="0" b="3175"/>
            <wp:docPr id="2111438011" name="Picture 4" descr="A person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38011" name="Picture 4" descr="A person using a computer&#10;&#10;AI-generated content may be incorrect."/>
                    <pic:cNvPicPr/>
                  </pic:nvPicPr>
                  <pic:blipFill>
                    <a:blip r:embed="rId9"/>
                    <a:stretch>
                      <a:fillRect/>
                    </a:stretch>
                  </pic:blipFill>
                  <pic:spPr>
                    <a:xfrm>
                      <a:off x="0" y="0"/>
                      <a:ext cx="4943896" cy="2780942"/>
                    </a:xfrm>
                    <a:prstGeom prst="rect">
                      <a:avLst/>
                    </a:prstGeom>
                  </pic:spPr>
                </pic:pic>
              </a:graphicData>
            </a:graphic>
          </wp:inline>
        </w:drawing>
      </w:r>
    </w:p>
    <w:p w14:paraId="13A5D175" w14:textId="77777777" w:rsidR="004628C4" w:rsidRDefault="004628C4" w:rsidP="00CF20DD"/>
    <w:p w14:paraId="3043AF67" w14:textId="3A83F6C9" w:rsidR="004628C4" w:rsidRDefault="00B17D8F" w:rsidP="004628C4">
      <w:pPr>
        <w:pStyle w:val="Heading2"/>
      </w:pPr>
      <w:r>
        <w:t>ML</w:t>
      </w:r>
      <w:r w:rsidR="004628C4">
        <w:t xml:space="preserve"> workflow steps:</w:t>
      </w:r>
    </w:p>
    <w:p w14:paraId="2FACC2EF" w14:textId="77777777" w:rsidR="004628C4" w:rsidRDefault="004628C4" w:rsidP="004628C4">
      <w:pPr>
        <w:numPr>
          <w:ilvl w:val="0"/>
          <w:numId w:val="11"/>
        </w:numPr>
        <w:spacing w:after="0"/>
      </w:pPr>
      <w:r>
        <w:t>Data preprocessing:</w:t>
      </w:r>
    </w:p>
    <w:p w14:paraId="11BF0D5D" w14:textId="77777777" w:rsidR="004628C4" w:rsidRDefault="004628C4" w:rsidP="004628C4">
      <w:pPr>
        <w:ind w:left="720"/>
      </w:pPr>
      <w:r>
        <w:t>Data preprocessing is a vital step in machine learning that involves preparing raw data for model training and analysis. The process typically includes:</w:t>
      </w:r>
    </w:p>
    <w:p w14:paraId="697067A6" w14:textId="77777777" w:rsidR="004628C4" w:rsidRDefault="004628C4" w:rsidP="004628C4">
      <w:pPr>
        <w:numPr>
          <w:ilvl w:val="1"/>
          <w:numId w:val="10"/>
        </w:numPr>
        <w:spacing w:after="0"/>
      </w:pPr>
      <w:r>
        <w:t>Data Cleaning: Addressing missing values through imputation or removal, correcting errors, and removing outliers to improve data quality.</w:t>
      </w:r>
    </w:p>
    <w:p w14:paraId="1845345B" w14:textId="77777777" w:rsidR="004628C4" w:rsidRDefault="004628C4" w:rsidP="004628C4">
      <w:pPr>
        <w:numPr>
          <w:ilvl w:val="1"/>
          <w:numId w:val="10"/>
        </w:numPr>
        <w:spacing w:after="0"/>
      </w:pPr>
      <w:r>
        <w:t>Data Transformation: Normalizing or standardizing numerical data to ensure consistency in scale and distribution, crucial for models sensitive to data scaling.</w:t>
      </w:r>
    </w:p>
    <w:p w14:paraId="31F653DC" w14:textId="77777777" w:rsidR="004628C4" w:rsidRDefault="004628C4" w:rsidP="004628C4">
      <w:pPr>
        <w:numPr>
          <w:ilvl w:val="1"/>
          <w:numId w:val="10"/>
        </w:numPr>
        <w:spacing w:after="0"/>
      </w:pPr>
      <w:r>
        <w:t>Feature Engineering: Creating new, informative features or modifying existing ones based on domain knowledge, enhancing the model's ability to learn effectively.</w:t>
      </w:r>
    </w:p>
    <w:p w14:paraId="51FBFFBA" w14:textId="77777777" w:rsidR="004628C4" w:rsidRDefault="004628C4" w:rsidP="004628C4">
      <w:pPr>
        <w:numPr>
          <w:ilvl w:val="1"/>
          <w:numId w:val="10"/>
        </w:numPr>
        <w:spacing w:after="0"/>
      </w:pPr>
      <w:r>
        <w:lastRenderedPageBreak/>
        <w:t>Encoding Categorical Data: Converting non-numerical categories into a numerical format through methods like one-hot encoding or label encoding, making the data suitable for machine learning algorithms.</w:t>
      </w:r>
    </w:p>
    <w:p w14:paraId="4B8E767C" w14:textId="77777777" w:rsidR="004628C4" w:rsidRDefault="004628C4" w:rsidP="004628C4">
      <w:pPr>
        <w:numPr>
          <w:ilvl w:val="1"/>
          <w:numId w:val="10"/>
        </w:numPr>
        <w:spacing w:after="0"/>
      </w:pPr>
      <w:r>
        <w:t>Feature Selection: Identifying and retaining the most relevant features to reduce data dimensionality, which can lead to improved model performance and reduced computational complexity.</w:t>
      </w:r>
    </w:p>
    <w:p w14:paraId="33644CD0" w14:textId="77777777" w:rsidR="004628C4" w:rsidRDefault="004628C4" w:rsidP="004628C4">
      <w:pPr>
        <w:numPr>
          <w:ilvl w:val="1"/>
          <w:numId w:val="10"/>
        </w:numPr>
        <w:spacing w:after="0"/>
      </w:pPr>
      <w:r>
        <w:t xml:space="preserve">Data Splitting: Dividing the preprocessed data into training, validation, and test sets to enable unbiased model evaluation and to test the model's ability to generalize to new data. We will discuss this in detail after going over ML steps. </w:t>
      </w:r>
    </w:p>
    <w:p w14:paraId="29E39245" w14:textId="77777777" w:rsidR="004628C4" w:rsidRDefault="004628C4" w:rsidP="004628C4">
      <w:pPr>
        <w:ind w:left="720"/>
      </w:pPr>
      <w:r>
        <w:t>In summary, data preprocessing is a series of steps to clean, transform, and organize raw data, making it conducive for building robust and effective machine learning models.</w:t>
      </w:r>
    </w:p>
    <w:p w14:paraId="1A6F1837" w14:textId="77777777" w:rsidR="004628C4" w:rsidRDefault="004628C4" w:rsidP="004628C4"/>
    <w:p w14:paraId="3300C3D5" w14:textId="77777777" w:rsidR="004628C4" w:rsidRDefault="004628C4" w:rsidP="004628C4">
      <w:pPr>
        <w:numPr>
          <w:ilvl w:val="0"/>
          <w:numId w:val="11"/>
        </w:numPr>
        <w:spacing w:after="0"/>
      </w:pPr>
      <w:r>
        <w:rPr>
          <w:i/>
        </w:rPr>
        <w:t>Model training:</w:t>
      </w:r>
      <w:r>
        <w:br/>
        <w:t xml:space="preserve">Model training focuses on feeding the training data into machine learning algorithms to train models by tuning parameters like weights to minimize the loss. This process involves feeding a training dataset, comprising features (input variables) and labels (output variables), into a machine learning algorithm. The algorithm then uses this data to learn the underlying patterns or relationships between the features and labels. At its core, model training is about adjusting the parameters of the model so that it can accurately map the input to the output. For supervised learning models, this typically involves minimizing a loss function, which quantifies the difference between the predicted outputs of the model and the actual outputs in the training data. The process of minimizing this loss function is often achieved through optimization algorithms such as gradient descent. These algorithms iteratively adjust the model's parameters (like weights in a neural network) to minimize the difference between predictions and actual results. </w:t>
      </w:r>
    </w:p>
    <w:p w14:paraId="3F6591A7" w14:textId="77777777" w:rsidR="004628C4" w:rsidRDefault="004628C4" w:rsidP="004628C4">
      <w:pPr>
        <w:ind w:left="720"/>
      </w:pPr>
    </w:p>
    <w:p w14:paraId="36919440" w14:textId="77777777" w:rsidR="004628C4" w:rsidRDefault="004628C4" w:rsidP="004628C4">
      <w:pPr>
        <w:numPr>
          <w:ilvl w:val="0"/>
          <w:numId w:val="11"/>
        </w:numPr>
        <w:spacing w:after="0"/>
      </w:pPr>
      <w:r>
        <w:rPr>
          <w:i/>
        </w:rPr>
        <w:t xml:space="preserve">Model </w:t>
      </w:r>
      <w:proofErr w:type="spellStart"/>
      <w:r>
        <w:rPr>
          <w:i/>
        </w:rPr>
        <w:t>evalaution</w:t>
      </w:r>
      <w:proofErr w:type="spellEnd"/>
      <w:r>
        <w:rPr>
          <w:i/>
        </w:rPr>
        <w:t>:</w:t>
      </w:r>
      <w:r>
        <w:br/>
        <w:t xml:space="preserve">Model evaluation assesses the trained models on the validation set using relevant metrics for the problem. Model performance is measured using appropriate metrics, such as accuracy, precision, recall, and F1 score for classification tasks, or MSE and MAE for regression tasks. The validation set is a dataset not seen by the model during the training phase and helps in providing an unbiased evaluation of the model's performance. Hyperparameter tuning is an integral part of model evaluation. Hyperparameters are the configuration settings used to structure the machine learning model and can significantly impact the performance of the model. Examples include the learning rate, the number of layers in a neural network, or the number of trees in a random forest. </w:t>
      </w:r>
    </w:p>
    <w:p w14:paraId="09F13A43" w14:textId="77777777" w:rsidR="004628C4" w:rsidRDefault="004628C4" w:rsidP="004628C4">
      <w:pPr>
        <w:ind w:left="720"/>
      </w:pPr>
    </w:p>
    <w:p w14:paraId="0654DC1C" w14:textId="77777777" w:rsidR="004628C4" w:rsidRDefault="004628C4" w:rsidP="004628C4">
      <w:pPr>
        <w:ind w:left="720"/>
      </w:pPr>
      <w:r>
        <w:rPr>
          <w:i/>
        </w:rPr>
        <w:lastRenderedPageBreak/>
        <w:t>Hyperparameter tuning:</w:t>
      </w:r>
      <w:r>
        <w:rPr>
          <w:i/>
        </w:rPr>
        <w:br/>
      </w:r>
      <w:r>
        <w:t xml:space="preserve">Hyperparameter tuning is a key component of this process, focused on improving the configuration settings of the model to enhance its performance and generalizability.  Techniques like grid search or random search are used to find the best combination of hyperparameters. The goal of hyperparameter tuning is to find the "sweet spot" where the model is complex enough to capture the underlying patterns in the data, but not so complex that it overfits to the training data. </w:t>
      </w:r>
    </w:p>
    <w:p w14:paraId="008CC164" w14:textId="77777777" w:rsidR="004628C4" w:rsidRDefault="004628C4" w:rsidP="004628C4">
      <w:pPr>
        <w:ind w:left="720"/>
      </w:pPr>
    </w:p>
    <w:p w14:paraId="32E3DB0B" w14:textId="77777777" w:rsidR="004628C4" w:rsidRDefault="004628C4" w:rsidP="004628C4">
      <w:pPr>
        <w:ind w:left="720"/>
        <w:rPr>
          <w:i/>
        </w:rPr>
      </w:pPr>
      <w:r>
        <w:rPr>
          <w:i/>
        </w:rPr>
        <w:t xml:space="preserve">Overfitting and Underfitting: </w:t>
      </w:r>
    </w:p>
    <w:p w14:paraId="6A56F3EF" w14:textId="77777777" w:rsidR="004628C4" w:rsidRDefault="004628C4" w:rsidP="004628C4">
      <w:pPr>
        <w:ind w:left="720"/>
      </w:pPr>
      <w:r>
        <w:t>Two common issues in model performance are overfitting and underfitting. Overfitting occurs when a model learns the training data too well, including its noise and peculiarities, leading to poor generalization on new data. Underfitting, on the other hand, happens when a model is too simple to capture the underlying patterns in the data, resulting in poor performance on both training and test sets. Striking the right balance between these extremes is key to developing effective ML models.</w:t>
      </w:r>
    </w:p>
    <w:p w14:paraId="24D91358" w14:textId="77777777" w:rsidR="004628C4" w:rsidRDefault="004628C4" w:rsidP="004628C4">
      <w:pPr>
        <w:ind w:left="720"/>
      </w:pPr>
    </w:p>
    <w:p w14:paraId="36C7EE56" w14:textId="77777777" w:rsidR="004628C4" w:rsidRDefault="004628C4" w:rsidP="004628C4">
      <w:pPr>
        <w:ind w:left="720"/>
      </w:pPr>
    </w:p>
    <w:p w14:paraId="2F0F2B24" w14:textId="77777777" w:rsidR="004628C4" w:rsidRDefault="004628C4" w:rsidP="004628C4">
      <w:pPr>
        <w:numPr>
          <w:ilvl w:val="0"/>
          <w:numId w:val="11"/>
        </w:numPr>
        <w:spacing w:after="0"/>
      </w:pPr>
      <w:r>
        <w:t>Model selection involves picking the best validation set performer. The primary criterion for model selection is performance on the validation set. However, performance metrics are not the only consideration. If multiple models are similar, the simplest is preferred. The goal is to select the optimal model for deployment.  A simpler model is generally more interpretable, faster to deploy, and less resource-intensive, making it a more practical choice in many real-world applications. Additionally, factors like training time, resource requirements (e.g., memory and processing power needed), and ease of interpretation are also important, especially in a business context. For instance, a slightly less accurate model might be chosen over a more accurate one if it is significantly faster to train and deploy, or if it requires fewer computational resources, reducing costs.</w:t>
      </w:r>
    </w:p>
    <w:p w14:paraId="73F6CC02" w14:textId="77777777" w:rsidR="004628C4" w:rsidRDefault="004628C4" w:rsidP="004628C4">
      <w:pPr>
        <w:ind w:left="720"/>
      </w:pPr>
    </w:p>
    <w:p w14:paraId="5DFD50F3" w14:textId="77777777" w:rsidR="004628C4" w:rsidRDefault="004628C4" w:rsidP="004628C4">
      <w:pPr>
        <w:numPr>
          <w:ilvl w:val="0"/>
          <w:numId w:val="11"/>
        </w:numPr>
        <w:spacing w:after="0"/>
      </w:pPr>
      <w:r>
        <w:t>Model testing or Model expected performance: It involves evaluating the chosen model on an unseen test dataset, which the model has not encountered during the training or validation phases. The test dataset is a representative subset of the data, reflecting the conditions and variability expected in the actual environment where the model will be deployed. It serves as the ultimate benchmark for the model’s ability to generalize from its training. This step is pivotal for providing an unbiased assessment of the model's performance in real-world scenarios.</w:t>
      </w:r>
    </w:p>
    <w:p w14:paraId="12E32D0B" w14:textId="77777777" w:rsidR="004628C4" w:rsidRDefault="004628C4" w:rsidP="00CF20DD"/>
    <w:p w14:paraId="56EE23AB" w14:textId="502B9961" w:rsidR="00CF20DD" w:rsidRPr="00827CC5" w:rsidRDefault="004628C4" w:rsidP="00CF20DD">
      <w:pPr>
        <w:pStyle w:val="Heading1"/>
        <w:spacing w:after="240"/>
      </w:pPr>
      <w:r>
        <w:lastRenderedPageBreak/>
        <w:t>AI Across Domains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9"/>
        <w:gridCol w:w="2322"/>
        <w:gridCol w:w="2476"/>
        <w:gridCol w:w="2283"/>
      </w:tblGrid>
      <w:tr w:rsidR="00CF20DD" w:rsidRPr="00A77AD7" w14:paraId="5E60E48D" w14:textId="77777777" w:rsidTr="008110FE">
        <w:trPr>
          <w:tblHeader/>
          <w:tblCellSpacing w:w="15" w:type="dxa"/>
        </w:trPr>
        <w:tc>
          <w:tcPr>
            <w:tcW w:w="0" w:type="auto"/>
            <w:vAlign w:val="center"/>
            <w:hideMark/>
          </w:tcPr>
          <w:p w14:paraId="08DB3A1B" w14:textId="77777777" w:rsidR="00CF20DD" w:rsidRPr="00A77AD7" w:rsidRDefault="00CF20DD" w:rsidP="008110FE">
            <w:pPr>
              <w:spacing w:after="0" w:line="240" w:lineRule="auto"/>
              <w:jc w:val="center"/>
              <w:rPr>
                <w:rFonts w:ascii="Times New Roman" w:eastAsia="Times New Roman" w:hAnsi="Times New Roman" w:cs="Times New Roman"/>
                <w:b/>
                <w:bCs/>
                <w:color w:val="000000"/>
                <w:sz w:val="24"/>
                <w:szCs w:val="24"/>
              </w:rPr>
            </w:pPr>
            <w:r w:rsidRPr="00A77AD7">
              <w:rPr>
                <w:rFonts w:ascii="Times New Roman" w:eastAsia="Times New Roman" w:hAnsi="Times New Roman" w:cs="Times New Roman"/>
                <w:b/>
                <w:bCs/>
                <w:color w:val="000000"/>
                <w:sz w:val="24"/>
                <w:szCs w:val="24"/>
              </w:rPr>
              <w:t>Domain</w:t>
            </w:r>
          </w:p>
        </w:tc>
        <w:tc>
          <w:tcPr>
            <w:tcW w:w="0" w:type="auto"/>
            <w:vAlign w:val="center"/>
            <w:hideMark/>
          </w:tcPr>
          <w:p w14:paraId="5D50CF43" w14:textId="77777777" w:rsidR="00CF20DD" w:rsidRPr="00A77AD7" w:rsidRDefault="00CF20DD" w:rsidP="008110FE">
            <w:pPr>
              <w:spacing w:after="0" w:line="240" w:lineRule="auto"/>
              <w:jc w:val="center"/>
              <w:rPr>
                <w:rFonts w:ascii="Times New Roman" w:eastAsia="Times New Roman" w:hAnsi="Times New Roman" w:cs="Times New Roman"/>
                <w:b/>
                <w:bCs/>
                <w:color w:val="000000"/>
                <w:sz w:val="24"/>
                <w:szCs w:val="24"/>
              </w:rPr>
            </w:pPr>
            <w:r w:rsidRPr="00A77AD7">
              <w:rPr>
                <w:rFonts w:ascii="Times New Roman" w:eastAsia="Times New Roman" w:hAnsi="Times New Roman" w:cs="Times New Roman"/>
                <w:b/>
                <w:bCs/>
                <w:color w:val="000000"/>
                <w:sz w:val="24"/>
                <w:szCs w:val="24"/>
              </w:rPr>
              <w:t>Key Applications</w:t>
            </w:r>
          </w:p>
        </w:tc>
        <w:tc>
          <w:tcPr>
            <w:tcW w:w="0" w:type="auto"/>
            <w:vAlign w:val="center"/>
            <w:hideMark/>
          </w:tcPr>
          <w:p w14:paraId="002C12B0" w14:textId="77777777" w:rsidR="00CF20DD" w:rsidRPr="00A77AD7" w:rsidRDefault="00CF20DD" w:rsidP="008110FE">
            <w:pPr>
              <w:spacing w:after="0" w:line="240" w:lineRule="auto"/>
              <w:jc w:val="center"/>
              <w:rPr>
                <w:rFonts w:ascii="Times New Roman" w:eastAsia="Times New Roman" w:hAnsi="Times New Roman" w:cs="Times New Roman"/>
                <w:b/>
                <w:bCs/>
                <w:color w:val="000000"/>
                <w:sz w:val="24"/>
                <w:szCs w:val="24"/>
              </w:rPr>
            </w:pPr>
            <w:r w:rsidRPr="00A77AD7">
              <w:rPr>
                <w:rFonts w:ascii="Times New Roman" w:eastAsia="Times New Roman" w:hAnsi="Times New Roman" w:cs="Times New Roman"/>
                <w:b/>
                <w:bCs/>
                <w:color w:val="000000"/>
                <w:sz w:val="24"/>
                <w:szCs w:val="24"/>
              </w:rPr>
              <w:t>Benefits</w:t>
            </w:r>
          </w:p>
        </w:tc>
        <w:tc>
          <w:tcPr>
            <w:tcW w:w="0" w:type="auto"/>
            <w:vAlign w:val="center"/>
            <w:hideMark/>
          </w:tcPr>
          <w:p w14:paraId="35D59925" w14:textId="77777777" w:rsidR="00CF20DD" w:rsidRPr="00A77AD7" w:rsidRDefault="00CF20DD" w:rsidP="008110FE">
            <w:pPr>
              <w:spacing w:after="0" w:line="240" w:lineRule="auto"/>
              <w:jc w:val="center"/>
              <w:rPr>
                <w:rFonts w:ascii="Times New Roman" w:eastAsia="Times New Roman" w:hAnsi="Times New Roman" w:cs="Times New Roman"/>
                <w:b/>
                <w:bCs/>
                <w:color w:val="000000"/>
                <w:sz w:val="24"/>
                <w:szCs w:val="24"/>
              </w:rPr>
            </w:pPr>
            <w:r w:rsidRPr="00A77AD7">
              <w:rPr>
                <w:rFonts w:ascii="Times New Roman" w:eastAsia="Times New Roman" w:hAnsi="Times New Roman" w:cs="Times New Roman"/>
                <w:b/>
                <w:bCs/>
                <w:color w:val="000000"/>
                <w:sz w:val="24"/>
                <w:szCs w:val="24"/>
              </w:rPr>
              <w:t>Challenges</w:t>
            </w:r>
          </w:p>
        </w:tc>
      </w:tr>
      <w:tr w:rsidR="00CF20DD" w:rsidRPr="00A77AD7" w14:paraId="4EAA45A4" w14:textId="77777777" w:rsidTr="008110FE">
        <w:trPr>
          <w:tblCellSpacing w:w="15" w:type="dxa"/>
        </w:trPr>
        <w:tc>
          <w:tcPr>
            <w:tcW w:w="0" w:type="auto"/>
            <w:vAlign w:val="center"/>
            <w:hideMark/>
          </w:tcPr>
          <w:p w14:paraId="462CE1B8"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b/>
                <w:bCs/>
                <w:color w:val="000000"/>
                <w:sz w:val="24"/>
                <w:szCs w:val="24"/>
              </w:rPr>
              <w:t>Healthcare</w:t>
            </w:r>
          </w:p>
        </w:tc>
        <w:tc>
          <w:tcPr>
            <w:tcW w:w="0" w:type="auto"/>
            <w:vAlign w:val="center"/>
            <w:hideMark/>
          </w:tcPr>
          <w:p w14:paraId="42DC2A48"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Early disease diagnosis, personalized treatment, medical imaging, robotic surgery</w:t>
            </w:r>
          </w:p>
        </w:tc>
        <w:tc>
          <w:tcPr>
            <w:tcW w:w="0" w:type="auto"/>
            <w:vAlign w:val="center"/>
            <w:hideMark/>
          </w:tcPr>
          <w:p w14:paraId="134EEF37"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Improved accuracy, efficiency, patient outcomes, and resource allocation</w:t>
            </w:r>
          </w:p>
        </w:tc>
        <w:tc>
          <w:tcPr>
            <w:tcW w:w="0" w:type="auto"/>
            <w:vAlign w:val="center"/>
            <w:hideMark/>
          </w:tcPr>
          <w:p w14:paraId="563BC967"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Data privacy, regulatory requirements, need for human oversight</w:t>
            </w:r>
          </w:p>
        </w:tc>
      </w:tr>
      <w:tr w:rsidR="00CF20DD" w:rsidRPr="00A77AD7" w14:paraId="2F6DB1BD" w14:textId="77777777" w:rsidTr="008110FE">
        <w:trPr>
          <w:tblCellSpacing w:w="15" w:type="dxa"/>
        </w:trPr>
        <w:tc>
          <w:tcPr>
            <w:tcW w:w="0" w:type="auto"/>
            <w:vAlign w:val="center"/>
            <w:hideMark/>
          </w:tcPr>
          <w:p w14:paraId="753E7A85"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b/>
                <w:bCs/>
                <w:color w:val="000000"/>
                <w:sz w:val="24"/>
                <w:szCs w:val="24"/>
              </w:rPr>
              <w:t>Education</w:t>
            </w:r>
          </w:p>
        </w:tc>
        <w:tc>
          <w:tcPr>
            <w:tcW w:w="0" w:type="auto"/>
            <w:vAlign w:val="center"/>
            <w:hideMark/>
          </w:tcPr>
          <w:p w14:paraId="78EF2744"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Adaptive learning, intelligent tutoring, automated grading, performance analytics</w:t>
            </w:r>
          </w:p>
        </w:tc>
        <w:tc>
          <w:tcPr>
            <w:tcW w:w="0" w:type="auto"/>
            <w:vAlign w:val="center"/>
            <w:hideMark/>
          </w:tcPr>
          <w:p w14:paraId="09C24B93"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Personalized learning, increased accessibility, early intervention, administrative support</w:t>
            </w:r>
          </w:p>
        </w:tc>
        <w:tc>
          <w:tcPr>
            <w:tcW w:w="0" w:type="auto"/>
            <w:vAlign w:val="center"/>
            <w:hideMark/>
          </w:tcPr>
          <w:p w14:paraId="7DDA0138"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Data ethics, equitable access, over-reliance on technology</w:t>
            </w:r>
          </w:p>
        </w:tc>
      </w:tr>
      <w:tr w:rsidR="00CF20DD" w:rsidRPr="00A77AD7" w14:paraId="4CF9CE5B" w14:textId="77777777" w:rsidTr="008110FE">
        <w:trPr>
          <w:tblCellSpacing w:w="15" w:type="dxa"/>
        </w:trPr>
        <w:tc>
          <w:tcPr>
            <w:tcW w:w="0" w:type="auto"/>
            <w:vAlign w:val="center"/>
            <w:hideMark/>
          </w:tcPr>
          <w:p w14:paraId="1E4864D2"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b/>
                <w:bCs/>
                <w:color w:val="000000"/>
                <w:sz w:val="24"/>
                <w:szCs w:val="24"/>
              </w:rPr>
              <w:t>Transportation</w:t>
            </w:r>
          </w:p>
        </w:tc>
        <w:tc>
          <w:tcPr>
            <w:tcW w:w="0" w:type="auto"/>
            <w:vAlign w:val="center"/>
            <w:hideMark/>
          </w:tcPr>
          <w:p w14:paraId="5A5098DD"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Autonomous vehicles, route optimization, public transit planning, logistics AI</w:t>
            </w:r>
          </w:p>
        </w:tc>
        <w:tc>
          <w:tcPr>
            <w:tcW w:w="0" w:type="auto"/>
            <w:vAlign w:val="center"/>
            <w:hideMark/>
          </w:tcPr>
          <w:p w14:paraId="6105488D"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Enhanced safety, reduced congestion, cost-efficiency, smarter cities</w:t>
            </w:r>
          </w:p>
        </w:tc>
        <w:tc>
          <w:tcPr>
            <w:tcW w:w="0" w:type="auto"/>
            <w:vAlign w:val="center"/>
            <w:hideMark/>
          </w:tcPr>
          <w:p w14:paraId="22BD2324"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Regulatory hurdles, cybersecurity, public trust</w:t>
            </w:r>
          </w:p>
        </w:tc>
      </w:tr>
      <w:tr w:rsidR="00CF20DD" w:rsidRPr="00A77AD7" w14:paraId="2F2D34F7" w14:textId="77777777" w:rsidTr="008110FE">
        <w:trPr>
          <w:tblCellSpacing w:w="15" w:type="dxa"/>
        </w:trPr>
        <w:tc>
          <w:tcPr>
            <w:tcW w:w="0" w:type="auto"/>
            <w:vAlign w:val="center"/>
            <w:hideMark/>
          </w:tcPr>
          <w:p w14:paraId="266E4E54"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b/>
                <w:bCs/>
                <w:color w:val="000000"/>
                <w:sz w:val="24"/>
                <w:szCs w:val="24"/>
              </w:rPr>
              <w:t>Finance</w:t>
            </w:r>
          </w:p>
        </w:tc>
        <w:tc>
          <w:tcPr>
            <w:tcW w:w="0" w:type="auto"/>
            <w:vAlign w:val="center"/>
            <w:hideMark/>
          </w:tcPr>
          <w:p w14:paraId="70BFBB1D"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Fraud detection, algorithmic trading, personalized banking, risk management</w:t>
            </w:r>
          </w:p>
        </w:tc>
        <w:tc>
          <w:tcPr>
            <w:tcW w:w="0" w:type="auto"/>
            <w:vAlign w:val="center"/>
            <w:hideMark/>
          </w:tcPr>
          <w:p w14:paraId="067A3622"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Real-time insights, improved customer service, efficiency, fraud prevention</w:t>
            </w:r>
          </w:p>
        </w:tc>
        <w:tc>
          <w:tcPr>
            <w:tcW w:w="0" w:type="auto"/>
            <w:vAlign w:val="center"/>
            <w:hideMark/>
          </w:tcPr>
          <w:p w14:paraId="197B6DBA" w14:textId="77777777" w:rsidR="00CF20DD" w:rsidRPr="00A77AD7" w:rsidRDefault="00CF20DD" w:rsidP="008110FE">
            <w:pPr>
              <w:spacing w:after="0" w:line="240" w:lineRule="auto"/>
              <w:rPr>
                <w:rFonts w:ascii="Times New Roman" w:eastAsia="Times New Roman" w:hAnsi="Times New Roman" w:cs="Times New Roman"/>
                <w:color w:val="000000"/>
                <w:sz w:val="24"/>
                <w:szCs w:val="24"/>
              </w:rPr>
            </w:pPr>
            <w:r w:rsidRPr="00A77AD7">
              <w:rPr>
                <w:rFonts w:ascii="Times New Roman" w:eastAsia="Times New Roman" w:hAnsi="Times New Roman" w:cs="Times New Roman"/>
                <w:color w:val="000000"/>
                <w:sz w:val="24"/>
                <w:szCs w:val="24"/>
              </w:rPr>
              <w:t>Algorithmic bias, ethical concerns, data protection, regulatory compliance</w:t>
            </w:r>
          </w:p>
        </w:tc>
      </w:tr>
    </w:tbl>
    <w:p w14:paraId="7455AAA3" w14:textId="77777777" w:rsidR="00CF20DD" w:rsidRDefault="00CF20DD" w:rsidP="00CF20DD"/>
    <w:p w14:paraId="4B469ED2" w14:textId="77777777" w:rsidR="00CF20DD" w:rsidRDefault="00CF20DD" w:rsidP="00CF20DD">
      <w:pPr>
        <w:pStyle w:val="Heading2"/>
      </w:pPr>
    </w:p>
    <w:p w14:paraId="2BE5CD61" w14:textId="77777777" w:rsidR="00CF20DD" w:rsidRDefault="00CF20DD" w:rsidP="00CF20DD">
      <w:pPr>
        <w:pStyle w:val="Heading2"/>
      </w:pPr>
    </w:p>
    <w:sectPr w:rsidR="00CF20D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webkit-standard">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A0A7FF1"/>
    <w:multiLevelType w:val="multilevel"/>
    <w:tmpl w:val="1FB6E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785E18"/>
    <w:multiLevelType w:val="multilevel"/>
    <w:tmpl w:val="F880D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72720907">
    <w:abstractNumId w:val="8"/>
  </w:num>
  <w:num w:numId="2" w16cid:durableId="1246379441">
    <w:abstractNumId w:val="6"/>
  </w:num>
  <w:num w:numId="3" w16cid:durableId="628319792">
    <w:abstractNumId w:val="5"/>
  </w:num>
  <w:num w:numId="4" w16cid:durableId="1552644368">
    <w:abstractNumId w:val="4"/>
  </w:num>
  <w:num w:numId="5" w16cid:durableId="405618231">
    <w:abstractNumId w:val="7"/>
  </w:num>
  <w:num w:numId="6" w16cid:durableId="1821120188">
    <w:abstractNumId w:val="3"/>
  </w:num>
  <w:num w:numId="7" w16cid:durableId="1777410230">
    <w:abstractNumId w:val="2"/>
  </w:num>
  <w:num w:numId="8" w16cid:durableId="1724136436">
    <w:abstractNumId w:val="1"/>
  </w:num>
  <w:num w:numId="9" w16cid:durableId="585959499">
    <w:abstractNumId w:val="0"/>
  </w:num>
  <w:num w:numId="10" w16cid:durableId="8530875">
    <w:abstractNumId w:val="9"/>
  </w:num>
  <w:num w:numId="11" w16cid:durableId="10326821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19B4"/>
    <w:rsid w:val="000910B3"/>
    <w:rsid w:val="000A5EAC"/>
    <w:rsid w:val="0015074B"/>
    <w:rsid w:val="001B6624"/>
    <w:rsid w:val="0029639D"/>
    <w:rsid w:val="00326F90"/>
    <w:rsid w:val="00346DF5"/>
    <w:rsid w:val="004054AF"/>
    <w:rsid w:val="004628C4"/>
    <w:rsid w:val="00537539"/>
    <w:rsid w:val="00657DCC"/>
    <w:rsid w:val="006978E2"/>
    <w:rsid w:val="006E2BEB"/>
    <w:rsid w:val="0070018B"/>
    <w:rsid w:val="007B1E8F"/>
    <w:rsid w:val="00827CC5"/>
    <w:rsid w:val="008A7652"/>
    <w:rsid w:val="00915089"/>
    <w:rsid w:val="009F6D16"/>
    <w:rsid w:val="00A77AD7"/>
    <w:rsid w:val="00AA1D8D"/>
    <w:rsid w:val="00B17D8F"/>
    <w:rsid w:val="00B47730"/>
    <w:rsid w:val="00B602CE"/>
    <w:rsid w:val="00B81829"/>
    <w:rsid w:val="00C123A2"/>
    <w:rsid w:val="00CB0664"/>
    <w:rsid w:val="00CF20DD"/>
    <w:rsid w:val="00D355F6"/>
    <w:rsid w:val="00DC2FA8"/>
    <w:rsid w:val="00DF6DAF"/>
    <w:rsid w:val="00E011B2"/>
    <w:rsid w:val="00E018E3"/>
    <w:rsid w:val="00E01BCC"/>
    <w:rsid w:val="00E30AB8"/>
    <w:rsid w:val="00E90E1B"/>
    <w:rsid w:val="00EC43D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5548EB"/>
  <w14:defaultImageDpi w14:val="300"/>
  <w15:docId w15:val="{558932FA-194E-6B43-B636-1CC82C613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9307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1862</Words>
  <Characters>10616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12454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Deepak Saini</cp:lastModifiedBy>
  <cp:revision>32</cp:revision>
  <dcterms:created xsi:type="dcterms:W3CDTF">2013-12-23T23:15:00Z</dcterms:created>
  <dcterms:modified xsi:type="dcterms:W3CDTF">2025-04-15T02:00:00Z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7606f69-b0ae-4874-be30-7d43a3c7be10_Enabled">
    <vt:lpwstr>true</vt:lpwstr>
  </property>
  <property fmtid="{D5CDD505-2E9C-101B-9397-08002B2CF9AE}" pid="3" name="MSIP_Label_f7606f69-b0ae-4874-be30-7d43a3c7be10_SetDate">
    <vt:lpwstr>2025-03-29T22:38:09Z</vt:lpwstr>
  </property>
  <property fmtid="{D5CDD505-2E9C-101B-9397-08002B2CF9AE}" pid="4" name="MSIP_Label_f7606f69-b0ae-4874-be30-7d43a3c7be10_Method">
    <vt:lpwstr>Standard</vt:lpwstr>
  </property>
  <property fmtid="{D5CDD505-2E9C-101B-9397-08002B2CF9AE}" pid="5" name="MSIP_Label_f7606f69-b0ae-4874-be30-7d43a3c7be10_Name">
    <vt:lpwstr>defa4170-0d19-0005-0001-bc88714345d2</vt:lpwstr>
  </property>
  <property fmtid="{D5CDD505-2E9C-101B-9397-08002B2CF9AE}" pid="6" name="MSIP_Label_f7606f69-b0ae-4874-be30-7d43a3c7be10_SiteId">
    <vt:lpwstr>4130bd39-7c53-419c-b1e5-8758d6d63f21</vt:lpwstr>
  </property>
  <property fmtid="{D5CDD505-2E9C-101B-9397-08002B2CF9AE}" pid="7" name="MSIP_Label_f7606f69-b0ae-4874-be30-7d43a3c7be10_ActionId">
    <vt:lpwstr>c9438bd9-75a1-45b1-89e0-7cd342f8d612</vt:lpwstr>
  </property>
  <property fmtid="{D5CDD505-2E9C-101B-9397-08002B2CF9AE}" pid="8" name="MSIP_Label_f7606f69-b0ae-4874-be30-7d43a3c7be10_ContentBits">
    <vt:lpwstr>0</vt:lpwstr>
  </property>
  <property fmtid="{D5CDD505-2E9C-101B-9397-08002B2CF9AE}" pid="9" name="MSIP_Label_f7606f69-b0ae-4874-be30-7d43a3c7be10_Tag">
    <vt:lpwstr>50, 3, 0, 1</vt:lpwstr>
  </property>
</Properties>
</file>