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0B85C" w14:textId="77777777" w:rsidR="00B7407A" w:rsidRDefault="00000000">
      <w:pPr>
        <w:pStyle w:val="Title"/>
      </w:pPr>
      <w:bookmarkStart w:id="0" w:name="Brain_Stroming"/>
      <w:bookmarkEnd w:id="0"/>
      <w:r>
        <w:rPr>
          <w:color w:val="2E5395"/>
        </w:rPr>
        <w:t>Brain</w:t>
      </w:r>
      <w:r>
        <w:rPr>
          <w:color w:val="2E5395"/>
          <w:spacing w:val="-19"/>
        </w:rPr>
        <w:t xml:space="preserve"> </w:t>
      </w:r>
      <w:r>
        <w:rPr>
          <w:color w:val="2E5395"/>
          <w:spacing w:val="-2"/>
        </w:rPr>
        <w:t>Stroming</w:t>
      </w:r>
    </w:p>
    <w:p w14:paraId="00BD7891" w14:textId="77777777" w:rsidR="00B7407A" w:rsidRDefault="00B7407A">
      <w:pPr>
        <w:pStyle w:val="BodyText"/>
        <w:ind w:left="0" w:firstLine="0"/>
        <w:rPr>
          <w:rFonts w:ascii="Calibri Light"/>
          <w:sz w:val="20"/>
        </w:rPr>
      </w:pPr>
    </w:p>
    <w:p w14:paraId="7FC70FAA" w14:textId="77777777" w:rsidR="00B7407A" w:rsidRDefault="00B7407A">
      <w:pPr>
        <w:pStyle w:val="BodyText"/>
        <w:spacing w:before="82"/>
        <w:ind w:left="0" w:firstLine="0"/>
        <w:rPr>
          <w:rFonts w:ascii="Calibri Light"/>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4"/>
        <w:gridCol w:w="4960"/>
      </w:tblGrid>
      <w:tr w:rsidR="00B7407A" w14:paraId="5C9D2811" w14:textId="77777777">
        <w:trPr>
          <w:trHeight w:val="450"/>
        </w:trPr>
        <w:tc>
          <w:tcPr>
            <w:tcW w:w="3654" w:type="dxa"/>
          </w:tcPr>
          <w:p w14:paraId="12B0E76B" w14:textId="77777777" w:rsidR="00B7407A" w:rsidRDefault="00000000">
            <w:pPr>
              <w:pStyle w:val="TableParagraph"/>
              <w:ind w:left="158"/>
            </w:pPr>
            <w:r>
              <w:rPr>
                <w:spacing w:val="-4"/>
              </w:rPr>
              <w:t>Date</w:t>
            </w:r>
          </w:p>
        </w:tc>
        <w:tc>
          <w:tcPr>
            <w:tcW w:w="4960" w:type="dxa"/>
          </w:tcPr>
          <w:p w14:paraId="27AAC03A" w14:textId="77777777" w:rsidR="00B7407A" w:rsidRDefault="00000000">
            <w:pPr>
              <w:pStyle w:val="TableParagraph"/>
            </w:pPr>
            <w:r>
              <w:t>31</w:t>
            </w:r>
            <w:r>
              <w:rPr>
                <w:spacing w:val="-6"/>
              </w:rPr>
              <w:t xml:space="preserve"> </w:t>
            </w:r>
            <w:r>
              <w:t>January</w:t>
            </w:r>
            <w:r>
              <w:rPr>
                <w:spacing w:val="-4"/>
              </w:rPr>
              <w:t xml:space="preserve"> 2026</w:t>
            </w:r>
          </w:p>
        </w:tc>
      </w:tr>
      <w:tr w:rsidR="00B7407A" w14:paraId="34330BDE" w14:textId="77777777">
        <w:trPr>
          <w:trHeight w:val="450"/>
        </w:trPr>
        <w:tc>
          <w:tcPr>
            <w:tcW w:w="3654" w:type="dxa"/>
          </w:tcPr>
          <w:p w14:paraId="1416FA75" w14:textId="77777777" w:rsidR="00B7407A" w:rsidRDefault="00000000">
            <w:pPr>
              <w:pStyle w:val="TableParagraph"/>
              <w:ind w:left="110"/>
            </w:pPr>
            <w:r>
              <w:rPr>
                <w:spacing w:val="-4"/>
              </w:rPr>
              <w:t>Team</w:t>
            </w:r>
            <w:r>
              <w:rPr>
                <w:spacing w:val="-7"/>
              </w:rPr>
              <w:t xml:space="preserve"> </w:t>
            </w:r>
            <w:r>
              <w:rPr>
                <w:spacing w:val="-5"/>
              </w:rPr>
              <w:t>ID</w:t>
            </w:r>
          </w:p>
        </w:tc>
        <w:tc>
          <w:tcPr>
            <w:tcW w:w="4960" w:type="dxa"/>
          </w:tcPr>
          <w:p w14:paraId="50930BA8" w14:textId="1A15DD40" w:rsidR="00B7407A" w:rsidRDefault="00351E53">
            <w:pPr>
              <w:pStyle w:val="TableParagraph"/>
            </w:pPr>
            <w:r w:rsidRPr="00351E53">
              <w:rPr>
                <w:spacing w:val="-2"/>
              </w:rPr>
              <w:t>LTVIP2026TMIDS24940</w:t>
            </w:r>
          </w:p>
        </w:tc>
      </w:tr>
      <w:tr w:rsidR="00B7407A" w14:paraId="0A68A12E" w14:textId="77777777">
        <w:trPr>
          <w:trHeight w:val="739"/>
        </w:trPr>
        <w:tc>
          <w:tcPr>
            <w:tcW w:w="3654" w:type="dxa"/>
          </w:tcPr>
          <w:p w14:paraId="255B0357" w14:textId="77777777" w:rsidR="00B7407A" w:rsidRDefault="00000000">
            <w:pPr>
              <w:pStyle w:val="TableParagraph"/>
              <w:ind w:left="110"/>
            </w:pPr>
            <w:r>
              <w:rPr>
                <w:spacing w:val="-2"/>
              </w:rPr>
              <w:t>Project</w:t>
            </w:r>
            <w:r>
              <w:rPr>
                <w:spacing w:val="-1"/>
              </w:rPr>
              <w:t xml:space="preserve"> </w:t>
            </w:r>
            <w:r>
              <w:rPr>
                <w:spacing w:val="-4"/>
              </w:rPr>
              <w:t>Name</w:t>
            </w:r>
          </w:p>
        </w:tc>
        <w:tc>
          <w:tcPr>
            <w:tcW w:w="4960" w:type="dxa"/>
          </w:tcPr>
          <w:p w14:paraId="263E4FD0" w14:textId="77777777" w:rsidR="00351E53" w:rsidRDefault="00351E53" w:rsidP="00351E53">
            <w:r w:rsidRPr="00EC7A50">
              <w:rPr>
                <w:spacing w:val="-2"/>
              </w:rPr>
              <w:t>Measuring the Pulse of Prosperity: An Index of Economic Freedom Analysis</w:t>
            </w:r>
          </w:p>
          <w:p w14:paraId="2F9BE338" w14:textId="0C409FC7" w:rsidR="00B7407A" w:rsidRDefault="00B7407A">
            <w:pPr>
              <w:pStyle w:val="TableParagraph"/>
              <w:spacing w:before="1" w:line="261" w:lineRule="auto"/>
              <w:ind w:right="152"/>
            </w:pPr>
          </w:p>
        </w:tc>
      </w:tr>
      <w:tr w:rsidR="00B7407A" w14:paraId="70EAD787" w14:textId="77777777">
        <w:trPr>
          <w:trHeight w:val="450"/>
        </w:trPr>
        <w:tc>
          <w:tcPr>
            <w:tcW w:w="3654" w:type="dxa"/>
          </w:tcPr>
          <w:p w14:paraId="6AFC2046" w14:textId="77777777" w:rsidR="00B7407A" w:rsidRDefault="00000000">
            <w:pPr>
              <w:pStyle w:val="TableParagraph"/>
              <w:ind w:left="110"/>
            </w:pPr>
            <w:r>
              <w:t>Maximum</w:t>
            </w:r>
            <w:r>
              <w:rPr>
                <w:spacing w:val="-7"/>
              </w:rPr>
              <w:t xml:space="preserve"> </w:t>
            </w:r>
            <w:r>
              <w:rPr>
                <w:spacing w:val="-2"/>
              </w:rPr>
              <w:t>Marks</w:t>
            </w:r>
          </w:p>
        </w:tc>
        <w:tc>
          <w:tcPr>
            <w:tcW w:w="4960" w:type="dxa"/>
          </w:tcPr>
          <w:p w14:paraId="656F10F8" w14:textId="77777777" w:rsidR="00B7407A" w:rsidRDefault="00000000">
            <w:pPr>
              <w:pStyle w:val="TableParagraph"/>
            </w:pPr>
            <w:r>
              <w:t>4</w:t>
            </w:r>
            <w:r>
              <w:rPr>
                <w:spacing w:val="-4"/>
              </w:rPr>
              <w:t xml:space="preserve"> </w:t>
            </w:r>
            <w:r>
              <w:rPr>
                <w:spacing w:val="-2"/>
              </w:rPr>
              <w:t>Marks</w:t>
            </w:r>
          </w:p>
        </w:tc>
      </w:tr>
    </w:tbl>
    <w:p w14:paraId="7C5B4349" w14:textId="77777777" w:rsidR="00B7407A" w:rsidRDefault="00B7407A">
      <w:pPr>
        <w:pStyle w:val="BodyText"/>
        <w:spacing w:before="191"/>
        <w:ind w:left="0" w:firstLine="0"/>
        <w:rPr>
          <w:rFonts w:ascii="Calibri Light"/>
        </w:rPr>
      </w:pPr>
    </w:p>
    <w:p w14:paraId="5431416D" w14:textId="73F7B512" w:rsidR="00B7407A" w:rsidRDefault="00000000">
      <w:pPr>
        <w:ind w:left="307"/>
      </w:pPr>
      <w:r>
        <w:rPr>
          <w:b/>
          <w:spacing w:val="-2"/>
        </w:rPr>
        <w:t>Project</w:t>
      </w:r>
      <w:r>
        <w:rPr>
          <w:b/>
          <w:spacing w:val="-4"/>
        </w:rPr>
        <w:t xml:space="preserve"> </w:t>
      </w:r>
      <w:r>
        <w:rPr>
          <w:b/>
          <w:spacing w:val="-2"/>
        </w:rPr>
        <w:t>Title:</w:t>
      </w:r>
      <w:r>
        <w:rPr>
          <w:b/>
          <w:spacing w:val="-1"/>
        </w:rPr>
        <w:t xml:space="preserve"> </w:t>
      </w:r>
      <w:r w:rsidR="00EC7A50" w:rsidRPr="00EC7A50">
        <w:rPr>
          <w:spacing w:val="-2"/>
        </w:rPr>
        <w:t>Measuring the Pulse of Prosperity: An Index of Economic Freedom Analysis</w:t>
      </w:r>
    </w:p>
    <w:p w14:paraId="00A7E0D2" w14:textId="77777777" w:rsidR="00B7407A" w:rsidRDefault="00000000">
      <w:pPr>
        <w:pStyle w:val="Heading1"/>
        <w:spacing w:before="179"/>
        <w:rPr>
          <w:spacing w:val="-4"/>
        </w:rPr>
      </w:pPr>
      <w:r>
        <w:rPr>
          <w:spacing w:val="-2"/>
        </w:rPr>
        <w:t>Brainstorming</w:t>
      </w:r>
      <w:r>
        <w:rPr>
          <w:spacing w:val="3"/>
        </w:rPr>
        <w:t xml:space="preserve"> </w:t>
      </w:r>
      <w:r>
        <w:rPr>
          <w:spacing w:val="-4"/>
        </w:rPr>
        <w:t>Ideas</w:t>
      </w:r>
    </w:p>
    <w:p w14:paraId="18199DDC" w14:textId="77777777" w:rsidR="00EC7A50" w:rsidRDefault="00EC7A50">
      <w:pPr>
        <w:pStyle w:val="Heading1"/>
        <w:spacing w:before="179"/>
      </w:pPr>
    </w:p>
    <w:p w14:paraId="049D28C8" w14:textId="77777777" w:rsidR="00EC7A50" w:rsidRPr="00EC7A50" w:rsidRDefault="00EC7A50" w:rsidP="00EC7A50">
      <w:pPr>
        <w:pStyle w:val="BodyText"/>
        <w:spacing w:line="261" w:lineRule="auto"/>
        <w:ind w:left="307" w:firstLine="0"/>
        <w:rPr>
          <w:lang w:val="en-IN"/>
        </w:rPr>
      </w:pPr>
      <w:r w:rsidRPr="00EC7A50">
        <w:rPr>
          <w:lang w:val="en-IN"/>
        </w:rPr>
        <w:t>Economic development varies significantly across countries. Some nations experience high income levels, strong employment, and improved living standards, while others struggle with poverty, inflation, and low productivity. One widely discussed explanation for this variation is economic freedom.</w:t>
      </w:r>
    </w:p>
    <w:p w14:paraId="1C3238EE" w14:textId="77777777" w:rsidR="00EC7A50" w:rsidRPr="00EC7A50" w:rsidRDefault="00EC7A50" w:rsidP="00EC7A50">
      <w:pPr>
        <w:pStyle w:val="BodyText"/>
        <w:spacing w:line="261" w:lineRule="auto"/>
        <w:ind w:left="307" w:firstLine="0"/>
        <w:rPr>
          <w:lang w:val="en-IN"/>
        </w:rPr>
      </w:pPr>
      <w:r w:rsidRPr="00EC7A50">
        <w:rPr>
          <w:lang w:val="en-IN"/>
        </w:rPr>
        <w:t>The Index of Economic Freedom, published annually by the Heritage Foundation, evaluates countries based on 12 indicators including property rights, tax burden, business freedom, trade freedom, and investment freedom. However, the index primarily provides rankings and scores, and does not deeply analyze how these indicators actually relate to national prosperity.</w:t>
      </w:r>
    </w:p>
    <w:p w14:paraId="4DBEC5BF" w14:textId="77777777" w:rsidR="00EC7A50" w:rsidRPr="00EC7A50" w:rsidRDefault="00EC7A50" w:rsidP="00EC7A50">
      <w:pPr>
        <w:pStyle w:val="BodyText"/>
        <w:spacing w:line="261" w:lineRule="auto"/>
        <w:ind w:left="307" w:firstLine="0"/>
        <w:rPr>
          <w:lang w:val="en-IN"/>
        </w:rPr>
      </w:pPr>
      <w:r w:rsidRPr="00EC7A50">
        <w:rPr>
          <w:lang w:val="en-IN"/>
        </w:rPr>
        <w:t>Many students and policymakers interpret country rankings without examining whether higher economic freedom genuinely leads to measurable economic growth and human development. There is a need for a data-driven analysis to understand the real relationship between economic freedom and prosperity indicators such as GDP per capita, unemployment rate, and Human Development Index (HDI).</w:t>
      </w:r>
    </w:p>
    <w:p w14:paraId="1DE34313" w14:textId="3D1147F9" w:rsidR="00B7407A" w:rsidRDefault="00B7407A">
      <w:pPr>
        <w:pStyle w:val="BodyText"/>
        <w:spacing w:line="261" w:lineRule="auto"/>
        <w:ind w:left="307" w:firstLine="0"/>
      </w:pPr>
    </w:p>
    <w:p w14:paraId="2BA11473" w14:textId="77777777" w:rsidR="00EC7A50" w:rsidRPr="00EC7A50" w:rsidRDefault="00EC7A50" w:rsidP="00EC7A50">
      <w:pPr>
        <w:pStyle w:val="BodyText"/>
        <w:ind w:left="0" w:firstLine="307"/>
        <w:rPr>
          <w:b/>
          <w:bCs/>
        </w:rPr>
      </w:pPr>
      <w:r w:rsidRPr="00EC7A50">
        <w:rPr>
          <w:b/>
          <w:bCs/>
        </w:rPr>
        <w:t>Key Questions to Analyze</w:t>
      </w:r>
    </w:p>
    <w:p w14:paraId="5D9A4A68" w14:textId="77777777" w:rsidR="00EC7A50" w:rsidRPr="00EC7A50" w:rsidRDefault="00EC7A50" w:rsidP="00EC7A50">
      <w:pPr>
        <w:pStyle w:val="BodyText"/>
        <w:ind w:left="0" w:firstLine="0"/>
        <w:rPr>
          <w:b/>
          <w:bCs/>
        </w:rPr>
      </w:pPr>
    </w:p>
    <w:p w14:paraId="03256555" w14:textId="77777777" w:rsidR="00EC7A50" w:rsidRPr="00EC7A50" w:rsidRDefault="00EC7A50" w:rsidP="00EC7A50">
      <w:pPr>
        <w:pStyle w:val="BodyText"/>
        <w:ind w:left="0" w:firstLine="307"/>
      </w:pPr>
      <w:r w:rsidRPr="00EC7A50">
        <w:t>• Does a higher economic freedom score correspond to higher GDP per capita?</w:t>
      </w:r>
    </w:p>
    <w:p w14:paraId="4CAD106C" w14:textId="77777777" w:rsidR="00EC7A50" w:rsidRPr="00EC7A50" w:rsidRDefault="00EC7A50" w:rsidP="00EC7A50">
      <w:pPr>
        <w:pStyle w:val="BodyText"/>
        <w:ind w:left="0" w:firstLine="307"/>
      </w:pPr>
      <w:r w:rsidRPr="00EC7A50">
        <w:t>• Do countries with strong property rights and judicial effectiveness perform better economically?</w:t>
      </w:r>
    </w:p>
    <w:p w14:paraId="265BCEF6" w14:textId="77777777" w:rsidR="00EC7A50" w:rsidRPr="00EC7A50" w:rsidRDefault="00EC7A50" w:rsidP="00EC7A50">
      <w:pPr>
        <w:pStyle w:val="BodyText"/>
        <w:ind w:left="0" w:firstLine="307"/>
      </w:pPr>
      <w:r w:rsidRPr="00EC7A50">
        <w:t>• Which pillar of economic freedom has the strongest impact on prosperity?</w:t>
      </w:r>
    </w:p>
    <w:p w14:paraId="2B1F880A" w14:textId="77777777" w:rsidR="00EC7A50" w:rsidRPr="00EC7A50" w:rsidRDefault="00EC7A50" w:rsidP="00EC7A50">
      <w:pPr>
        <w:pStyle w:val="BodyText"/>
      </w:pPr>
      <w:r w:rsidRPr="00EC7A50">
        <w:t>• How does economic freedom affect unemployment levels?</w:t>
      </w:r>
    </w:p>
    <w:p w14:paraId="73B2A4D9" w14:textId="77777777" w:rsidR="00EC7A50" w:rsidRPr="00EC7A50" w:rsidRDefault="00EC7A50" w:rsidP="00EC7A50">
      <w:pPr>
        <w:pStyle w:val="BodyText"/>
        <w:ind w:left="0" w:firstLine="307"/>
      </w:pPr>
      <w:r w:rsidRPr="00EC7A50">
        <w:t>• Is there a relationship between economic freedom and Human Development Index (HDI)?</w:t>
      </w:r>
    </w:p>
    <w:p w14:paraId="5909BCE3" w14:textId="276B0208" w:rsidR="00B7407A" w:rsidRPr="00EC7A50" w:rsidRDefault="00EC7A50" w:rsidP="00EC7A50">
      <w:pPr>
        <w:pStyle w:val="BodyText"/>
        <w:ind w:left="307" w:firstLine="0"/>
      </w:pPr>
      <w:r w:rsidRPr="00EC7A50">
        <w:t>• Are developing countries affected differently by economic freedom compared to developed countries?</w:t>
      </w:r>
    </w:p>
    <w:p w14:paraId="65A02DC0" w14:textId="77777777" w:rsidR="00B7407A" w:rsidRDefault="00B7407A">
      <w:pPr>
        <w:pStyle w:val="BodyText"/>
        <w:spacing w:before="92"/>
        <w:ind w:left="0" w:firstLine="0"/>
      </w:pPr>
    </w:p>
    <w:p w14:paraId="2281201D" w14:textId="4EB9C21D" w:rsidR="00EC7A50" w:rsidRPr="00EC7A50" w:rsidRDefault="00000000" w:rsidP="00EC7A50">
      <w:pPr>
        <w:pStyle w:val="Heading1"/>
        <w:rPr>
          <w:spacing w:val="-2"/>
        </w:rPr>
      </w:pPr>
      <w:r>
        <w:rPr>
          <w:spacing w:val="-2"/>
        </w:rPr>
        <w:t>Visualizations</w:t>
      </w:r>
      <w:r>
        <w:rPr>
          <w:spacing w:val="10"/>
        </w:rPr>
        <w:t xml:space="preserve"> </w:t>
      </w:r>
      <w:r>
        <w:rPr>
          <w:spacing w:val="-2"/>
        </w:rPr>
        <w:t>Planned</w:t>
      </w:r>
    </w:p>
    <w:p w14:paraId="07572001" w14:textId="77777777" w:rsidR="00EC7A50" w:rsidRDefault="00EC7A50" w:rsidP="00EC7A50">
      <w:pPr>
        <w:pStyle w:val="ListParagraph"/>
        <w:tabs>
          <w:tab w:val="left" w:pos="464"/>
        </w:tabs>
        <w:spacing w:before="24"/>
        <w:ind w:firstLine="0"/>
      </w:pPr>
      <w:r w:rsidRPr="00EC7A50">
        <w:t>• Scatter Plot: Economic Freedom Score vs GDP per Capita</w:t>
      </w:r>
      <w:r w:rsidRPr="00EC7A50">
        <w:br/>
        <w:t>• Bar Chart: Top 10 Countries by Economic Freedom Score</w:t>
      </w:r>
      <w:r w:rsidRPr="00EC7A50">
        <w:br/>
        <w:t>• Line Chart: Comparison of selected countries' economic indicators</w:t>
      </w:r>
      <w:r w:rsidRPr="00EC7A50">
        <w:br/>
        <w:t>• World Map Visualization: Country-wise Economic Freedom Distribution</w:t>
      </w:r>
      <w:r w:rsidRPr="00EC7A50">
        <w:br/>
        <w:t>• Dashboard: Combined view of all analytical results</w:t>
      </w:r>
      <w:r w:rsidRPr="00EC7A50">
        <w:br/>
        <w:t>• Analytical Story: Explanation of findings and economic interpretations</w:t>
      </w:r>
    </w:p>
    <w:p w14:paraId="3EF2CA44" w14:textId="5CE89584" w:rsidR="00B7407A" w:rsidRDefault="00EC7A50" w:rsidP="00EC7A50">
      <w:pPr>
        <w:pStyle w:val="ListParagraph"/>
        <w:tabs>
          <w:tab w:val="left" w:pos="464"/>
        </w:tabs>
        <w:spacing w:before="24"/>
        <w:ind w:firstLine="0"/>
      </w:pPr>
      <w:r w:rsidRPr="00EC7A50">
        <w:t xml:space="preserve">• </w:t>
      </w:r>
      <w:r>
        <w:t>Dashboard:</w:t>
      </w:r>
      <w:r>
        <w:rPr>
          <w:spacing w:val="-5"/>
        </w:rPr>
        <w:t xml:space="preserve"> </w:t>
      </w:r>
      <w:r>
        <w:t>Combined</w:t>
      </w:r>
      <w:r>
        <w:rPr>
          <w:spacing w:val="-8"/>
        </w:rPr>
        <w:t xml:space="preserve"> </w:t>
      </w:r>
      <w:r>
        <w:t>view</w:t>
      </w:r>
      <w:r>
        <w:rPr>
          <w:spacing w:val="-7"/>
        </w:rPr>
        <w:t xml:space="preserve"> </w:t>
      </w:r>
      <w:r>
        <w:t>of</w:t>
      </w:r>
      <w:r>
        <w:rPr>
          <w:spacing w:val="-8"/>
        </w:rPr>
        <w:t xml:space="preserve"> </w:t>
      </w:r>
      <w:r>
        <w:t>all</w:t>
      </w:r>
      <w:r>
        <w:rPr>
          <w:spacing w:val="-5"/>
        </w:rPr>
        <w:t xml:space="preserve"> </w:t>
      </w:r>
      <w:r>
        <w:t>key</w:t>
      </w:r>
      <w:r>
        <w:rPr>
          <w:spacing w:val="-6"/>
        </w:rPr>
        <w:t xml:space="preserve"> </w:t>
      </w:r>
      <w:r>
        <w:rPr>
          <w:spacing w:val="-2"/>
        </w:rPr>
        <w:t>insights</w:t>
      </w:r>
    </w:p>
    <w:p w14:paraId="03467A55" w14:textId="6EAACF7F" w:rsidR="00B7407A" w:rsidRDefault="00EC7A50" w:rsidP="00EC7A50">
      <w:pPr>
        <w:pStyle w:val="ListParagraph"/>
        <w:tabs>
          <w:tab w:val="left" w:pos="464"/>
        </w:tabs>
        <w:spacing w:before="25"/>
        <w:ind w:firstLine="0"/>
      </w:pPr>
      <w:r w:rsidRPr="00EC7A50">
        <w:t xml:space="preserve">• </w:t>
      </w:r>
      <w:r>
        <w:t xml:space="preserve">  Story:</w:t>
      </w:r>
      <w:r>
        <w:rPr>
          <w:spacing w:val="-12"/>
        </w:rPr>
        <w:t xml:space="preserve"> </w:t>
      </w:r>
      <w:r>
        <w:t>Step-by-step</w:t>
      </w:r>
      <w:r>
        <w:rPr>
          <w:spacing w:val="-11"/>
        </w:rPr>
        <w:t xml:space="preserve"> </w:t>
      </w:r>
      <w:r>
        <w:t>narrative</w:t>
      </w:r>
      <w:r>
        <w:rPr>
          <w:spacing w:val="-10"/>
        </w:rPr>
        <w:t xml:space="preserve"> </w:t>
      </w:r>
      <w:r>
        <w:t>of</w:t>
      </w:r>
      <w:r>
        <w:rPr>
          <w:spacing w:val="-10"/>
        </w:rPr>
        <w:t xml:space="preserve"> </w:t>
      </w:r>
      <w:r>
        <w:t>trends,</w:t>
      </w:r>
      <w:r>
        <w:rPr>
          <w:spacing w:val="-13"/>
        </w:rPr>
        <w:t xml:space="preserve"> </w:t>
      </w:r>
      <w:r>
        <w:t>distribution,</w:t>
      </w:r>
      <w:r>
        <w:rPr>
          <w:spacing w:val="-8"/>
        </w:rPr>
        <w:t xml:space="preserve"> </w:t>
      </w:r>
      <w:r>
        <w:t>and</w:t>
      </w:r>
      <w:r>
        <w:rPr>
          <w:spacing w:val="-11"/>
        </w:rPr>
        <w:t xml:space="preserve"> </w:t>
      </w:r>
      <w:r>
        <w:rPr>
          <w:spacing w:val="-2"/>
        </w:rPr>
        <w:t>conclusions</w:t>
      </w:r>
    </w:p>
    <w:p w14:paraId="41CFCA5F" w14:textId="77777777" w:rsidR="00B7407A" w:rsidRDefault="00B7407A">
      <w:pPr>
        <w:pStyle w:val="ListParagraph"/>
        <w:sectPr w:rsidR="00B7407A">
          <w:type w:val="continuous"/>
          <w:pgSz w:w="11910" w:h="16840"/>
          <w:pgMar w:top="1780" w:right="1559" w:bottom="280" w:left="1133" w:header="720" w:footer="720" w:gutter="0"/>
          <w:cols w:space="720"/>
        </w:sectPr>
      </w:pPr>
    </w:p>
    <w:p w14:paraId="5B9380E5" w14:textId="77777777" w:rsidR="00B7407A" w:rsidRDefault="00000000">
      <w:pPr>
        <w:pStyle w:val="Heading1"/>
        <w:spacing w:before="28"/>
      </w:pPr>
      <w:r>
        <w:rPr>
          <w:spacing w:val="-2"/>
        </w:rPr>
        <w:lastRenderedPageBreak/>
        <w:t>Expected</w:t>
      </w:r>
      <w:r>
        <w:rPr>
          <w:spacing w:val="3"/>
        </w:rPr>
        <w:t xml:space="preserve"> </w:t>
      </w:r>
      <w:r>
        <w:rPr>
          <w:spacing w:val="-2"/>
        </w:rPr>
        <w:t>Insights</w:t>
      </w:r>
    </w:p>
    <w:p w14:paraId="4FA4B6EB" w14:textId="6437D8AC" w:rsidR="00B7407A" w:rsidRDefault="00EC7A50" w:rsidP="00EC7A50">
      <w:pPr>
        <w:pStyle w:val="BodyText"/>
        <w:ind w:left="307" w:firstLine="0"/>
      </w:pPr>
      <w:r w:rsidRPr="00EC7A50">
        <w:t>• Determine whether economic freedom and prosperity are statistically related.</w:t>
      </w:r>
      <w:r w:rsidRPr="00EC7A50">
        <w:br/>
        <w:t>• Identify which economic freedom indicators contribute most to national development.</w:t>
      </w:r>
      <w:r w:rsidRPr="00EC7A50">
        <w:br/>
        <w:t>• Compare economic performance between high-freedom and low-freedom countries.</w:t>
      </w:r>
      <w:r w:rsidRPr="00EC7A50">
        <w:br/>
        <w:t>• Provide evidence-based conclusions about economic policy priorities.</w:t>
      </w:r>
      <w:r w:rsidRPr="00EC7A50">
        <w:br/>
        <w:t>• Support data-driven decision-making in economic policy and research.</w:t>
      </w:r>
    </w:p>
    <w:p w14:paraId="7D0A4370" w14:textId="77777777" w:rsidR="00B7407A" w:rsidRDefault="00B7407A">
      <w:pPr>
        <w:pStyle w:val="BodyText"/>
        <w:ind w:left="0" w:firstLine="0"/>
      </w:pPr>
    </w:p>
    <w:p w14:paraId="0DCA1960" w14:textId="77777777" w:rsidR="00B7407A" w:rsidRDefault="00B7407A">
      <w:pPr>
        <w:pStyle w:val="BodyText"/>
        <w:ind w:left="0" w:firstLine="0"/>
      </w:pPr>
    </w:p>
    <w:p w14:paraId="5E06B969" w14:textId="77777777" w:rsidR="00B7407A" w:rsidRDefault="00000000" w:rsidP="00EC7A50">
      <w:pPr>
        <w:pStyle w:val="Heading1"/>
        <w:ind w:left="0" w:firstLine="307"/>
      </w:pPr>
      <w:r>
        <w:rPr>
          <w:spacing w:val="-4"/>
        </w:rPr>
        <w:t>Tools</w:t>
      </w:r>
      <w:r>
        <w:rPr>
          <w:spacing w:val="-7"/>
        </w:rPr>
        <w:t xml:space="preserve"> </w:t>
      </w:r>
      <w:r>
        <w:rPr>
          <w:spacing w:val="-4"/>
        </w:rPr>
        <w:t>Used</w:t>
      </w:r>
    </w:p>
    <w:p w14:paraId="0FC31A68" w14:textId="25C0DD31" w:rsidR="00B7407A" w:rsidRDefault="00EC7A50" w:rsidP="00EC7A50">
      <w:pPr>
        <w:pStyle w:val="ListParagraph"/>
        <w:tabs>
          <w:tab w:val="left" w:pos="464"/>
        </w:tabs>
        <w:spacing w:before="178"/>
        <w:ind w:firstLine="0"/>
      </w:pPr>
      <w:r w:rsidRPr="00EC7A50">
        <w:t>• Index of Economic Freedom Dataset (Heritage Foundation)</w:t>
      </w:r>
      <w:r w:rsidRPr="00EC7A50">
        <w:br/>
        <w:t>• World Bank Dataset (GDP per capita, unemployment rate, HDI indicators)</w:t>
      </w:r>
      <w:r w:rsidRPr="00EC7A50">
        <w:br/>
        <w:t>• Microsoft Excel (data cleaning and preprocessing)</w:t>
      </w:r>
      <w:r w:rsidRPr="00EC7A50">
        <w:br/>
        <w:t>• Tableau Desktop (data visualization and dashboard creation)</w:t>
      </w:r>
      <w:r w:rsidRPr="00EC7A50">
        <w:br/>
        <w:t>• Tableau Public (dashboard publishing and sharing)</w:t>
      </w:r>
    </w:p>
    <w:sectPr w:rsidR="00B7407A">
      <w:pgSz w:w="11910" w:h="16840"/>
      <w:pgMar w:top="1400" w:right="1559"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A1579"/>
    <w:multiLevelType w:val="hybridMultilevel"/>
    <w:tmpl w:val="405A1620"/>
    <w:lvl w:ilvl="0" w:tplc="3E9EBF96">
      <w:numFmt w:val="bullet"/>
      <w:lvlText w:val="•"/>
      <w:lvlJc w:val="left"/>
      <w:pPr>
        <w:ind w:left="465" w:hanging="159"/>
      </w:pPr>
      <w:rPr>
        <w:rFonts w:ascii="Calibri" w:eastAsia="Calibri" w:hAnsi="Calibri" w:cs="Calibri" w:hint="default"/>
        <w:b w:val="0"/>
        <w:bCs w:val="0"/>
        <w:i w:val="0"/>
        <w:iCs w:val="0"/>
        <w:spacing w:val="0"/>
        <w:w w:val="100"/>
        <w:sz w:val="22"/>
        <w:szCs w:val="22"/>
        <w:lang w:val="en-US" w:eastAsia="en-US" w:bidi="ar-SA"/>
      </w:rPr>
    </w:lvl>
    <w:lvl w:ilvl="1" w:tplc="80106CE0">
      <w:numFmt w:val="bullet"/>
      <w:lvlText w:val="•"/>
      <w:lvlJc w:val="left"/>
      <w:pPr>
        <w:ind w:left="1335" w:hanging="159"/>
      </w:pPr>
      <w:rPr>
        <w:rFonts w:hint="default"/>
        <w:lang w:val="en-US" w:eastAsia="en-US" w:bidi="ar-SA"/>
      </w:rPr>
    </w:lvl>
    <w:lvl w:ilvl="2" w:tplc="4294B0A0">
      <w:numFmt w:val="bullet"/>
      <w:lvlText w:val="•"/>
      <w:lvlJc w:val="left"/>
      <w:pPr>
        <w:ind w:left="2210" w:hanging="159"/>
      </w:pPr>
      <w:rPr>
        <w:rFonts w:hint="default"/>
        <w:lang w:val="en-US" w:eastAsia="en-US" w:bidi="ar-SA"/>
      </w:rPr>
    </w:lvl>
    <w:lvl w:ilvl="3" w:tplc="8AA0956C">
      <w:numFmt w:val="bullet"/>
      <w:lvlText w:val="•"/>
      <w:lvlJc w:val="left"/>
      <w:pPr>
        <w:ind w:left="3085" w:hanging="159"/>
      </w:pPr>
      <w:rPr>
        <w:rFonts w:hint="default"/>
        <w:lang w:val="en-US" w:eastAsia="en-US" w:bidi="ar-SA"/>
      </w:rPr>
    </w:lvl>
    <w:lvl w:ilvl="4" w:tplc="D4A8D59E">
      <w:numFmt w:val="bullet"/>
      <w:lvlText w:val="•"/>
      <w:lvlJc w:val="left"/>
      <w:pPr>
        <w:ind w:left="3960" w:hanging="159"/>
      </w:pPr>
      <w:rPr>
        <w:rFonts w:hint="default"/>
        <w:lang w:val="en-US" w:eastAsia="en-US" w:bidi="ar-SA"/>
      </w:rPr>
    </w:lvl>
    <w:lvl w:ilvl="5" w:tplc="93140B2C">
      <w:numFmt w:val="bullet"/>
      <w:lvlText w:val="•"/>
      <w:lvlJc w:val="left"/>
      <w:pPr>
        <w:ind w:left="4836" w:hanging="159"/>
      </w:pPr>
      <w:rPr>
        <w:rFonts w:hint="default"/>
        <w:lang w:val="en-US" w:eastAsia="en-US" w:bidi="ar-SA"/>
      </w:rPr>
    </w:lvl>
    <w:lvl w:ilvl="6" w:tplc="0B32E6F8">
      <w:numFmt w:val="bullet"/>
      <w:lvlText w:val="•"/>
      <w:lvlJc w:val="left"/>
      <w:pPr>
        <w:ind w:left="5711" w:hanging="159"/>
      </w:pPr>
      <w:rPr>
        <w:rFonts w:hint="default"/>
        <w:lang w:val="en-US" w:eastAsia="en-US" w:bidi="ar-SA"/>
      </w:rPr>
    </w:lvl>
    <w:lvl w:ilvl="7" w:tplc="6DB08406">
      <w:numFmt w:val="bullet"/>
      <w:lvlText w:val="•"/>
      <w:lvlJc w:val="left"/>
      <w:pPr>
        <w:ind w:left="6586" w:hanging="159"/>
      </w:pPr>
      <w:rPr>
        <w:rFonts w:hint="default"/>
        <w:lang w:val="en-US" w:eastAsia="en-US" w:bidi="ar-SA"/>
      </w:rPr>
    </w:lvl>
    <w:lvl w:ilvl="8" w:tplc="4E5A22D6">
      <w:numFmt w:val="bullet"/>
      <w:lvlText w:val="•"/>
      <w:lvlJc w:val="left"/>
      <w:pPr>
        <w:ind w:left="7461" w:hanging="159"/>
      </w:pPr>
      <w:rPr>
        <w:rFonts w:hint="default"/>
        <w:lang w:val="en-US" w:eastAsia="en-US" w:bidi="ar-SA"/>
      </w:rPr>
    </w:lvl>
  </w:abstractNum>
  <w:num w:numId="1" w16cid:durableId="1021979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7407A"/>
    <w:rsid w:val="00186AC8"/>
    <w:rsid w:val="00351E53"/>
    <w:rsid w:val="004E4B13"/>
    <w:rsid w:val="00B7407A"/>
    <w:rsid w:val="00EC7A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69AE6"/>
  <w15:docId w15:val="{D24507B0-8915-4C11-9875-47F71616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E53"/>
    <w:rPr>
      <w:rFonts w:ascii="Calibri" w:eastAsia="Calibri" w:hAnsi="Calibri" w:cs="Calibri"/>
    </w:rPr>
  </w:style>
  <w:style w:type="paragraph" w:styleId="Heading1">
    <w:name w:val="heading 1"/>
    <w:basedOn w:val="Normal"/>
    <w:uiPriority w:val="9"/>
    <w:qFormat/>
    <w:pPr>
      <w:ind w:left="307"/>
      <w:outlineLvl w:val="0"/>
    </w:pPr>
    <w:rPr>
      <w:b/>
      <w:bCs/>
    </w:rPr>
  </w:style>
  <w:style w:type="paragraph" w:styleId="Heading2">
    <w:name w:val="heading 2"/>
    <w:basedOn w:val="Normal"/>
    <w:next w:val="Normal"/>
    <w:link w:val="Heading2Char"/>
    <w:uiPriority w:val="9"/>
    <w:semiHidden/>
    <w:unhideWhenUsed/>
    <w:qFormat/>
    <w:rsid w:val="00EC7A5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4" w:hanging="157"/>
    </w:pPr>
  </w:style>
  <w:style w:type="paragraph" w:styleId="Title">
    <w:name w:val="Title"/>
    <w:basedOn w:val="Normal"/>
    <w:uiPriority w:val="10"/>
    <w:qFormat/>
    <w:pPr>
      <w:ind w:left="424"/>
      <w:jc w:val="center"/>
    </w:pPr>
    <w:rPr>
      <w:rFonts w:ascii="Calibri Light" w:eastAsia="Calibri Light" w:hAnsi="Calibri Light" w:cs="Calibri Light"/>
      <w:sz w:val="40"/>
      <w:szCs w:val="40"/>
    </w:rPr>
  </w:style>
  <w:style w:type="paragraph" w:styleId="ListParagraph">
    <w:name w:val="List Paragraph"/>
    <w:basedOn w:val="Normal"/>
    <w:uiPriority w:val="1"/>
    <w:qFormat/>
    <w:pPr>
      <w:spacing w:before="20"/>
      <w:ind w:left="464" w:hanging="157"/>
    </w:pPr>
  </w:style>
  <w:style w:type="paragraph" w:customStyle="1" w:styleId="TableParagraph">
    <w:name w:val="Table Paragraph"/>
    <w:basedOn w:val="Normal"/>
    <w:uiPriority w:val="1"/>
    <w:qFormat/>
    <w:pPr>
      <w:spacing w:before="6"/>
      <w:ind w:left="105"/>
    </w:pPr>
  </w:style>
  <w:style w:type="character" w:customStyle="1" w:styleId="Heading2Char">
    <w:name w:val="Heading 2 Char"/>
    <w:basedOn w:val="DefaultParagraphFont"/>
    <w:link w:val="Heading2"/>
    <w:uiPriority w:val="9"/>
    <w:semiHidden/>
    <w:rsid w:val="00EC7A5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461</Words>
  <Characters>2632</Characters>
  <Application>Microsoft Office Word</Application>
  <DocSecurity>0</DocSecurity>
  <Lines>21</Lines>
  <Paragraphs>6</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Raghuveer Arja</dc:creator>
  <cp:lastModifiedBy>Mokshith Byreddy</cp:lastModifiedBy>
  <cp:revision>3</cp:revision>
  <dcterms:created xsi:type="dcterms:W3CDTF">2026-02-20T07:20:00Z</dcterms:created>
  <dcterms:modified xsi:type="dcterms:W3CDTF">2026-02-20T11:40:00Z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