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DEA6" w14:textId="77777777" w:rsidR="00D42E5D" w:rsidRDefault="00000000">
      <w:pPr>
        <w:pStyle w:val="Title"/>
      </w:pPr>
      <w:r>
        <w:t>Proposed</w:t>
      </w:r>
      <w:r>
        <w:rPr>
          <w:spacing w:val="-14"/>
        </w:rPr>
        <w:t xml:space="preserve"> </w:t>
      </w:r>
      <w:r>
        <w:rPr>
          <w:spacing w:val="-2"/>
        </w:rPr>
        <w:t>Solution</w:t>
      </w:r>
    </w:p>
    <w:p w14:paraId="212347DF" w14:textId="77777777" w:rsidR="00D42E5D" w:rsidRDefault="00D42E5D">
      <w:pPr>
        <w:pStyle w:val="BodyText"/>
        <w:spacing w:before="6"/>
        <w:ind w:left="0" w:firstLine="0"/>
        <w:rPr>
          <w:b/>
          <w:sz w:val="15"/>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4"/>
        <w:gridCol w:w="4960"/>
      </w:tblGrid>
      <w:tr w:rsidR="00D42E5D" w14:paraId="6CE482A0" w14:textId="77777777">
        <w:trPr>
          <w:trHeight w:val="450"/>
        </w:trPr>
        <w:tc>
          <w:tcPr>
            <w:tcW w:w="3654" w:type="dxa"/>
          </w:tcPr>
          <w:p w14:paraId="6188E703" w14:textId="77777777" w:rsidR="00D42E5D" w:rsidRDefault="00000000">
            <w:pPr>
              <w:pStyle w:val="TableParagraph"/>
              <w:ind w:left="110"/>
            </w:pPr>
            <w:r>
              <w:rPr>
                <w:spacing w:val="-4"/>
              </w:rPr>
              <w:t>Date</w:t>
            </w:r>
          </w:p>
        </w:tc>
        <w:tc>
          <w:tcPr>
            <w:tcW w:w="4960" w:type="dxa"/>
          </w:tcPr>
          <w:p w14:paraId="5C135659" w14:textId="77777777" w:rsidR="00D42E5D" w:rsidRDefault="00000000">
            <w:pPr>
              <w:pStyle w:val="TableParagraph"/>
            </w:pPr>
            <w:r>
              <w:t>31</w:t>
            </w:r>
            <w:r>
              <w:rPr>
                <w:spacing w:val="-6"/>
              </w:rPr>
              <w:t xml:space="preserve"> </w:t>
            </w:r>
            <w:r>
              <w:t>January</w:t>
            </w:r>
            <w:r>
              <w:rPr>
                <w:spacing w:val="-4"/>
              </w:rPr>
              <w:t xml:space="preserve"> 2026</w:t>
            </w:r>
          </w:p>
        </w:tc>
      </w:tr>
      <w:tr w:rsidR="00D42E5D" w14:paraId="4F5E29AF" w14:textId="77777777">
        <w:trPr>
          <w:trHeight w:val="451"/>
        </w:trPr>
        <w:tc>
          <w:tcPr>
            <w:tcW w:w="3654" w:type="dxa"/>
          </w:tcPr>
          <w:p w14:paraId="15741C5A" w14:textId="77777777" w:rsidR="00D42E5D" w:rsidRDefault="00000000">
            <w:pPr>
              <w:pStyle w:val="TableParagraph"/>
              <w:spacing w:before="7"/>
              <w:ind w:left="110"/>
            </w:pPr>
            <w:r>
              <w:rPr>
                <w:spacing w:val="-4"/>
              </w:rPr>
              <w:t>Team</w:t>
            </w:r>
            <w:r>
              <w:rPr>
                <w:spacing w:val="-7"/>
              </w:rPr>
              <w:t xml:space="preserve"> </w:t>
            </w:r>
            <w:r>
              <w:rPr>
                <w:spacing w:val="-5"/>
              </w:rPr>
              <w:t>ID</w:t>
            </w:r>
          </w:p>
        </w:tc>
        <w:tc>
          <w:tcPr>
            <w:tcW w:w="4960" w:type="dxa"/>
          </w:tcPr>
          <w:p w14:paraId="227075A6" w14:textId="368F7D5E" w:rsidR="00D42E5D" w:rsidRDefault="000D7BE0">
            <w:pPr>
              <w:pStyle w:val="TableParagraph"/>
              <w:spacing w:before="7"/>
            </w:pPr>
            <w:r w:rsidRPr="000D7BE0">
              <w:rPr>
                <w:spacing w:val="-2"/>
              </w:rPr>
              <w:t>LTVIP2026TMIDS24940</w:t>
            </w:r>
          </w:p>
        </w:tc>
      </w:tr>
      <w:tr w:rsidR="00D42E5D" w14:paraId="7C434C13" w14:textId="77777777">
        <w:trPr>
          <w:trHeight w:val="738"/>
        </w:trPr>
        <w:tc>
          <w:tcPr>
            <w:tcW w:w="3654" w:type="dxa"/>
          </w:tcPr>
          <w:p w14:paraId="6A720A3E" w14:textId="77777777" w:rsidR="00D42E5D" w:rsidRDefault="00000000">
            <w:pPr>
              <w:pStyle w:val="TableParagraph"/>
              <w:ind w:left="110"/>
            </w:pPr>
            <w:r>
              <w:rPr>
                <w:spacing w:val="-2"/>
              </w:rPr>
              <w:t>Project</w:t>
            </w:r>
            <w:r>
              <w:rPr>
                <w:spacing w:val="-1"/>
              </w:rPr>
              <w:t xml:space="preserve"> </w:t>
            </w:r>
            <w:r>
              <w:rPr>
                <w:spacing w:val="-4"/>
              </w:rPr>
              <w:t>Name</w:t>
            </w:r>
          </w:p>
        </w:tc>
        <w:tc>
          <w:tcPr>
            <w:tcW w:w="4960" w:type="dxa"/>
          </w:tcPr>
          <w:p w14:paraId="33FFED67" w14:textId="12EFE0EA" w:rsidR="00D42E5D" w:rsidRDefault="00176DF8">
            <w:pPr>
              <w:pStyle w:val="TableParagraph"/>
              <w:spacing w:before="1" w:line="261" w:lineRule="auto"/>
              <w:ind w:right="152"/>
            </w:pPr>
            <w:r w:rsidRPr="00176DF8">
              <w:rPr>
                <w:spacing w:val="-2"/>
              </w:rPr>
              <w:t>Measuring the Pulse of Prosperity: An Index of Economic Freedom Analysis</w:t>
            </w:r>
          </w:p>
        </w:tc>
      </w:tr>
      <w:tr w:rsidR="00D42E5D" w14:paraId="2C70BA9D" w14:textId="77777777">
        <w:trPr>
          <w:trHeight w:val="450"/>
        </w:trPr>
        <w:tc>
          <w:tcPr>
            <w:tcW w:w="3654" w:type="dxa"/>
          </w:tcPr>
          <w:p w14:paraId="3CCA75EE" w14:textId="77777777" w:rsidR="00D42E5D" w:rsidRDefault="00000000">
            <w:pPr>
              <w:pStyle w:val="TableParagraph"/>
              <w:ind w:left="110"/>
            </w:pPr>
            <w:r>
              <w:t>Maximum</w:t>
            </w:r>
            <w:r>
              <w:rPr>
                <w:spacing w:val="-7"/>
              </w:rPr>
              <w:t xml:space="preserve"> </w:t>
            </w:r>
            <w:r>
              <w:rPr>
                <w:spacing w:val="-2"/>
              </w:rPr>
              <w:t>Marks</w:t>
            </w:r>
          </w:p>
        </w:tc>
        <w:tc>
          <w:tcPr>
            <w:tcW w:w="4960" w:type="dxa"/>
          </w:tcPr>
          <w:p w14:paraId="3E1AFD35" w14:textId="77777777" w:rsidR="00D42E5D" w:rsidRDefault="00000000">
            <w:pPr>
              <w:pStyle w:val="TableParagraph"/>
            </w:pPr>
            <w:r>
              <w:t>4</w:t>
            </w:r>
            <w:r>
              <w:rPr>
                <w:spacing w:val="-4"/>
              </w:rPr>
              <w:t xml:space="preserve"> </w:t>
            </w:r>
            <w:r>
              <w:rPr>
                <w:spacing w:val="-2"/>
              </w:rPr>
              <w:t>Marks</w:t>
            </w:r>
          </w:p>
        </w:tc>
      </w:tr>
    </w:tbl>
    <w:p w14:paraId="7BB3E323" w14:textId="77777777" w:rsidR="00D42E5D" w:rsidRDefault="00D42E5D">
      <w:pPr>
        <w:pStyle w:val="BodyText"/>
        <w:spacing w:before="113"/>
        <w:ind w:left="0" w:firstLine="0"/>
        <w:rPr>
          <w:b/>
          <w:sz w:val="28"/>
        </w:rPr>
      </w:pPr>
    </w:p>
    <w:p w14:paraId="7F4D17C3" w14:textId="77777777" w:rsidR="00176DF8" w:rsidRPr="00176DF8" w:rsidRDefault="00176DF8" w:rsidP="00176DF8">
      <w:pPr>
        <w:pStyle w:val="BodyText"/>
        <w:spacing w:before="157"/>
        <w:ind w:left="307" w:firstLine="0"/>
        <w:rPr>
          <w:lang w:val="en-IN"/>
        </w:rPr>
      </w:pPr>
      <w:r w:rsidRPr="00176DF8">
        <w:rPr>
          <w:lang w:val="en-IN"/>
        </w:rPr>
        <w:t>The proposed solution is to develop an interactive Tableau Dashboard and Story to analyze global economic freedom data and its relationship with national prosperity indicators. The system helps users understand how institutional and policy-related economic factors influence economic performance across countries.</w:t>
      </w:r>
    </w:p>
    <w:p w14:paraId="4B9586B4" w14:textId="77777777" w:rsidR="00176DF8" w:rsidRPr="00176DF8" w:rsidRDefault="00176DF8" w:rsidP="00176DF8">
      <w:pPr>
        <w:pStyle w:val="BodyText"/>
        <w:spacing w:before="157"/>
        <w:ind w:left="307" w:firstLine="0"/>
        <w:rPr>
          <w:lang w:val="en-IN"/>
        </w:rPr>
      </w:pPr>
      <w:r w:rsidRPr="00176DF8">
        <w:rPr>
          <w:lang w:val="en-IN"/>
        </w:rPr>
        <w:t>The solution performs comparative analysis of countries using economic indicators such as economic freedom score, property rights, tax burden, trade openness, GDP per capita, unemployment rate, and inflation rate.</w:t>
      </w:r>
    </w:p>
    <w:p w14:paraId="6FCAC1B5" w14:textId="77777777" w:rsidR="00D42E5D" w:rsidRDefault="00000000">
      <w:pPr>
        <w:pStyle w:val="BodyText"/>
        <w:spacing w:before="157"/>
        <w:ind w:left="307" w:firstLine="0"/>
      </w:pPr>
      <w:r>
        <w:t>The</w:t>
      </w:r>
      <w:r>
        <w:rPr>
          <w:spacing w:val="-7"/>
        </w:rPr>
        <w:t xml:space="preserve"> </w:t>
      </w:r>
      <w:r>
        <w:t>solution</w:t>
      </w:r>
      <w:r>
        <w:rPr>
          <w:spacing w:val="-8"/>
        </w:rPr>
        <w:t xml:space="preserve"> </w:t>
      </w:r>
      <w:r>
        <w:rPr>
          <w:spacing w:val="-2"/>
        </w:rPr>
        <w:t>includes:</w:t>
      </w:r>
    </w:p>
    <w:p w14:paraId="2BC8309A" w14:textId="77777777" w:rsidR="00176DF8" w:rsidRDefault="00176DF8">
      <w:pPr>
        <w:pStyle w:val="BodyText"/>
        <w:spacing w:before="173"/>
        <w:ind w:left="307" w:firstLine="0"/>
      </w:pPr>
      <w:r w:rsidRPr="00176DF8">
        <w:t>• Importing the Index of Economic Freedom dataset into Tableau</w:t>
      </w:r>
      <w:r w:rsidRPr="00176DF8">
        <w:br/>
        <w:t>• Cleaning and preparing the dataset using Excel</w:t>
      </w:r>
      <w:r w:rsidRPr="00176DF8">
        <w:br/>
        <w:t>• Categorizing variables into economic freedom indicators and economic performance indicators</w:t>
      </w:r>
      <w:r w:rsidRPr="00176DF8">
        <w:br/>
        <w:t>• Creating multiple visualizations (scatter plots, bar charts, heatmaps, and maps)</w:t>
      </w:r>
      <w:r w:rsidRPr="00176DF8">
        <w:br/>
        <w:t>• Designing an interactive dashboard with filters (Country, Region, Indicator)</w:t>
      </w:r>
      <w:r w:rsidRPr="00176DF8">
        <w:br/>
        <w:t>• Creating a Tableau Story explaining the analytical findings step-by-step</w:t>
      </w:r>
      <w:r w:rsidRPr="00176DF8">
        <w:br/>
        <w:t>• Publishing the dashboard and story on Tableau Public for public access</w:t>
      </w:r>
    </w:p>
    <w:p w14:paraId="0C0705BC" w14:textId="5F4316A2" w:rsidR="00D42E5D" w:rsidRDefault="00000000">
      <w:pPr>
        <w:pStyle w:val="BodyText"/>
        <w:spacing w:before="173"/>
        <w:ind w:left="307" w:firstLine="0"/>
      </w:pPr>
      <w:r>
        <w:t>This</w:t>
      </w:r>
      <w:r>
        <w:rPr>
          <w:spacing w:val="-8"/>
        </w:rPr>
        <w:t xml:space="preserve"> </w:t>
      </w:r>
      <w:r>
        <w:t>solution</w:t>
      </w:r>
      <w:r>
        <w:rPr>
          <w:spacing w:val="-9"/>
        </w:rPr>
        <w:t xml:space="preserve"> </w:t>
      </w:r>
      <w:r>
        <w:t>provides</w:t>
      </w:r>
      <w:r>
        <w:rPr>
          <w:spacing w:val="-7"/>
        </w:rPr>
        <w:t xml:space="preserve"> </w:t>
      </w:r>
      <w:r>
        <w:t>insights</w:t>
      </w:r>
      <w:r>
        <w:rPr>
          <w:spacing w:val="-8"/>
        </w:rPr>
        <w:t xml:space="preserve"> </w:t>
      </w:r>
      <w:r>
        <w:rPr>
          <w:spacing w:val="-5"/>
        </w:rPr>
        <w:t>on:</w:t>
      </w:r>
    </w:p>
    <w:p w14:paraId="1ADFB020" w14:textId="0A9A8112" w:rsidR="00D42E5D" w:rsidRDefault="00176DF8" w:rsidP="00176DF8">
      <w:pPr>
        <w:tabs>
          <w:tab w:val="left" w:pos="464"/>
        </w:tabs>
        <w:spacing w:before="24"/>
        <w:ind w:left="306"/>
      </w:pPr>
      <w:r w:rsidRPr="00176DF8">
        <w:t>• Relationship between economic freedom and national income</w:t>
      </w:r>
      <w:r w:rsidRPr="00176DF8">
        <w:br/>
        <w:t>• Impact of property rights and trade openness on economic growth</w:t>
      </w:r>
      <w:r w:rsidRPr="00176DF8">
        <w:br/>
        <w:t>• Comparison between high-income and low-income countries</w:t>
      </w:r>
      <w:r w:rsidRPr="00176DF8">
        <w:br/>
        <w:t>• Regional economic performance differences</w:t>
      </w:r>
      <w:r w:rsidRPr="00176DF8">
        <w:br/>
        <w:t>• Identification of countries with strong and weak economic institutions</w:t>
      </w:r>
    </w:p>
    <w:p w14:paraId="6C5B13B0" w14:textId="77777777" w:rsidR="00176DF8" w:rsidRDefault="00176DF8" w:rsidP="00176DF8">
      <w:pPr>
        <w:tabs>
          <w:tab w:val="left" w:pos="464"/>
        </w:tabs>
        <w:spacing w:before="24"/>
        <w:ind w:left="306"/>
      </w:pPr>
    </w:p>
    <w:p w14:paraId="30605BF7" w14:textId="77777777" w:rsidR="00176DF8" w:rsidRPr="00176DF8" w:rsidRDefault="00176DF8" w:rsidP="00176DF8">
      <w:pPr>
        <w:tabs>
          <w:tab w:val="left" w:pos="464"/>
        </w:tabs>
        <w:spacing w:before="24"/>
        <w:ind w:left="306"/>
        <w:rPr>
          <w:lang w:val="en-IN"/>
        </w:rPr>
      </w:pPr>
      <w:r w:rsidRPr="00176DF8">
        <w:rPr>
          <w:lang w:val="en-IN"/>
        </w:rPr>
        <w:t>Analytical Visualizations Developed</w:t>
      </w:r>
    </w:p>
    <w:p w14:paraId="49C23485" w14:textId="262CC751" w:rsidR="00176DF8" w:rsidRDefault="00176DF8" w:rsidP="00176DF8">
      <w:pPr>
        <w:tabs>
          <w:tab w:val="left" w:pos="464"/>
        </w:tabs>
        <w:spacing w:before="24"/>
        <w:ind w:left="306"/>
      </w:pPr>
      <w:r w:rsidRPr="00176DF8">
        <w:t>• Scatter Plot — Economic Freedom Score vs GDP per Capita</w:t>
      </w:r>
      <w:r w:rsidRPr="00176DF8">
        <w:br/>
        <w:t>• World Map — Country-wise economic freedom distribution</w:t>
      </w:r>
      <w:r w:rsidRPr="00176DF8">
        <w:br/>
        <w:t>• Bar Chart — Country comparison of economic indicators</w:t>
      </w:r>
      <w:r w:rsidRPr="00176DF8">
        <w:br/>
        <w:t>• Indicator Comparison Charts — Property rights, tax burden, trade freedom</w:t>
      </w:r>
      <w:r w:rsidRPr="00176DF8">
        <w:br/>
        <w:t>• Regional Analysis Charts — Region-wise performance comparison</w:t>
      </w:r>
    </w:p>
    <w:sectPr w:rsidR="00176DF8">
      <w:type w:val="continuous"/>
      <w:pgSz w:w="11910" w:h="16840"/>
      <w:pgMar w:top="140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5A2"/>
    <w:multiLevelType w:val="hybridMultilevel"/>
    <w:tmpl w:val="04C8D370"/>
    <w:lvl w:ilvl="0" w:tplc="EF58AE8C">
      <w:numFmt w:val="bullet"/>
      <w:lvlText w:val="•"/>
      <w:lvlJc w:val="left"/>
      <w:pPr>
        <w:ind w:left="465" w:hanging="159"/>
      </w:pPr>
      <w:rPr>
        <w:rFonts w:ascii="Calibri" w:eastAsia="Calibri" w:hAnsi="Calibri" w:cs="Calibri" w:hint="default"/>
        <w:b w:val="0"/>
        <w:bCs w:val="0"/>
        <w:i w:val="0"/>
        <w:iCs w:val="0"/>
        <w:spacing w:val="0"/>
        <w:w w:val="100"/>
        <w:sz w:val="22"/>
        <w:szCs w:val="22"/>
        <w:lang w:val="en-US" w:eastAsia="en-US" w:bidi="ar-SA"/>
      </w:rPr>
    </w:lvl>
    <w:lvl w:ilvl="1" w:tplc="9BD25DE0">
      <w:numFmt w:val="bullet"/>
      <w:lvlText w:val="•"/>
      <w:lvlJc w:val="left"/>
      <w:pPr>
        <w:ind w:left="1349" w:hanging="159"/>
      </w:pPr>
      <w:rPr>
        <w:rFonts w:hint="default"/>
        <w:lang w:val="en-US" w:eastAsia="en-US" w:bidi="ar-SA"/>
      </w:rPr>
    </w:lvl>
    <w:lvl w:ilvl="2" w:tplc="D24C40EC">
      <w:numFmt w:val="bullet"/>
      <w:lvlText w:val="•"/>
      <w:lvlJc w:val="left"/>
      <w:pPr>
        <w:ind w:left="2238" w:hanging="159"/>
      </w:pPr>
      <w:rPr>
        <w:rFonts w:hint="default"/>
        <w:lang w:val="en-US" w:eastAsia="en-US" w:bidi="ar-SA"/>
      </w:rPr>
    </w:lvl>
    <w:lvl w:ilvl="3" w:tplc="E76EF8E0">
      <w:numFmt w:val="bullet"/>
      <w:lvlText w:val="•"/>
      <w:lvlJc w:val="left"/>
      <w:pPr>
        <w:ind w:left="3128" w:hanging="159"/>
      </w:pPr>
      <w:rPr>
        <w:rFonts w:hint="default"/>
        <w:lang w:val="en-US" w:eastAsia="en-US" w:bidi="ar-SA"/>
      </w:rPr>
    </w:lvl>
    <w:lvl w:ilvl="4" w:tplc="65D077E2">
      <w:numFmt w:val="bullet"/>
      <w:lvlText w:val="•"/>
      <w:lvlJc w:val="left"/>
      <w:pPr>
        <w:ind w:left="4017" w:hanging="159"/>
      </w:pPr>
      <w:rPr>
        <w:rFonts w:hint="default"/>
        <w:lang w:val="en-US" w:eastAsia="en-US" w:bidi="ar-SA"/>
      </w:rPr>
    </w:lvl>
    <w:lvl w:ilvl="5" w:tplc="B6823290">
      <w:numFmt w:val="bullet"/>
      <w:lvlText w:val="•"/>
      <w:lvlJc w:val="left"/>
      <w:pPr>
        <w:ind w:left="4907" w:hanging="159"/>
      </w:pPr>
      <w:rPr>
        <w:rFonts w:hint="default"/>
        <w:lang w:val="en-US" w:eastAsia="en-US" w:bidi="ar-SA"/>
      </w:rPr>
    </w:lvl>
    <w:lvl w:ilvl="6" w:tplc="4E20916E">
      <w:numFmt w:val="bullet"/>
      <w:lvlText w:val="•"/>
      <w:lvlJc w:val="left"/>
      <w:pPr>
        <w:ind w:left="5796" w:hanging="159"/>
      </w:pPr>
      <w:rPr>
        <w:rFonts w:hint="default"/>
        <w:lang w:val="en-US" w:eastAsia="en-US" w:bidi="ar-SA"/>
      </w:rPr>
    </w:lvl>
    <w:lvl w:ilvl="7" w:tplc="B25612FC">
      <w:numFmt w:val="bullet"/>
      <w:lvlText w:val="•"/>
      <w:lvlJc w:val="left"/>
      <w:pPr>
        <w:ind w:left="6685" w:hanging="159"/>
      </w:pPr>
      <w:rPr>
        <w:rFonts w:hint="default"/>
        <w:lang w:val="en-US" w:eastAsia="en-US" w:bidi="ar-SA"/>
      </w:rPr>
    </w:lvl>
    <w:lvl w:ilvl="8" w:tplc="AEC66C24">
      <w:numFmt w:val="bullet"/>
      <w:lvlText w:val="•"/>
      <w:lvlJc w:val="left"/>
      <w:pPr>
        <w:ind w:left="7575" w:hanging="159"/>
      </w:pPr>
      <w:rPr>
        <w:rFonts w:hint="default"/>
        <w:lang w:val="en-US" w:eastAsia="en-US" w:bidi="ar-SA"/>
      </w:rPr>
    </w:lvl>
  </w:abstractNum>
  <w:num w:numId="1" w16cid:durableId="204593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2E5D"/>
    <w:rsid w:val="000D7BE0"/>
    <w:rsid w:val="00176DF8"/>
    <w:rsid w:val="00672011"/>
    <w:rsid w:val="00941E37"/>
    <w:rsid w:val="00D42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E075"/>
  <w15:docId w15:val="{D6434ABD-5576-4532-A798-BA94F5F2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
      <w:ind w:left="464" w:hanging="157"/>
    </w:pPr>
  </w:style>
  <w:style w:type="paragraph" w:styleId="Title">
    <w:name w:val="Title"/>
    <w:basedOn w:val="Normal"/>
    <w:uiPriority w:val="10"/>
    <w:qFormat/>
    <w:pPr>
      <w:spacing w:before="19"/>
      <w:ind w:left="282"/>
      <w:jc w:val="center"/>
    </w:pPr>
    <w:rPr>
      <w:b/>
      <w:bCs/>
      <w:sz w:val="28"/>
      <w:szCs w:val="28"/>
    </w:rPr>
  </w:style>
  <w:style w:type="paragraph" w:styleId="ListParagraph">
    <w:name w:val="List Paragraph"/>
    <w:basedOn w:val="Normal"/>
    <w:uiPriority w:val="1"/>
    <w:qFormat/>
    <w:pPr>
      <w:spacing w:before="19"/>
      <w:ind w:left="464" w:hanging="157"/>
    </w:pPr>
  </w:style>
  <w:style w:type="paragraph" w:customStyle="1" w:styleId="TableParagraph">
    <w:name w:val="Table Paragraph"/>
    <w:basedOn w:val="Normal"/>
    <w:uiPriority w:val="1"/>
    <w:qFormat/>
    <w:pPr>
      <w:spacing w:before="6"/>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Raghuveer Arja</dc:creator>
  <cp:lastModifiedBy>Mokshith Byreddy</cp:lastModifiedBy>
  <cp:revision>3</cp:revision>
  <dcterms:created xsi:type="dcterms:W3CDTF">2026-02-20T08:15:00Z</dcterms:created>
  <dcterms:modified xsi:type="dcterms:W3CDTF">2026-02-20T11:43:00Z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