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[09. 중첩선언과 익명객체]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중첩 멤버 클래스에 대한 설명으로 틀린 것은 무엇입니까? 답: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인스턴스 멤버 클래스는 바깥 클래스의 객체가 있어야 사용될 수 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정적 멤버 클래스는 바깥 클래스의 객체가 없어도 사용될 수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인스턴스 멤버 클래스 내부에는 바깥 클래스의 모든 필드와 메소드를 사용할 수 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정적 멤버 클래스 내부에는 바깥 클래스의 인스턴스 필드를 사용할 수 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로컬 클래스에 대한 설명으로 틀린 것은 무엇입니까? 답: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로컬 클래스는 메소드 내부에 선언된 클래스를 말한다.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로컬 클래스는 바깥 클래스의 필드와 메소드를 사용할 수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로컬 클래스는 static 키워드를 이용해서 정적 클래스로 만들 수 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final 특성을 가진 매개변수나 로컬 변수만 로컬 클래스 내부에서 사용할 수 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Action 인터페이스는 다음과 같이 work( ) 추상 메소드를 가지고 있습니다. ActionExample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클래스의 main( ) 메소드에서 Action의 익명 구현 객체를 만들어 실행 결과와 동일하게 나오도록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박스 안에 들어갈 코드를 작성해보세요.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327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ActionExample {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Action action = new Action() {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  <w:t xml:space="preserve">public void work() {</w:t>
      </w:r>
    </w:p>
    <w:p w:rsidR="00000000" w:rsidDel="00000000" w:rsidP="00000000" w:rsidRDefault="00000000" w:rsidRPr="00000000" w14:paraId="0000001A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System.out.println("복사를 합니다.");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action.work();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AnonymousExample 클래스의 실행 결과를 보고, Vehicle 인터페이스의 익명 구현 객체를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필드와 로컬 변수의 초기값 그리고 메소드의 매개값으로 대입해보세요.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836138" cy="106636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138" cy="106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78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121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답: </w:t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Anonymous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Vehicle field = new Vehicle()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@Override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public void run() 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System.out.println("자전거가 달립니다.");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method1() 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Vehicle localVar = new Vehicle()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@Override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public void run()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ab/>
              <w:t xml:space="preserve">System.out.println("승용차가 달립니다.");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localVar.run();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void method2(Vehicle v) 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v.run();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AnonymousExample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Anonymous anony = new Anonymous();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//익명 객체 필드 사용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anony.field.run();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//익명 객체 로컬변수 사용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anony.method1();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//익명 객체 매개값 사용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anony.method2(new Vehicle()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@Override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public void run()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ab/>
              <w:t xml:space="preserve">System.out.println("트럭이 달립니다.");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