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jc w:val="center"/>
      </w:pPr>
      <w:r>
        <w:rPr>
          <w:b/>
          <w:bCs/>
          <w:sz w:val="30"/>
          <w:szCs w:val="30"/>
        </w:rPr>
        <w:t xml:space="preserve">Informe de Revisión Previa al Envío — Accounting Forum</w:t>
      </w:r>
    </w:p>
    <w:p>
      <w:pPr>
        <w:spacing w:after="40"/>
        <w:jc w:val="center"/>
      </w:pPr>
      <w:r>
        <w:rPr>
          <w:i/>
          <w:iCs/>
          <w:sz w:val="19"/>
          <w:szCs w:val="19"/>
        </w:rPr>
        <w:t xml:space="preserve">«Business Valuation under Uncertainty: From Positivist Logic to Accounting Reasonableness»</w:t>
      </w:r>
    </w:p>
    <w:p>
      <w:pPr>
        <w:pBdr>
          <w:bottom w:val="single" w:color="999999" w:sz="6" w:space="8"/>
        </w:pBdr>
        <w:spacing w:after="240"/>
        <w:jc w:val="center"/>
      </w:pPr>
      <w:r>
        <w:rPr>
          <w:color w:val="555555"/>
          <w:sz w:val="17"/>
          <w:szCs w:val="17"/>
        </w:rPr>
        <w:t xml:space="preserve">Versión en inglés · 21 de septiembre de 2026</w:t>
      </w:r>
    </w:p>
    <w:p>
      <w:pPr>
        <w:pStyle w:val="Heading1"/>
        <w:spacing w:after="120" w:before="320"/>
      </w:pPr>
      <w:r>
        <w:t xml:space="preserve">Dictamen</w:t>
      </w:r>
    </w:p>
    <w:p>
      <w:pPr>
        <w:spacing w:after="130"/>
      </w:pPr>
      <w:r>
        <w:rPr>
          <w:b/>
          <w:bCs/>
          <w:sz w:val="19"/>
          <w:szCs w:val="19"/>
        </w:rPr>
        <w:t xml:space="preserve">No enviar en el estado actual. Calificación de preparación para Accounting Forum: 5,5 / 10.</w:t>
      </w:r>
    </w:p>
    <w:p>
      <w:pPr>
        <w:spacing w:after="130"/>
      </w:pPr>
      <w:r>
        <w:rPr>
          <w:sz w:val="19"/>
          <w:szCs w:val="19"/>
        </w:rPr>
        <w:t xml:space="preserve">La traducción es fluida y la correspondencia entre citas y referencias es completa. Sin embargo, el manuscrito presenta tres bloqueantes de envío, un error de cita sobre un artículo publicado en la propia revista destino, una probable atribución equivocada repetida cinco veces y la ausencia total de anclaje normativo en un artículo cuyo concepto central —la razonabilidad de las estimaciones— tiene definición técnica en las normas de información financiera y de auditoría. La revista declara que busca una contribución teórica clara más allá del contexto específico; ese es el criterio contra el que se evalúa este informe.</w:t>
      </w:r>
    </w:p>
    <w:p>
      <w:pPr>
        <w:pStyle w:val="Heading2"/>
        <w:spacing w:after="90" w:before="220"/>
      </w:pPr>
      <w:r>
        <w:t xml:space="preserve">Ficha del manuscrito</w:t>
      </w:r>
    </w:p>
    <w:tbl>
      <w:tblPr>
        <w:tblW w:type="dxa" w:w="9100"/>
        <w:tblBorders>
          <w:top w:val="single" w:color="999999" w:sz="2"/>
          <w:left w:val="single" w:color="999999" w:sz="2"/>
          <w:bottom w:val="single" w:color="999999" w:sz="2"/>
          <w:right w:val="single" w:color="999999" w:sz="2"/>
          <w:insideH w:val="single" w:color="999999" w:sz="2"/>
          <w:insideV w:val="single" w:color="999999" w:sz="2"/>
        </w:tblBorders>
      </w:tblPr>
      <w:tblGrid>
        <w:gridCol w:w="3600"/>
        <w:gridCol w:w="2000"/>
        <w:gridCol w:w="3500"/>
      </w:tblGrid>
      <w:tr>
        <w:trPr>
          <w:tblHeader/>
        </w:trPr>
        <w:tc>
          <w:tcPr>
            <w:tcW w:type="dxa" w:w="3600"/>
            <w:shd w:fill="434343" w:color="auto" w:val="clear"/>
            <w:tcMar>
              <w:top w:type="dxa" w:w="65"/>
              <w:left w:type="dxa" w:w="85"/>
              <w:bottom w:type="dxa" w:w="65"/>
              <w:right w:type="dxa" w:w="85"/>
            </w:tcMar>
            <w:vAlign w:val="center"/>
          </w:tcPr>
          <w:p>
            <w:pPr>
              <w:jc w:val="left"/>
            </w:pPr>
            <w:r>
              <w:rPr>
                <w:b/>
                <w:bCs/>
                <w:color w:val="FFFFFF"/>
                <w:sz w:val="16"/>
                <w:szCs w:val="16"/>
              </w:rPr>
              <w:t xml:space="preserve">Indicador</w:t>
            </w:r>
          </w:p>
        </w:tc>
        <w:tc>
          <w:tcPr>
            <w:tcW w:type="dxa" w:w="2000"/>
            <w:shd w:fill="434343" w:color="auto" w:val="clear"/>
            <w:tcMar>
              <w:top w:type="dxa" w:w="65"/>
              <w:left w:type="dxa" w:w="85"/>
              <w:bottom w:type="dxa" w:w="65"/>
              <w:right w:type="dxa" w:w="85"/>
            </w:tcMar>
            <w:vAlign w:val="center"/>
          </w:tcPr>
          <w:p>
            <w:pPr>
              <w:jc w:val="center"/>
            </w:pPr>
            <w:r>
              <w:rPr>
                <w:b/>
                <w:bCs/>
                <w:color w:val="FFFFFF"/>
                <w:sz w:val="16"/>
                <w:szCs w:val="16"/>
              </w:rPr>
              <w:t xml:space="preserve">Valor</w:t>
            </w:r>
          </w:p>
        </w:tc>
        <w:tc>
          <w:tcPr>
            <w:tcW w:type="dxa" w:w="3500"/>
            <w:shd w:fill="434343" w:color="auto" w:val="clear"/>
            <w:tcMar>
              <w:top w:type="dxa" w:w="65"/>
              <w:left w:type="dxa" w:w="85"/>
              <w:bottom w:type="dxa" w:w="65"/>
              <w:right w:type="dxa" w:w="85"/>
            </w:tcMar>
            <w:vAlign w:val="center"/>
          </w:tcPr>
          <w:p>
            <w:pPr>
              <w:jc w:val="left"/>
            </w:pPr>
            <w:r>
              <w:rPr>
                <w:b/>
                <w:bCs/>
                <w:color w:val="FFFFFF"/>
                <w:sz w:val="16"/>
                <w:szCs w:val="16"/>
              </w:rPr>
              <w:t xml:space="preserve">Lectura</w:t>
            </w:r>
          </w:p>
        </w:tc>
      </w:tr>
      <w:tr>
        <w:trPr>
          <w:cantSplit/>
        </w:trPr>
        <w:tc>
          <w:tcPr>
            <w:tcW w:type="dxa" w:w="3600"/>
            <w:shd w:fill="EFEFEF" w:color="auto" w:val="clear"/>
            <w:tcMar>
              <w:top w:type="dxa" w:w="65"/>
              <w:left w:type="dxa" w:w="85"/>
              <w:bottom w:type="dxa" w:w="65"/>
              <w:right w:type="dxa" w:w="85"/>
            </w:tcMar>
            <w:vAlign w:val="center"/>
          </w:tcPr>
          <w:p>
            <w:pPr>
              <w:jc w:val="left"/>
            </w:pPr>
            <w:r>
              <w:rPr>
                <w:b/>
                <w:bCs/>
                <w:color w:val="000000"/>
                <w:sz w:val="16"/>
                <w:szCs w:val="16"/>
              </w:rPr>
              <w:t xml:space="preserve">Extensión del cuerpo (sin referencias)</w:t>
            </w:r>
          </w:p>
        </w:tc>
        <w:tc>
          <w:tcPr>
            <w:tcW w:type="dxa" w:w="2000"/>
            <w:tcMar>
              <w:top w:type="dxa" w:w="65"/>
              <w:left w:type="dxa" w:w="85"/>
              <w:bottom w:type="dxa" w:w="65"/>
              <w:right w:type="dxa" w:w="85"/>
            </w:tcMar>
            <w:vAlign w:val="center"/>
          </w:tcPr>
          <w:p>
            <w:pPr>
              <w:jc w:val="center"/>
            </w:pPr>
            <w:r>
              <w:rPr>
                <w:color w:val="000000"/>
                <w:sz w:val="16"/>
                <w:szCs w:val="16"/>
              </w:rPr>
              <w:t xml:space="preserve">7.133 palabras</w:t>
            </w:r>
          </w:p>
        </w:tc>
        <w:tc>
          <w:tcPr>
            <w:tcW w:type="dxa" w:w="3500"/>
            <w:tcMar>
              <w:top w:type="dxa" w:w="65"/>
              <w:left w:type="dxa" w:w="85"/>
              <w:bottom w:type="dxa" w:w="65"/>
              <w:right w:type="dxa" w:w="85"/>
            </w:tcMar>
            <w:vAlign w:val="center"/>
          </w:tcPr>
          <w:p>
            <w:pPr>
              <w:jc w:val="left"/>
            </w:pPr>
            <w:r>
              <w:rPr>
                <w:color w:val="000000"/>
                <w:sz w:val="16"/>
                <w:szCs w:val="16"/>
              </w:rPr>
              <w:t xml:space="preserve">Holgada para un artículo conceptual</w:t>
            </w:r>
          </w:p>
        </w:tc>
      </w:tr>
      <w:tr>
        <w:trPr>
          <w:cantSplit/>
        </w:trPr>
        <w:tc>
          <w:tcPr>
            <w:tcW w:type="dxa" w:w="3600"/>
            <w:shd w:fill="EFEFEF" w:color="auto" w:val="clear"/>
            <w:tcMar>
              <w:top w:type="dxa" w:w="65"/>
              <w:left w:type="dxa" w:w="85"/>
              <w:bottom w:type="dxa" w:w="65"/>
              <w:right w:type="dxa" w:w="85"/>
            </w:tcMar>
            <w:vAlign w:val="center"/>
          </w:tcPr>
          <w:p>
            <w:pPr>
              <w:jc w:val="left"/>
            </w:pPr>
            <w:r>
              <w:rPr>
                <w:b/>
                <w:bCs/>
                <w:color w:val="000000"/>
                <w:sz w:val="16"/>
                <w:szCs w:val="16"/>
              </w:rPr>
              <w:t xml:space="preserve">Extensión total</w:t>
            </w:r>
          </w:p>
        </w:tc>
        <w:tc>
          <w:tcPr>
            <w:tcW w:type="dxa" w:w="2000"/>
            <w:tcMar>
              <w:top w:type="dxa" w:w="65"/>
              <w:left w:type="dxa" w:w="85"/>
              <w:bottom w:type="dxa" w:w="65"/>
              <w:right w:type="dxa" w:w="85"/>
            </w:tcMar>
            <w:vAlign w:val="center"/>
          </w:tcPr>
          <w:p>
            <w:pPr>
              <w:jc w:val="center"/>
            </w:pPr>
            <w:r>
              <w:rPr>
                <w:color w:val="000000"/>
                <w:sz w:val="16"/>
                <w:szCs w:val="16"/>
              </w:rPr>
              <w:t xml:space="preserve">7.592 palabras</w:t>
            </w:r>
          </w:p>
        </w:tc>
        <w:tc>
          <w:tcPr>
            <w:tcW w:type="dxa" w:w="3500"/>
            <w:tcMar>
              <w:top w:type="dxa" w:w="65"/>
              <w:left w:type="dxa" w:w="85"/>
              <w:bottom w:type="dxa" w:w="65"/>
              <w:right w:type="dxa" w:w="85"/>
            </w:tcMar>
            <w:vAlign w:val="center"/>
          </w:tcPr>
          <w:p>
            <w:pPr>
              <w:jc w:val="left"/>
            </w:pPr>
            <w:r>
              <w:rPr>
                <w:color w:val="000000"/>
                <w:sz w:val="16"/>
                <w:szCs w:val="16"/>
              </w:rPr>
              <w:t xml:space="preserve">—</w:t>
            </w:r>
          </w:p>
        </w:tc>
      </w:tr>
      <w:tr>
        <w:trPr>
          <w:cantSplit/>
        </w:trPr>
        <w:tc>
          <w:tcPr>
            <w:tcW w:type="dxa" w:w="3600"/>
            <w:shd w:fill="EFEFEF" w:color="auto" w:val="clear"/>
            <w:tcMar>
              <w:top w:type="dxa" w:w="65"/>
              <w:left w:type="dxa" w:w="85"/>
              <w:bottom w:type="dxa" w:w="65"/>
              <w:right w:type="dxa" w:w="85"/>
            </w:tcMar>
            <w:vAlign w:val="center"/>
          </w:tcPr>
          <w:p>
            <w:pPr>
              <w:jc w:val="left"/>
            </w:pPr>
            <w:r>
              <w:rPr>
                <w:b/>
                <w:bCs/>
                <w:color w:val="000000"/>
                <w:sz w:val="16"/>
                <w:szCs w:val="16"/>
              </w:rPr>
              <w:t xml:space="preserve">Resumen</w:t>
            </w:r>
          </w:p>
        </w:tc>
        <w:tc>
          <w:tcPr>
            <w:tcW w:type="dxa" w:w="2000"/>
            <w:tcMar>
              <w:top w:type="dxa" w:w="65"/>
              <w:left w:type="dxa" w:w="85"/>
              <w:bottom w:type="dxa" w:w="65"/>
              <w:right w:type="dxa" w:w="85"/>
            </w:tcMar>
            <w:vAlign w:val="center"/>
          </w:tcPr>
          <w:p>
            <w:pPr>
              <w:jc w:val="center"/>
            </w:pPr>
            <w:r>
              <w:rPr>
                <w:color w:val="000000"/>
                <w:sz w:val="16"/>
                <w:szCs w:val="16"/>
              </w:rPr>
              <w:t xml:space="preserve">193 palabras</w:t>
            </w:r>
          </w:p>
        </w:tc>
        <w:tc>
          <w:tcPr>
            <w:tcW w:type="dxa" w:w="3500"/>
            <w:tcMar>
              <w:top w:type="dxa" w:w="65"/>
              <w:left w:type="dxa" w:w="85"/>
              <w:bottom w:type="dxa" w:w="65"/>
              <w:right w:type="dxa" w:w="85"/>
            </w:tcMar>
            <w:vAlign w:val="center"/>
          </w:tcPr>
          <w:p>
            <w:pPr>
              <w:jc w:val="left"/>
            </w:pPr>
            <w:r>
              <w:rPr>
                <w:color w:val="000000"/>
                <w:sz w:val="16"/>
                <w:szCs w:val="16"/>
              </w:rPr>
              <w:t xml:space="preserve">Probablemente dentro del límite; confirmar en las instrucciones de la revista</w:t>
            </w:r>
          </w:p>
        </w:tc>
      </w:tr>
      <w:tr>
        <w:trPr>
          <w:cantSplit/>
        </w:trPr>
        <w:tc>
          <w:tcPr>
            <w:tcW w:type="dxa" w:w="3600"/>
            <w:shd w:fill="EFEFEF" w:color="auto" w:val="clear"/>
            <w:tcMar>
              <w:top w:type="dxa" w:w="65"/>
              <w:left w:type="dxa" w:w="85"/>
              <w:bottom w:type="dxa" w:w="65"/>
              <w:right w:type="dxa" w:w="85"/>
            </w:tcMar>
            <w:vAlign w:val="center"/>
          </w:tcPr>
          <w:p>
            <w:pPr>
              <w:jc w:val="left"/>
            </w:pPr>
            <w:r>
              <w:rPr>
                <w:b/>
                <w:bCs/>
                <w:color w:val="000000"/>
                <w:sz w:val="16"/>
                <w:szCs w:val="16"/>
              </w:rPr>
              <w:t xml:space="preserve">Palabras clave</w:t>
            </w:r>
          </w:p>
        </w:tc>
        <w:tc>
          <w:tcPr>
            <w:tcW w:type="dxa" w:w="2000"/>
            <w:tcMar>
              <w:top w:type="dxa" w:w="65"/>
              <w:left w:type="dxa" w:w="85"/>
              <w:bottom w:type="dxa" w:w="65"/>
              <w:right w:type="dxa" w:w="85"/>
            </w:tcMar>
            <w:vAlign w:val="center"/>
          </w:tcPr>
          <w:p>
            <w:pPr>
              <w:jc w:val="center"/>
            </w:pPr>
            <w:r>
              <w:rPr>
                <w:color w:val="000000"/>
                <w:sz w:val="16"/>
                <w:szCs w:val="16"/>
              </w:rPr>
              <w:t xml:space="preserve">6</w:t>
            </w:r>
          </w:p>
        </w:tc>
        <w:tc>
          <w:tcPr>
            <w:tcW w:type="dxa" w:w="3500"/>
            <w:tcMar>
              <w:top w:type="dxa" w:w="65"/>
              <w:left w:type="dxa" w:w="85"/>
              <w:bottom w:type="dxa" w:w="65"/>
              <w:right w:type="dxa" w:w="85"/>
            </w:tcMar>
            <w:vAlign w:val="center"/>
          </w:tcPr>
          <w:p>
            <w:pPr>
              <w:jc w:val="left"/>
            </w:pPr>
            <w:r>
              <w:rPr>
                <w:color w:val="000000"/>
                <w:sz w:val="16"/>
                <w:szCs w:val="16"/>
              </w:rPr>
              <w:t xml:space="preserve">Adecuado</w:t>
            </w:r>
          </w:p>
        </w:tc>
      </w:tr>
      <w:tr>
        <w:trPr>
          <w:cantSplit/>
        </w:trPr>
        <w:tc>
          <w:tcPr>
            <w:tcW w:type="dxa" w:w="3600"/>
            <w:shd w:fill="EFEFEF" w:color="auto" w:val="clear"/>
            <w:tcMar>
              <w:top w:type="dxa" w:w="65"/>
              <w:left w:type="dxa" w:w="85"/>
              <w:bottom w:type="dxa" w:w="65"/>
              <w:right w:type="dxa" w:w="85"/>
            </w:tcMar>
            <w:vAlign w:val="center"/>
          </w:tcPr>
          <w:p>
            <w:pPr>
              <w:jc w:val="left"/>
            </w:pPr>
            <w:r>
              <w:rPr>
                <w:b/>
                <w:bCs/>
                <w:color w:val="000000"/>
                <w:sz w:val="16"/>
                <w:szCs w:val="16"/>
              </w:rPr>
              <w:t xml:space="preserve">Referencias</w:t>
            </w:r>
          </w:p>
        </w:tc>
        <w:tc>
          <w:tcPr>
            <w:tcW w:type="dxa" w:w="2000"/>
            <w:tcMar>
              <w:top w:type="dxa" w:w="65"/>
              <w:left w:type="dxa" w:w="85"/>
              <w:bottom w:type="dxa" w:w="65"/>
              <w:right w:type="dxa" w:w="85"/>
            </w:tcMar>
            <w:vAlign w:val="center"/>
          </w:tcPr>
          <w:p>
            <w:pPr>
              <w:jc w:val="center"/>
            </w:pPr>
            <w:r>
              <w:rPr>
                <w:color w:val="000000"/>
                <w:sz w:val="16"/>
                <w:szCs w:val="16"/>
              </w:rPr>
              <w:t xml:space="preserve">26</w:t>
            </w:r>
          </w:p>
        </w:tc>
        <w:tc>
          <w:tcPr>
            <w:tcW w:type="dxa" w:w="3500"/>
            <w:tcMar>
              <w:top w:type="dxa" w:w="65"/>
              <w:left w:type="dxa" w:w="85"/>
              <w:bottom w:type="dxa" w:w="65"/>
              <w:right w:type="dxa" w:w="85"/>
            </w:tcMar>
            <w:vAlign w:val="center"/>
          </w:tcPr>
          <w:p>
            <w:pPr>
              <w:jc w:val="left"/>
            </w:pPr>
            <w:r>
              <w:rPr>
                <w:color w:val="000000"/>
                <w:sz w:val="16"/>
                <w:szCs w:val="16"/>
              </w:rPr>
              <w:t xml:space="preserve">Base reducida para un Q1 conceptual</w:t>
            </w:r>
          </w:p>
        </w:tc>
      </w:tr>
      <w:tr>
        <w:trPr>
          <w:cantSplit/>
        </w:trPr>
        <w:tc>
          <w:tcPr>
            <w:tcW w:type="dxa" w:w="3600"/>
            <w:shd w:fill="EFEFEF" w:color="auto" w:val="clear"/>
            <w:tcMar>
              <w:top w:type="dxa" w:w="65"/>
              <w:left w:type="dxa" w:w="85"/>
              <w:bottom w:type="dxa" w:w="65"/>
              <w:right w:type="dxa" w:w="85"/>
            </w:tcMar>
            <w:vAlign w:val="center"/>
          </w:tcPr>
          <w:p>
            <w:pPr>
              <w:jc w:val="left"/>
            </w:pPr>
            <w:r>
              <w:rPr>
                <w:b/>
                <w:bCs/>
                <w:color w:val="000000"/>
                <w:sz w:val="16"/>
                <w:szCs w:val="16"/>
              </w:rPr>
              <w:t xml:space="preserve">Referencias 2015–2026</w:t>
            </w:r>
          </w:p>
        </w:tc>
        <w:tc>
          <w:tcPr>
            <w:tcW w:type="dxa" w:w="2000"/>
            <w:tcMar>
              <w:top w:type="dxa" w:w="65"/>
              <w:left w:type="dxa" w:w="85"/>
              <w:bottom w:type="dxa" w:w="65"/>
              <w:right w:type="dxa" w:w="85"/>
            </w:tcMar>
            <w:vAlign w:val="center"/>
          </w:tcPr>
          <w:p>
            <w:pPr>
              <w:jc w:val="center"/>
            </w:pPr>
            <w:r>
              <w:rPr>
                <w:color w:val="000000"/>
                <w:sz w:val="16"/>
                <w:szCs w:val="16"/>
              </w:rPr>
              <w:t xml:space="preserve">2 (7,7 %)</w:t>
            </w:r>
          </w:p>
        </w:tc>
        <w:tc>
          <w:tcPr>
            <w:tcW w:type="dxa" w:w="3500"/>
            <w:tcMar>
              <w:top w:type="dxa" w:w="65"/>
              <w:left w:type="dxa" w:w="85"/>
              <w:bottom w:type="dxa" w:w="65"/>
              <w:right w:type="dxa" w:w="85"/>
            </w:tcMar>
            <w:vAlign w:val="center"/>
          </w:tcPr>
          <w:p>
            <w:pPr>
              <w:jc w:val="left"/>
            </w:pPr>
            <w:r>
              <w:rPr>
                <w:color w:val="000000"/>
                <w:sz w:val="16"/>
                <w:szCs w:val="16"/>
              </w:rPr>
              <w:t xml:space="preserve">Sin cambio desde la primera versión en español</w:t>
            </w:r>
          </w:p>
        </w:tc>
      </w:tr>
      <w:tr>
        <w:trPr>
          <w:cantSplit/>
        </w:trPr>
        <w:tc>
          <w:tcPr>
            <w:tcW w:type="dxa" w:w="3600"/>
            <w:shd w:fill="EFEFEF" w:color="auto" w:val="clear"/>
            <w:tcMar>
              <w:top w:type="dxa" w:w="65"/>
              <w:left w:type="dxa" w:w="85"/>
              <w:bottom w:type="dxa" w:w="65"/>
              <w:right w:type="dxa" w:w="85"/>
            </w:tcMar>
            <w:vAlign w:val="center"/>
          </w:tcPr>
          <w:p>
            <w:pPr>
              <w:jc w:val="left"/>
            </w:pPr>
            <w:r>
              <w:rPr>
                <w:b/>
                <w:bCs/>
                <w:color w:val="000000"/>
                <w:sz w:val="16"/>
                <w:szCs w:val="16"/>
              </w:rPr>
              <w:t xml:space="preserve">Referencias con DOI</w:t>
            </w:r>
          </w:p>
        </w:tc>
        <w:tc>
          <w:tcPr>
            <w:tcW w:type="dxa" w:w="2000"/>
            <w:tcMar>
              <w:top w:type="dxa" w:w="65"/>
              <w:left w:type="dxa" w:w="85"/>
              <w:bottom w:type="dxa" w:w="65"/>
              <w:right w:type="dxa" w:w="85"/>
            </w:tcMar>
            <w:vAlign w:val="center"/>
          </w:tcPr>
          <w:p>
            <w:pPr>
              <w:jc w:val="center"/>
            </w:pPr>
            <w:r>
              <w:rPr>
                <w:color w:val="000000"/>
                <w:sz w:val="16"/>
                <w:szCs w:val="16"/>
              </w:rPr>
              <w:t xml:space="preserve">4 de 26</w:t>
            </w:r>
          </w:p>
        </w:tc>
        <w:tc>
          <w:tcPr>
            <w:tcW w:type="dxa" w:w="3500"/>
            <w:tcMar>
              <w:top w:type="dxa" w:w="65"/>
              <w:left w:type="dxa" w:w="85"/>
              <w:bottom w:type="dxa" w:w="65"/>
              <w:right w:type="dxa" w:w="85"/>
            </w:tcMar>
            <w:vAlign w:val="center"/>
          </w:tcPr>
          <w:p>
            <w:pPr>
              <w:jc w:val="left"/>
            </w:pPr>
            <w:r>
              <w:rPr>
                <w:color w:val="000000"/>
                <w:sz w:val="16"/>
                <w:szCs w:val="16"/>
              </w:rPr>
              <w:t xml:space="preserve">Insuficiente</w:t>
            </w:r>
          </w:p>
        </w:tc>
      </w:tr>
      <w:tr>
        <w:trPr>
          <w:cantSplit/>
        </w:trPr>
        <w:tc>
          <w:tcPr>
            <w:tcW w:type="dxa" w:w="3600"/>
            <w:shd w:fill="EFEFEF" w:color="auto" w:val="clear"/>
            <w:tcMar>
              <w:top w:type="dxa" w:w="65"/>
              <w:left w:type="dxa" w:w="85"/>
              <w:bottom w:type="dxa" w:w="65"/>
              <w:right w:type="dxa" w:w="85"/>
            </w:tcMar>
            <w:vAlign w:val="center"/>
          </w:tcPr>
          <w:p>
            <w:pPr>
              <w:jc w:val="left"/>
            </w:pPr>
            <w:r>
              <w:rPr>
                <w:b/>
                <w:bCs/>
                <w:color w:val="000000"/>
                <w:sz w:val="16"/>
                <w:szCs w:val="16"/>
              </w:rPr>
              <w:t xml:space="preserve">Figuras / tablas / ecuaciones</w:t>
            </w:r>
          </w:p>
        </w:tc>
        <w:tc>
          <w:tcPr>
            <w:tcW w:type="dxa" w:w="2000"/>
            <w:tcMar>
              <w:top w:type="dxa" w:w="65"/>
              <w:left w:type="dxa" w:w="85"/>
              <w:bottom w:type="dxa" w:w="65"/>
              <w:right w:type="dxa" w:w="85"/>
            </w:tcMar>
            <w:vAlign w:val="center"/>
          </w:tcPr>
          <w:p>
            <w:pPr>
              <w:jc w:val="center"/>
            </w:pPr>
            <w:r>
              <w:rPr>
                <w:color w:val="000000"/>
                <w:sz w:val="16"/>
                <w:szCs w:val="16"/>
              </w:rPr>
              <w:t xml:space="preserve">0 / 1 / 0</w:t>
            </w:r>
          </w:p>
        </w:tc>
        <w:tc>
          <w:tcPr>
            <w:tcW w:type="dxa" w:w="3500"/>
            <w:tcMar>
              <w:top w:type="dxa" w:w="65"/>
              <w:left w:type="dxa" w:w="85"/>
              <w:bottom w:type="dxa" w:w="65"/>
              <w:right w:type="dxa" w:w="85"/>
            </w:tcMar>
            <w:vAlign w:val="center"/>
          </w:tcPr>
          <w:p>
            <w:pPr>
              <w:jc w:val="left"/>
            </w:pPr>
            <w:r>
              <w:rPr>
                <w:color w:val="000000"/>
                <w:sz w:val="16"/>
                <w:szCs w:val="16"/>
              </w:rPr>
              <w:t xml:space="preserve">Sin figura de síntesis del marco</w:t>
            </w:r>
          </w:p>
        </w:tc>
      </w:tr>
      <w:tr>
        <w:trPr>
          <w:cantSplit/>
        </w:trPr>
        <w:tc>
          <w:tcPr>
            <w:tcW w:type="dxa" w:w="3600"/>
            <w:shd w:fill="EFEFEF" w:color="auto" w:val="clear"/>
            <w:tcMar>
              <w:top w:type="dxa" w:w="65"/>
              <w:left w:type="dxa" w:w="85"/>
              <w:bottom w:type="dxa" w:w="65"/>
              <w:right w:type="dxa" w:w="85"/>
            </w:tcMar>
            <w:vAlign w:val="center"/>
          </w:tcPr>
          <w:p>
            <w:pPr>
              <w:jc w:val="left"/>
            </w:pPr>
            <w:r>
              <w:rPr>
                <w:b/>
                <w:bCs/>
                <w:color w:val="000000"/>
                <w:sz w:val="16"/>
                <w:szCs w:val="16"/>
              </w:rPr>
              <w:t xml:space="preserve">Citas a artículos de Accounting Forum</w:t>
            </w:r>
          </w:p>
        </w:tc>
        <w:tc>
          <w:tcPr>
            <w:tcW w:type="dxa" w:w="2000"/>
            <w:tcMar>
              <w:top w:type="dxa" w:w="65"/>
              <w:left w:type="dxa" w:w="85"/>
              <w:bottom w:type="dxa" w:w="65"/>
              <w:right w:type="dxa" w:w="85"/>
            </w:tcMar>
            <w:vAlign w:val="center"/>
          </w:tcPr>
          <w:p>
            <w:pPr>
              <w:jc w:val="center"/>
            </w:pPr>
            <w:r>
              <w:rPr>
                <w:color w:val="000000"/>
                <w:sz w:val="16"/>
                <w:szCs w:val="16"/>
              </w:rPr>
              <w:t xml:space="preserve">1 (con errores)</w:t>
            </w:r>
          </w:p>
        </w:tc>
        <w:tc>
          <w:tcPr>
            <w:tcW w:type="dxa" w:w="3500"/>
            <w:tcMar>
              <w:top w:type="dxa" w:w="65"/>
              <w:left w:type="dxa" w:w="85"/>
              <w:bottom w:type="dxa" w:w="65"/>
              <w:right w:type="dxa" w:w="85"/>
            </w:tcMar>
            <w:vAlign w:val="center"/>
          </w:tcPr>
          <w:p>
            <w:pPr>
              <w:jc w:val="left"/>
            </w:pPr>
            <w:r>
              <w:rPr>
                <w:color w:val="000000"/>
                <w:sz w:val="16"/>
                <w:szCs w:val="16"/>
              </w:rPr>
              <w:t xml:space="preserve">Diálogo mínimo con la revista destino</w:t>
            </w:r>
          </w:p>
        </w:tc>
      </w:tr>
      <w:tr>
        <w:trPr>
          <w:cantSplit/>
        </w:trPr>
        <w:tc>
          <w:tcPr>
            <w:tcW w:type="dxa" w:w="3600"/>
            <w:shd w:fill="EFEFEF" w:color="auto" w:val="clear"/>
            <w:tcMar>
              <w:top w:type="dxa" w:w="65"/>
              <w:left w:type="dxa" w:w="85"/>
              <w:bottom w:type="dxa" w:w="65"/>
              <w:right w:type="dxa" w:w="85"/>
            </w:tcMar>
            <w:vAlign w:val="center"/>
          </w:tcPr>
          <w:p>
            <w:pPr>
              <w:jc w:val="left"/>
            </w:pPr>
            <w:r>
              <w:rPr>
                <w:b/>
                <w:bCs/>
                <w:color w:val="000000"/>
                <w:sz w:val="16"/>
                <w:szCs w:val="16"/>
              </w:rPr>
              <w:t xml:space="preserve">Correspondencia citas ↔ referencias</w:t>
            </w:r>
          </w:p>
        </w:tc>
        <w:tc>
          <w:tcPr>
            <w:tcW w:type="dxa" w:w="2000"/>
            <w:tcMar>
              <w:top w:type="dxa" w:w="65"/>
              <w:left w:type="dxa" w:w="85"/>
              <w:bottom w:type="dxa" w:w="65"/>
              <w:right w:type="dxa" w:w="85"/>
            </w:tcMar>
            <w:vAlign w:val="center"/>
          </w:tcPr>
          <w:p>
            <w:pPr>
              <w:jc w:val="center"/>
            </w:pPr>
            <w:r>
              <w:rPr>
                <w:color w:val="000000"/>
                <w:sz w:val="16"/>
                <w:szCs w:val="16"/>
              </w:rPr>
              <w:t xml:space="preserve">26/26, sin huérfanas</w:t>
            </w:r>
          </w:p>
        </w:tc>
        <w:tc>
          <w:tcPr>
            <w:tcW w:type="dxa" w:w="3500"/>
            <w:tcMar>
              <w:top w:type="dxa" w:w="65"/>
              <w:left w:type="dxa" w:w="85"/>
              <w:bottom w:type="dxa" w:w="65"/>
              <w:right w:type="dxa" w:w="85"/>
            </w:tcMar>
            <w:vAlign w:val="center"/>
          </w:tcPr>
          <w:p>
            <w:pPr>
              <w:jc w:val="left"/>
            </w:pPr>
            <w:r>
              <w:rPr>
                <w:color w:val="000000"/>
                <w:sz w:val="16"/>
                <w:szCs w:val="16"/>
              </w:rPr>
              <w:t xml:space="preserve">Correcta</w:t>
            </w:r>
          </w:p>
        </w:tc>
      </w:tr>
    </w:tbl>
    <w:p>
      <w:pPr>
        <w:spacing w:after="120"/>
      </w:pPr>
    </w:p>
    <w:p>
      <w:pPr>
        <w:spacing w:after="80" w:before="60"/>
      </w:pPr>
      <w:r>
        <w:rPr>
          <w:b/>
          <w:bCs/>
          <w:sz w:val="19"/>
          <w:szCs w:val="19"/>
        </w:rPr>
        <w:t xml:space="preserve">Leyenda de prioridades</w:t>
      </w:r>
    </w:p>
    <w:tbl>
      <w:tblPr>
        <w:tblW w:type="dxa" w:w="9100"/>
        <w:tblBorders>
          <w:top w:val="single" w:color="999999" w:sz="2"/>
          <w:left w:val="single" w:color="999999" w:sz="2"/>
          <w:bottom w:val="single" w:color="999999" w:sz="2"/>
          <w:right w:val="single" w:color="999999" w:sz="2"/>
          <w:insideH w:val="single" w:color="999999" w:sz="2"/>
          <w:insideV w:val="single" w:color="999999" w:sz="2"/>
        </w:tblBorders>
      </w:tblPr>
      <w:tblGrid>
        <w:gridCol w:w="1820"/>
        <w:gridCol w:w="1820"/>
        <w:gridCol w:w="1820"/>
        <w:gridCol w:w="1820"/>
        <w:gridCol w:w="1820"/>
      </w:tblGrid>
      <w:tr>
        <w:tc>
          <w:tcPr>
            <w:tcW w:type="dxa" w:w="1820"/>
            <w:shd w:fill="D9D2E9" w:color="auto" w:val="clear"/>
            <w:tcMar>
              <w:top w:type="dxa" w:w="65"/>
              <w:left w:type="dxa" w:w="85"/>
              <w:bottom w:type="dxa" w:w="65"/>
              <w:right w:type="dxa" w:w="85"/>
            </w:tcMar>
            <w:vAlign w:val="center"/>
          </w:tcPr>
          <w:p>
            <w:pPr>
              <w:jc w:val="center"/>
            </w:pPr>
            <w:r>
              <w:rPr>
                <w:b/>
                <w:bCs/>
                <w:color w:val="000000"/>
                <w:sz w:val="16"/>
                <w:szCs w:val="16"/>
              </w:rPr>
              <w:t xml:space="preserve">Bloqueante</w:t>
            </w:r>
          </w:p>
        </w:tc>
        <w:tc>
          <w:tcPr>
            <w:tcW w:type="dxa" w:w="1820"/>
            <w:shd w:fill="F4CCCC" w:color="auto" w:val="clear"/>
            <w:tcMar>
              <w:top w:type="dxa" w:w="65"/>
              <w:left w:type="dxa" w:w="85"/>
              <w:bottom w:type="dxa" w:w="65"/>
              <w:right w:type="dxa" w:w="85"/>
            </w:tcMar>
            <w:vAlign w:val="center"/>
          </w:tcPr>
          <w:p>
            <w:pPr>
              <w:jc w:val="center"/>
            </w:pPr>
            <w:r>
              <w:rPr>
                <w:b/>
                <w:bCs/>
                <w:color w:val="000000"/>
                <w:sz w:val="16"/>
                <w:szCs w:val="16"/>
              </w:rPr>
              <w:t xml:space="preserve">Crítica</w:t>
            </w:r>
          </w:p>
        </w:tc>
        <w:tc>
          <w:tcPr>
            <w:tcW w:type="dxa" w:w="1820"/>
            <w:shd w:fill="FCE5CD" w:color="auto" w:val="clear"/>
            <w:tcMar>
              <w:top w:type="dxa" w:w="65"/>
              <w:left w:type="dxa" w:w="85"/>
              <w:bottom w:type="dxa" w:w="65"/>
              <w:right w:type="dxa" w:w="85"/>
            </w:tcMar>
            <w:vAlign w:val="center"/>
          </w:tcPr>
          <w:p>
            <w:pPr>
              <w:jc w:val="center"/>
            </w:pPr>
            <w:r>
              <w:rPr>
                <w:b/>
                <w:bCs/>
                <w:color w:val="000000"/>
                <w:sz w:val="16"/>
                <w:szCs w:val="16"/>
              </w:rPr>
              <w:t xml:space="preserve">Alta</w:t>
            </w:r>
          </w:p>
        </w:tc>
        <w:tc>
          <w:tcPr>
            <w:tcW w:type="dxa" w:w="1820"/>
            <w:shd w:fill="FFF2CC" w:color="auto" w:val="clear"/>
            <w:tcMar>
              <w:top w:type="dxa" w:w="65"/>
              <w:left w:type="dxa" w:w="85"/>
              <w:bottom w:type="dxa" w:w="65"/>
              <w:right w:type="dxa" w:w="85"/>
            </w:tcMar>
            <w:vAlign w:val="center"/>
          </w:tcPr>
          <w:p>
            <w:pPr>
              <w:jc w:val="center"/>
            </w:pPr>
            <w:r>
              <w:rPr>
                <w:b/>
                <w:bCs/>
                <w:color w:val="000000"/>
                <w:sz w:val="16"/>
                <w:szCs w:val="16"/>
              </w:rPr>
              <w:t xml:space="preserve">Media</w:t>
            </w:r>
          </w:p>
        </w:tc>
        <w:tc>
          <w:tcPr>
            <w:tcW w:type="dxa" w:w="1820"/>
            <w:shd w:fill="EAEAEA" w:color="auto" w:val="clear"/>
            <w:tcMar>
              <w:top w:type="dxa" w:w="65"/>
              <w:left w:type="dxa" w:w="85"/>
              <w:bottom w:type="dxa" w:w="65"/>
              <w:right w:type="dxa" w:w="85"/>
            </w:tcMar>
            <w:vAlign w:val="center"/>
          </w:tcPr>
          <w:p>
            <w:pPr>
              <w:jc w:val="center"/>
            </w:pPr>
            <w:r>
              <w:rPr>
                <w:b/>
                <w:bCs/>
                <w:color w:val="000000"/>
                <w:sz w:val="16"/>
                <w:szCs w:val="16"/>
              </w:rPr>
              <w:t xml:space="preserve">Baja</w:t>
            </w:r>
          </w:p>
        </w:tc>
      </w:tr>
    </w:tbl>
    <w:p>
      <w:pPr>
        <w:pStyle w:val="Heading1"/>
        <w:spacing w:after="120" w:before="320"/>
      </w:pPr>
      <w:r>
        <w:t xml:space="preserve">1. Requisitos de envío</w:t>
      </w:r>
    </w:p>
    <w:tbl>
      <w:tblPr>
        <w:tblW w:type="dxa" w:w="9100"/>
        <w:tblBorders>
          <w:top w:val="single" w:color="999999" w:sz="2"/>
          <w:left w:val="single" w:color="999999" w:sz="2"/>
          <w:bottom w:val="single" w:color="999999" w:sz="2"/>
          <w:right w:val="single" w:color="999999" w:sz="2"/>
          <w:insideH w:val="single" w:color="999999" w:sz="2"/>
          <w:insideV w:val="single" w:color="999999" w:sz="2"/>
        </w:tblBorders>
      </w:tblPr>
      <w:tblGrid>
        <w:gridCol w:w="420"/>
        <w:gridCol w:w="3000"/>
        <w:gridCol w:w="1350"/>
        <w:gridCol w:w="3130"/>
        <w:gridCol w:w="1200"/>
      </w:tblGrid>
      <w:tr>
        <w:trPr>
          <w:tblHeader/>
        </w:trPr>
        <w:tc>
          <w:tcPr>
            <w:tcW w:type="dxa" w:w="420"/>
            <w:shd w:fill="434343" w:color="auto" w:val="clear"/>
            <w:tcMar>
              <w:top w:type="dxa" w:w="65"/>
              <w:left w:type="dxa" w:w="85"/>
              <w:bottom w:type="dxa" w:w="65"/>
              <w:right w:type="dxa" w:w="85"/>
            </w:tcMar>
            <w:vAlign w:val="center"/>
          </w:tcPr>
          <w:p>
            <w:pPr>
              <w:jc w:val="center"/>
            </w:pPr>
            <w:r>
              <w:rPr>
                <w:b/>
                <w:bCs/>
                <w:color w:val="FFFFFF"/>
                <w:sz w:val="16"/>
                <w:szCs w:val="16"/>
              </w:rPr>
              <w:t xml:space="preserve">#</w:t>
            </w:r>
          </w:p>
        </w:tc>
        <w:tc>
          <w:tcPr>
            <w:tcW w:type="dxa" w:w="3000"/>
            <w:shd w:fill="434343" w:color="auto" w:val="clear"/>
            <w:tcMar>
              <w:top w:type="dxa" w:w="65"/>
              <w:left w:type="dxa" w:w="85"/>
              <w:bottom w:type="dxa" w:w="65"/>
              <w:right w:type="dxa" w:w="85"/>
            </w:tcMar>
            <w:vAlign w:val="center"/>
          </w:tcPr>
          <w:p>
            <w:pPr>
              <w:jc w:val="left"/>
            </w:pPr>
            <w:r>
              <w:rPr>
                <w:b/>
                <w:bCs/>
                <w:color w:val="FFFFFF"/>
                <w:sz w:val="16"/>
                <w:szCs w:val="16"/>
              </w:rPr>
              <w:t xml:space="preserve">Observación</w:t>
            </w:r>
          </w:p>
        </w:tc>
        <w:tc>
          <w:tcPr>
            <w:tcW w:type="dxa" w:w="1350"/>
            <w:shd w:fill="434343" w:color="auto" w:val="clear"/>
            <w:tcMar>
              <w:top w:type="dxa" w:w="65"/>
              <w:left w:type="dxa" w:w="85"/>
              <w:bottom w:type="dxa" w:w="65"/>
              <w:right w:type="dxa" w:w="85"/>
            </w:tcMar>
            <w:vAlign w:val="center"/>
          </w:tcPr>
          <w:p>
            <w:pPr>
              <w:jc w:val="left"/>
            </w:pPr>
            <w:r>
              <w:rPr>
                <w:b/>
                <w:bCs/>
                <w:color w:val="FFFFFF"/>
                <w:sz w:val="16"/>
                <w:szCs w:val="16"/>
              </w:rPr>
              <w:t xml:space="preserve">Ubicación</w:t>
            </w:r>
          </w:p>
        </w:tc>
        <w:tc>
          <w:tcPr>
            <w:tcW w:type="dxa" w:w="3130"/>
            <w:shd w:fill="434343" w:color="auto" w:val="clear"/>
            <w:tcMar>
              <w:top w:type="dxa" w:w="65"/>
              <w:left w:type="dxa" w:w="85"/>
              <w:bottom w:type="dxa" w:w="65"/>
              <w:right w:type="dxa" w:w="85"/>
            </w:tcMar>
            <w:vAlign w:val="center"/>
          </w:tcPr>
          <w:p>
            <w:pPr>
              <w:jc w:val="left"/>
            </w:pPr>
            <w:r>
              <w:rPr>
                <w:b/>
                <w:bCs/>
                <w:color w:val="FFFFFF"/>
                <w:sz w:val="16"/>
                <w:szCs w:val="16"/>
              </w:rPr>
              <w:t xml:space="preserve">Acción requerida</w:t>
            </w:r>
          </w:p>
        </w:tc>
        <w:tc>
          <w:tcPr>
            <w:tcW w:type="dxa" w:w="1200"/>
            <w:shd w:fill="434343" w:color="auto" w:val="clear"/>
            <w:tcMar>
              <w:top w:type="dxa" w:w="65"/>
              <w:left w:type="dxa" w:w="85"/>
              <w:bottom w:type="dxa" w:w="65"/>
              <w:right w:type="dxa" w:w="85"/>
            </w:tcMar>
            <w:vAlign w:val="center"/>
          </w:tcPr>
          <w:p>
            <w:pPr>
              <w:jc w:val="center"/>
            </w:pPr>
            <w:r>
              <w:rPr>
                <w:b/>
                <w:bCs/>
                <w:color w:val="FFFFFF"/>
                <w:sz w:val="16"/>
                <w:szCs w:val="16"/>
              </w:rPr>
              <w:t xml:space="preserve">Prioridad</w:t>
            </w:r>
          </w:p>
        </w:tc>
      </w:tr>
      <w:tr>
        <w:trPr>
          <w:cantSplit/>
        </w:trPr>
        <w:tc>
          <w:tcPr>
            <w:tcW w:type="dxa" w:w="420"/>
            <w:tcMar>
              <w:top w:type="dxa" w:w="65"/>
              <w:left w:type="dxa" w:w="85"/>
              <w:bottom w:type="dxa" w:w="65"/>
              <w:right w:type="dxa" w:w="85"/>
            </w:tcMar>
            <w:vAlign w:val="center"/>
          </w:tcPr>
          <w:p>
            <w:pPr>
              <w:jc w:val="center"/>
            </w:pPr>
            <w:r>
              <w:rPr>
                <w:b/>
                <w:bCs/>
                <w:color w:val="000000"/>
                <w:sz w:val="16"/>
                <w:szCs w:val="16"/>
              </w:rPr>
              <w:t xml:space="preserve">1</w:t>
            </w:r>
          </w:p>
        </w:tc>
        <w:tc>
          <w:tcPr>
            <w:tcW w:type="dxa" w:w="3000"/>
            <w:tcMar>
              <w:top w:type="dxa" w:w="65"/>
              <w:left w:type="dxa" w:w="85"/>
              <w:bottom w:type="dxa" w:w="65"/>
              <w:right w:type="dxa" w:w="85"/>
            </w:tcMar>
            <w:vAlign w:val="center"/>
          </w:tcPr>
          <w:p>
            <w:pPr>
              <w:jc w:val="left"/>
            </w:pPr>
            <w:r>
              <w:rPr>
                <w:color w:val="000000"/>
                <w:sz w:val="16"/>
                <w:szCs w:val="16"/>
              </w:rPr>
              <w:t xml:space="preserve">Autoría visible: nombres y ORCID de ambos autores en la primera página del manuscrito.</w:t>
            </w:r>
          </w:p>
        </w:tc>
        <w:tc>
          <w:tcPr>
            <w:tcW w:type="dxa" w:w="1350"/>
            <w:tcMar>
              <w:top w:type="dxa" w:w="65"/>
              <w:left w:type="dxa" w:w="85"/>
              <w:bottom w:type="dxa" w:w="65"/>
              <w:right w:type="dxa" w:w="85"/>
            </w:tcMar>
            <w:vAlign w:val="center"/>
          </w:tcPr>
          <w:p>
            <w:pPr>
              <w:jc w:val="left"/>
            </w:pPr>
            <w:r>
              <w:rPr>
                <w:color w:val="000000"/>
                <w:sz w:val="16"/>
                <w:szCs w:val="16"/>
              </w:rPr>
              <w:t xml:space="preserve">Portada</w:t>
            </w:r>
          </w:p>
        </w:tc>
        <w:tc>
          <w:tcPr>
            <w:tcW w:type="dxa" w:w="3130"/>
            <w:tcMar>
              <w:top w:type="dxa" w:w="65"/>
              <w:left w:type="dxa" w:w="85"/>
              <w:bottom w:type="dxa" w:w="65"/>
              <w:right w:type="dxa" w:w="85"/>
            </w:tcMar>
            <w:vAlign w:val="center"/>
          </w:tcPr>
          <w:p>
            <w:pPr>
              <w:jc w:val="left"/>
            </w:pPr>
            <w:r>
              <w:rPr>
                <w:color w:val="000000"/>
                <w:sz w:val="16"/>
                <w:szCs w:val="16"/>
              </w:rPr>
              <w:t xml:space="preserve">Preparar dos archivos: manuscrito anonimizado y página de título separada con autoría, afiliaciones y ORCID. Confirmar el modelo de revisión en las instrucciones de la revista.</w:t>
            </w:r>
          </w:p>
        </w:tc>
        <w:tc>
          <w:tcPr>
            <w:tcW w:type="dxa" w:w="1200"/>
            <w:shd w:fill="D9D2E9" w:color="auto" w:val="clear"/>
            <w:tcMar>
              <w:top w:type="dxa" w:w="65"/>
              <w:left w:type="dxa" w:w="85"/>
              <w:bottom w:type="dxa" w:w="65"/>
              <w:right w:type="dxa" w:w="85"/>
            </w:tcMar>
            <w:vAlign w:val="center"/>
          </w:tcPr>
          <w:p>
            <w:pPr>
              <w:jc w:val="center"/>
            </w:pPr>
            <w:r>
              <w:rPr>
                <w:b/>
                <w:bCs/>
                <w:color w:val="000000"/>
                <w:sz w:val="16"/>
                <w:szCs w:val="16"/>
              </w:rPr>
              <w:t xml:space="preserve">Bloqueante</w:t>
            </w:r>
          </w:p>
        </w:tc>
      </w:tr>
      <w:tr>
        <w:trPr>
          <w:cantSplit/>
        </w:trPr>
        <w:tc>
          <w:tcPr>
            <w:tcW w:type="dxa" w:w="420"/>
            <w:tcMar>
              <w:top w:type="dxa" w:w="65"/>
              <w:left w:type="dxa" w:w="85"/>
              <w:bottom w:type="dxa" w:w="65"/>
              <w:right w:type="dxa" w:w="85"/>
            </w:tcMar>
            <w:vAlign w:val="center"/>
          </w:tcPr>
          <w:p>
            <w:pPr>
              <w:jc w:val="center"/>
            </w:pPr>
            <w:r>
              <w:rPr>
                <w:b/>
                <w:bCs/>
                <w:color w:val="000000"/>
                <w:sz w:val="16"/>
                <w:szCs w:val="16"/>
              </w:rPr>
              <w:t xml:space="preserve">2</w:t>
            </w:r>
          </w:p>
        </w:tc>
        <w:tc>
          <w:tcPr>
            <w:tcW w:type="dxa" w:w="3000"/>
            <w:tcMar>
              <w:top w:type="dxa" w:w="65"/>
              <w:left w:type="dxa" w:w="85"/>
              <w:bottom w:type="dxa" w:w="65"/>
              <w:right w:type="dxa" w:w="85"/>
            </w:tcMar>
            <w:vAlign w:val="center"/>
          </w:tcPr>
          <w:p>
            <w:pPr>
              <w:jc w:val="left"/>
            </w:pPr>
            <w:r>
              <w:rPr>
                <w:color w:val="000000"/>
                <w:sz w:val="16"/>
                <w:szCs w:val="16"/>
              </w:rPr>
              <w:t xml:space="preserve">Metadatos con trazas: «lastModifiedBy» identifica a una autora y «description» registra «generated by python-docx».</w:t>
            </w:r>
          </w:p>
        </w:tc>
        <w:tc>
          <w:tcPr>
            <w:tcW w:type="dxa" w:w="1350"/>
            <w:tcMar>
              <w:top w:type="dxa" w:w="65"/>
              <w:left w:type="dxa" w:w="85"/>
              <w:bottom w:type="dxa" w:w="65"/>
              <w:right w:type="dxa" w:w="85"/>
            </w:tcMar>
            <w:vAlign w:val="center"/>
          </w:tcPr>
          <w:p>
            <w:pPr>
              <w:jc w:val="left"/>
            </w:pPr>
            <w:r>
              <w:rPr>
                <w:color w:val="000000"/>
                <w:sz w:val="16"/>
                <w:szCs w:val="16"/>
              </w:rPr>
              <w:t xml:space="preserve">Propiedades del archivo</w:t>
            </w:r>
          </w:p>
        </w:tc>
        <w:tc>
          <w:tcPr>
            <w:tcW w:type="dxa" w:w="3130"/>
            <w:tcMar>
              <w:top w:type="dxa" w:w="65"/>
              <w:left w:type="dxa" w:w="85"/>
              <w:bottom w:type="dxa" w:w="65"/>
              <w:right w:type="dxa" w:w="85"/>
            </w:tcMar>
            <w:vAlign w:val="center"/>
          </w:tcPr>
          <w:p>
            <w:pPr>
              <w:jc w:val="left"/>
            </w:pPr>
            <w:r>
              <w:rPr>
                <w:color w:val="000000"/>
                <w:sz w:val="16"/>
                <w:szCs w:val="16"/>
              </w:rPr>
              <w:t xml:space="preserve">Archivo › Información › Inspeccionar documento › Quitar información personal. La segunda traza, además, sugiere generación automatizada del documento.</w:t>
            </w:r>
          </w:p>
        </w:tc>
        <w:tc>
          <w:tcPr>
            <w:tcW w:type="dxa" w:w="1200"/>
            <w:shd w:fill="D9D2E9" w:color="auto" w:val="clear"/>
            <w:tcMar>
              <w:top w:type="dxa" w:w="65"/>
              <w:left w:type="dxa" w:w="85"/>
              <w:bottom w:type="dxa" w:w="65"/>
              <w:right w:type="dxa" w:w="85"/>
            </w:tcMar>
            <w:vAlign w:val="center"/>
          </w:tcPr>
          <w:p>
            <w:pPr>
              <w:jc w:val="center"/>
            </w:pPr>
            <w:r>
              <w:rPr>
                <w:b/>
                <w:bCs/>
                <w:color w:val="000000"/>
                <w:sz w:val="16"/>
                <w:szCs w:val="16"/>
              </w:rPr>
              <w:t xml:space="preserve">Bloqueante</w:t>
            </w:r>
          </w:p>
        </w:tc>
      </w:tr>
      <w:tr>
        <w:trPr>
          <w:cantSplit/>
        </w:trPr>
        <w:tc>
          <w:tcPr>
            <w:tcW w:type="dxa" w:w="420"/>
            <w:tcMar>
              <w:top w:type="dxa" w:w="65"/>
              <w:left w:type="dxa" w:w="85"/>
              <w:bottom w:type="dxa" w:w="65"/>
              <w:right w:type="dxa" w:w="85"/>
            </w:tcMar>
            <w:vAlign w:val="center"/>
          </w:tcPr>
          <w:p>
            <w:pPr>
              <w:jc w:val="center"/>
            </w:pPr>
            <w:r>
              <w:rPr>
                <w:b/>
                <w:bCs/>
                <w:color w:val="000000"/>
                <w:sz w:val="16"/>
                <w:szCs w:val="16"/>
              </w:rPr>
              <w:t xml:space="preserve">3</w:t>
            </w:r>
          </w:p>
        </w:tc>
        <w:tc>
          <w:tcPr>
            <w:tcW w:type="dxa" w:w="3000"/>
            <w:tcMar>
              <w:top w:type="dxa" w:w="65"/>
              <w:left w:type="dxa" w:w="85"/>
              <w:bottom w:type="dxa" w:w="65"/>
              <w:right w:type="dxa" w:w="85"/>
            </w:tcMar>
            <w:vAlign w:val="center"/>
          </w:tcPr>
          <w:p>
            <w:pPr>
              <w:jc w:val="left"/>
            </w:pPr>
            <w:r>
              <w:rPr>
                <w:color w:val="000000"/>
                <w:sz w:val="16"/>
                <w:szCs w:val="16"/>
              </w:rPr>
              <w:t xml:space="preserve">Declaración de uso de IA generativa ausente. La política de Taylor &amp; Francis exige declarar herramienta, versión, modo y motivo de uso, en Métodos o Agradecimientos.</w:t>
            </w:r>
          </w:p>
        </w:tc>
        <w:tc>
          <w:tcPr>
            <w:tcW w:type="dxa" w:w="1350"/>
            <w:tcMar>
              <w:top w:type="dxa" w:w="65"/>
              <w:left w:type="dxa" w:w="85"/>
              <w:bottom w:type="dxa" w:w="65"/>
              <w:right w:type="dxa" w:w="85"/>
            </w:tcMar>
            <w:vAlign w:val="center"/>
          </w:tcPr>
          <w:p>
            <w:pPr>
              <w:jc w:val="left"/>
            </w:pPr>
            <w:r>
              <w:rPr>
                <w:color w:val="000000"/>
                <w:sz w:val="16"/>
                <w:szCs w:val="16"/>
              </w:rPr>
              <w:t xml:space="preserve">Métodos o Agradecimientos</w:t>
            </w:r>
          </w:p>
        </w:tc>
        <w:tc>
          <w:tcPr>
            <w:tcW w:type="dxa" w:w="3130"/>
            <w:tcMar>
              <w:top w:type="dxa" w:w="65"/>
              <w:left w:type="dxa" w:w="85"/>
              <w:bottom w:type="dxa" w:w="65"/>
              <w:right w:type="dxa" w:w="85"/>
            </w:tcMar>
            <w:vAlign w:val="center"/>
          </w:tcPr>
          <w:p>
            <w:pPr>
              <w:jc w:val="left"/>
            </w:pPr>
            <w:r>
              <w:rPr>
                <w:color w:val="000000"/>
                <w:sz w:val="16"/>
                <w:szCs w:val="16"/>
              </w:rPr>
              <w:t xml:space="preserve">Si la traducción o la edición se apoyaron en IA generativa, incluir la declaración. Si no, T&amp;F recomienda declararlo expresamente.</w:t>
            </w:r>
          </w:p>
        </w:tc>
        <w:tc>
          <w:tcPr>
            <w:tcW w:type="dxa" w:w="1200"/>
            <w:shd w:fill="D9D2E9" w:color="auto" w:val="clear"/>
            <w:tcMar>
              <w:top w:type="dxa" w:w="65"/>
              <w:left w:type="dxa" w:w="85"/>
              <w:bottom w:type="dxa" w:w="65"/>
              <w:right w:type="dxa" w:w="85"/>
            </w:tcMar>
            <w:vAlign w:val="center"/>
          </w:tcPr>
          <w:p>
            <w:pPr>
              <w:jc w:val="center"/>
            </w:pPr>
            <w:r>
              <w:rPr>
                <w:b/>
                <w:bCs/>
                <w:color w:val="000000"/>
                <w:sz w:val="16"/>
                <w:szCs w:val="16"/>
              </w:rPr>
              <w:t xml:space="preserve">Bloqueante</w:t>
            </w:r>
          </w:p>
        </w:tc>
      </w:tr>
      <w:tr>
        <w:trPr>
          <w:cantSplit/>
        </w:trPr>
        <w:tc>
          <w:tcPr>
            <w:tcW w:type="dxa" w:w="420"/>
            <w:tcMar>
              <w:top w:type="dxa" w:w="65"/>
              <w:left w:type="dxa" w:w="85"/>
              <w:bottom w:type="dxa" w:w="65"/>
              <w:right w:type="dxa" w:w="85"/>
            </w:tcMar>
            <w:vAlign w:val="center"/>
          </w:tcPr>
          <w:p>
            <w:pPr>
              <w:jc w:val="center"/>
            </w:pPr>
            <w:r>
              <w:rPr>
                <w:b/>
                <w:bCs/>
                <w:color w:val="000000"/>
                <w:sz w:val="16"/>
                <w:szCs w:val="16"/>
              </w:rPr>
              <w:t xml:space="preserve">4</w:t>
            </w:r>
          </w:p>
        </w:tc>
        <w:tc>
          <w:tcPr>
            <w:tcW w:type="dxa" w:w="3000"/>
            <w:tcMar>
              <w:top w:type="dxa" w:w="65"/>
              <w:left w:type="dxa" w:w="85"/>
              <w:bottom w:type="dxa" w:w="65"/>
              <w:right w:type="dxa" w:w="85"/>
            </w:tcMar>
            <w:vAlign w:val="center"/>
          </w:tcPr>
          <w:p>
            <w:pPr>
              <w:jc w:val="left"/>
            </w:pPr>
            <w:r>
              <w:rPr>
                <w:color w:val="000000"/>
                <w:sz w:val="16"/>
                <w:szCs w:val="16"/>
              </w:rPr>
              <w:t xml:space="preserve">Jerarquía de títulos rota: la sección 2 es un párrafo en negrita y 2.1 es texto plano, mientras el resto usa estilos de título.</w:t>
            </w:r>
          </w:p>
        </w:tc>
        <w:tc>
          <w:tcPr>
            <w:tcW w:type="dxa" w:w="1350"/>
            <w:tcMar>
              <w:top w:type="dxa" w:w="65"/>
              <w:left w:type="dxa" w:w="85"/>
              <w:bottom w:type="dxa" w:w="65"/>
              <w:right w:type="dxa" w:w="85"/>
            </w:tcMar>
            <w:vAlign w:val="center"/>
          </w:tcPr>
          <w:p>
            <w:pPr>
              <w:jc w:val="left"/>
            </w:pPr>
            <w:r>
              <w:rPr>
                <w:color w:val="000000"/>
                <w:sz w:val="16"/>
                <w:szCs w:val="16"/>
              </w:rPr>
              <w:t xml:space="preserve">§2 y §2.1</w:t>
            </w:r>
          </w:p>
        </w:tc>
        <w:tc>
          <w:tcPr>
            <w:tcW w:type="dxa" w:w="3130"/>
            <w:tcMar>
              <w:top w:type="dxa" w:w="65"/>
              <w:left w:type="dxa" w:w="85"/>
              <w:bottom w:type="dxa" w:w="65"/>
              <w:right w:type="dxa" w:w="85"/>
            </w:tcMar>
            <w:vAlign w:val="center"/>
          </w:tcPr>
          <w:p>
            <w:pPr>
              <w:jc w:val="left"/>
            </w:pPr>
            <w:r>
              <w:rPr>
                <w:color w:val="000000"/>
                <w:sz w:val="16"/>
                <w:szCs w:val="16"/>
              </w:rPr>
              <w:t xml:space="preserve">Aplicar Título 1 a la sección 2 y Título 2 a 2.1, como en el resto del documento.</w:t>
            </w:r>
          </w:p>
        </w:tc>
        <w:tc>
          <w:tcPr>
            <w:tcW w:type="dxa" w:w="1200"/>
            <w:shd w:fill="FCE5CD" w:color="auto" w:val="clear"/>
            <w:tcMar>
              <w:top w:type="dxa" w:w="65"/>
              <w:left w:type="dxa" w:w="85"/>
              <w:bottom w:type="dxa" w:w="65"/>
              <w:right w:type="dxa" w:w="85"/>
            </w:tcMar>
            <w:vAlign w:val="center"/>
          </w:tcPr>
          <w:p>
            <w:pPr>
              <w:jc w:val="center"/>
            </w:pPr>
            <w:r>
              <w:rPr>
                <w:b/>
                <w:bCs/>
                <w:color w:val="000000"/>
                <w:sz w:val="16"/>
                <w:szCs w:val="16"/>
              </w:rPr>
              <w:t xml:space="preserve">Alta</w:t>
            </w:r>
          </w:p>
        </w:tc>
      </w:tr>
    </w:tbl>
    <w:p>
      <w:pPr>
        <w:pStyle w:val="Heading1"/>
        <w:spacing w:after="120" w:before="320"/>
      </w:pPr>
      <w:r>
        <w:t xml:space="preserve">2. Integridad académica y bibliográfica</w:t>
      </w:r>
    </w:p>
    <w:tbl>
      <w:tblPr>
        <w:tblW w:type="dxa" w:w="9100"/>
        <w:tblBorders>
          <w:top w:val="single" w:color="999999" w:sz="2"/>
          <w:left w:val="single" w:color="999999" w:sz="2"/>
          <w:bottom w:val="single" w:color="999999" w:sz="2"/>
          <w:right w:val="single" w:color="999999" w:sz="2"/>
          <w:insideH w:val="single" w:color="999999" w:sz="2"/>
          <w:insideV w:val="single" w:color="999999" w:sz="2"/>
        </w:tblBorders>
      </w:tblPr>
      <w:tblGrid>
        <w:gridCol w:w="420"/>
        <w:gridCol w:w="3000"/>
        <w:gridCol w:w="1350"/>
        <w:gridCol w:w="3130"/>
        <w:gridCol w:w="1200"/>
      </w:tblGrid>
      <w:tr>
        <w:trPr>
          <w:tblHeader/>
        </w:trPr>
        <w:tc>
          <w:tcPr>
            <w:tcW w:type="dxa" w:w="420"/>
            <w:shd w:fill="434343" w:color="auto" w:val="clear"/>
            <w:tcMar>
              <w:top w:type="dxa" w:w="65"/>
              <w:left w:type="dxa" w:w="85"/>
              <w:bottom w:type="dxa" w:w="65"/>
              <w:right w:type="dxa" w:w="85"/>
            </w:tcMar>
            <w:vAlign w:val="center"/>
          </w:tcPr>
          <w:p>
            <w:pPr>
              <w:jc w:val="center"/>
            </w:pPr>
            <w:r>
              <w:rPr>
                <w:b/>
                <w:bCs/>
                <w:color w:val="FFFFFF"/>
                <w:sz w:val="16"/>
                <w:szCs w:val="16"/>
              </w:rPr>
              <w:t xml:space="preserve">#</w:t>
            </w:r>
          </w:p>
        </w:tc>
        <w:tc>
          <w:tcPr>
            <w:tcW w:type="dxa" w:w="3000"/>
            <w:shd w:fill="434343" w:color="auto" w:val="clear"/>
            <w:tcMar>
              <w:top w:type="dxa" w:w="65"/>
              <w:left w:type="dxa" w:w="85"/>
              <w:bottom w:type="dxa" w:w="65"/>
              <w:right w:type="dxa" w:w="85"/>
            </w:tcMar>
            <w:vAlign w:val="center"/>
          </w:tcPr>
          <w:p>
            <w:pPr>
              <w:jc w:val="left"/>
            </w:pPr>
            <w:r>
              <w:rPr>
                <w:b/>
                <w:bCs/>
                <w:color w:val="FFFFFF"/>
                <w:sz w:val="16"/>
                <w:szCs w:val="16"/>
              </w:rPr>
              <w:t xml:space="preserve">Observación</w:t>
            </w:r>
          </w:p>
        </w:tc>
        <w:tc>
          <w:tcPr>
            <w:tcW w:type="dxa" w:w="1350"/>
            <w:shd w:fill="434343" w:color="auto" w:val="clear"/>
            <w:tcMar>
              <w:top w:type="dxa" w:w="65"/>
              <w:left w:type="dxa" w:w="85"/>
              <w:bottom w:type="dxa" w:w="65"/>
              <w:right w:type="dxa" w:w="85"/>
            </w:tcMar>
            <w:vAlign w:val="center"/>
          </w:tcPr>
          <w:p>
            <w:pPr>
              <w:jc w:val="left"/>
            </w:pPr>
            <w:r>
              <w:rPr>
                <w:b/>
                <w:bCs/>
                <w:color w:val="FFFFFF"/>
                <w:sz w:val="16"/>
                <w:szCs w:val="16"/>
              </w:rPr>
              <w:t xml:space="preserve">Ubicación</w:t>
            </w:r>
          </w:p>
        </w:tc>
        <w:tc>
          <w:tcPr>
            <w:tcW w:type="dxa" w:w="3130"/>
            <w:shd w:fill="434343" w:color="auto" w:val="clear"/>
            <w:tcMar>
              <w:top w:type="dxa" w:w="65"/>
              <w:left w:type="dxa" w:w="85"/>
              <w:bottom w:type="dxa" w:w="65"/>
              <w:right w:type="dxa" w:w="85"/>
            </w:tcMar>
            <w:vAlign w:val="center"/>
          </w:tcPr>
          <w:p>
            <w:pPr>
              <w:jc w:val="left"/>
            </w:pPr>
            <w:r>
              <w:rPr>
                <w:b/>
                <w:bCs/>
                <w:color w:val="FFFFFF"/>
                <w:sz w:val="16"/>
                <w:szCs w:val="16"/>
              </w:rPr>
              <w:t xml:space="preserve">Acción requerida</w:t>
            </w:r>
          </w:p>
        </w:tc>
        <w:tc>
          <w:tcPr>
            <w:tcW w:type="dxa" w:w="1200"/>
            <w:shd w:fill="434343" w:color="auto" w:val="clear"/>
            <w:tcMar>
              <w:top w:type="dxa" w:w="65"/>
              <w:left w:type="dxa" w:w="85"/>
              <w:bottom w:type="dxa" w:w="65"/>
              <w:right w:type="dxa" w:w="85"/>
            </w:tcMar>
            <w:vAlign w:val="center"/>
          </w:tcPr>
          <w:p>
            <w:pPr>
              <w:jc w:val="center"/>
            </w:pPr>
            <w:r>
              <w:rPr>
                <w:b/>
                <w:bCs/>
                <w:color w:val="FFFFFF"/>
                <w:sz w:val="16"/>
                <w:szCs w:val="16"/>
              </w:rPr>
              <w:t xml:space="preserve">Prioridad</w:t>
            </w:r>
          </w:p>
        </w:tc>
      </w:tr>
      <w:tr>
        <w:trPr>
          <w:cantSplit/>
        </w:trPr>
        <w:tc>
          <w:tcPr>
            <w:tcW w:type="dxa" w:w="420"/>
            <w:tcMar>
              <w:top w:type="dxa" w:w="65"/>
              <w:left w:type="dxa" w:w="85"/>
              <w:bottom w:type="dxa" w:w="65"/>
              <w:right w:type="dxa" w:w="85"/>
            </w:tcMar>
            <w:vAlign w:val="center"/>
          </w:tcPr>
          <w:p>
            <w:pPr>
              <w:jc w:val="center"/>
            </w:pPr>
            <w:r>
              <w:rPr>
                <w:b/>
                <w:bCs/>
                <w:color w:val="000000"/>
                <w:sz w:val="16"/>
                <w:szCs w:val="16"/>
              </w:rPr>
              <w:t xml:space="preserve">5</w:t>
            </w:r>
          </w:p>
        </w:tc>
        <w:tc>
          <w:tcPr>
            <w:tcW w:type="dxa" w:w="3000"/>
            <w:tcMar>
              <w:top w:type="dxa" w:w="65"/>
              <w:left w:type="dxa" w:w="85"/>
              <w:bottom w:type="dxa" w:w="65"/>
              <w:right w:type="dxa" w:w="85"/>
            </w:tcMar>
            <w:vAlign w:val="center"/>
          </w:tcPr>
          <w:p>
            <w:pPr>
              <w:jc w:val="left"/>
            </w:pPr>
            <w:r>
              <w:rPr>
                <w:color w:val="000000"/>
                <w:sz w:val="16"/>
                <w:szCs w:val="16"/>
              </w:rPr>
              <w:t xml:space="preserve">Cita errónea de un artículo publicado en la propia revista destino. Maroun (2022) omite al coautor van Zijl y consigna páginas 313–337; el registro publicado indica 215–240.</w:t>
            </w:r>
          </w:p>
        </w:tc>
        <w:tc>
          <w:tcPr>
            <w:tcW w:type="dxa" w:w="1350"/>
            <w:tcMar>
              <w:top w:type="dxa" w:w="65"/>
              <w:left w:type="dxa" w:w="85"/>
              <w:bottom w:type="dxa" w:w="65"/>
              <w:right w:type="dxa" w:w="85"/>
            </w:tcMar>
            <w:vAlign w:val="center"/>
          </w:tcPr>
          <w:p>
            <w:pPr>
              <w:jc w:val="left"/>
            </w:pPr>
            <w:r>
              <w:rPr>
                <w:color w:val="000000"/>
                <w:sz w:val="16"/>
                <w:szCs w:val="16"/>
              </w:rPr>
              <w:t xml:space="preserve">§1.1, §3.1, §3.3, Tabla 1 y Referencias</w:t>
            </w:r>
          </w:p>
        </w:tc>
        <w:tc>
          <w:tcPr>
            <w:tcW w:type="dxa" w:w="3130"/>
            <w:tcMar>
              <w:top w:type="dxa" w:w="65"/>
              <w:left w:type="dxa" w:w="85"/>
              <w:bottom w:type="dxa" w:w="65"/>
              <w:right w:type="dxa" w:w="85"/>
            </w:tcMar>
            <w:vAlign w:val="center"/>
          </w:tcPr>
          <w:p>
            <w:pPr>
              <w:jc w:val="left"/>
            </w:pPr>
            <w:r>
              <w:rPr>
                <w:color w:val="000000"/>
                <w:sz w:val="16"/>
                <w:szCs w:val="16"/>
              </w:rPr>
              <w:t xml:space="preserve">Corregir la entrada a «Maroun, W., &amp; van Zijl, W. (2022) … Accounting Forum, 46(3), 215–240» y las cuatro citas del cuerpo a «Maroun and van Zijl (2022)». Verificar el DOI.</w:t>
            </w:r>
          </w:p>
        </w:tc>
        <w:tc>
          <w:tcPr>
            <w:tcW w:type="dxa" w:w="1200"/>
            <w:shd w:fill="F4CCCC" w:color="auto" w:val="clear"/>
            <w:tcMar>
              <w:top w:type="dxa" w:w="65"/>
              <w:left w:type="dxa" w:w="85"/>
              <w:bottom w:type="dxa" w:w="65"/>
              <w:right w:type="dxa" w:w="85"/>
            </w:tcMar>
            <w:vAlign w:val="center"/>
          </w:tcPr>
          <w:p>
            <w:pPr>
              <w:jc w:val="center"/>
            </w:pPr>
            <w:r>
              <w:rPr>
                <w:b/>
                <w:bCs/>
                <w:color w:val="000000"/>
                <w:sz w:val="16"/>
                <w:szCs w:val="16"/>
              </w:rPr>
              <w:t xml:space="preserve">Crítica</w:t>
            </w:r>
          </w:p>
        </w:tc>
      </w:tr>
      <w:tr>
        <w:trPr>
          <w:cantSplit/>
        </w:trPr>
        <w:tc>
          <w:tcPr>
            <w:tcW w:type="dxa" w:w="420"/>
            <w:tcMar>
              <w:top w:type="dxa" w:w="65"/>
              <w:left w:type="dxa" w:w="85"/>
              <w:bottom w:type="dxa" w:w="65"/>
              <w:right w:type="dxa" w:w="85"/>
            </w:tcMar>
            <w:vAlign w:val="center"/>
          </w:tcPr>
          <w:p>
            <w:pPr>
              <w:jc w:val="center"/>
            </w:pPr>
            <w:r>
              <w:rPr>
                <w:b/>
                <w:bCs/>
                <w:color w:val="000000"/>
                <w:sz w:val="16"/>
                <w:szCs w:val="16"/>
              </w:rPr>
              <w:t xml:space="preserve">6</w:t>
            </w:r>
          </w:p>
        </w:tc>
        <w:tc>
          <w:tcPr>
            <w:tcW w:type="dxa" w:w="3000"/>
            <w:tcMar>
              <w:top w:type="dxa" w:w="65"/>
              <w:left w:type="dxa" w:w="85"/>
              <w:bottom w:type="dxa" w:w="65"/>
              <w:right w:type="dxa" w:w="85"/>
            </w:tcMar>
            <w:vAlign w:val="center"/>
          </w:tcPr>
          <w:p>
            <w:pPr>
              <w:jc w:val="left"/>
            </w:pPr>
            <w:r>
              <w:rPr>
                <w:color w:val="000000"/>
                <w:sz w:val="16"/>
                <w:szCs w:val="16"/>
              </w:rPr>
              <w:t xml:space="preserve">Atribución probablemente errónea: se atribuye cinco veces a Ijiri (1983) la tesis de que la contabilidad debe capturar el movimiento y no solo el estado. Esa idea corresponde a la contabilidad de momentum de Ijiri (1989); el trabajo de 1983 trata el marco conceptual basado en la rendición de cuentas.</w:t>
            </w:r>
          </w:p>
        </w:tc>
        <w:tc>
          <w:tcPr>
            <w:tcW w:type="dxa" w:w="1350"/>
            <w:tcMar>
              <w:top w:type="dxa" w:w="65"/>
              <w:left w:type="dxa" w:w="85"/>
              <w:bottom w:type="dxa" w:w="65"/>
              <w:right w:type="dxa" w:w="85"/>
            </w:tcMar>
            <w:vAlign w:val="center"/>
          </w:tcPr>
          <w:p>
            <w:pPr>
              <w:jc w:val="left"/>
            </w:pPr>
            <w:r>
              <w:rPr>
                <w:color w:val="000000"/>
                <w:sz w:val="16"/>
                <w:szCs w:val="16"/>
              </w:rPr>
              <w:t xml:space="preserve">§1.1, §3.1 (dos), §4, §7, §8</w:t>
            </w:r>
          </w:p>
        </w:tc>
        <w:tc>
          <w:tcPr>
            <w:tcW w:type="dxa" w:w="3130"/>
            <w:tcMar>
              <w:top w:type="dxa" w:w="65"/>
              <w:left w:type="dxa" w:w="85"/>
              <w:bottom w:type="dxa" w:w="65"/>
              <w:right w:type="dxa" w:w="85"/>
            </w:tcMar>
            <w:vAlign w:val="center"/>
          </w:tcPr>
          <w:p>
            <w:pPr>
              <w:jc w:val="left"/>
            </w:pPr>
            <w:r>
              <w:rPr>
                <w:color w:val="000000"/>
                <w:sz w:val="16"/>
                <w:szCs w:val="16"/>
              </w:rPr>
              <w:t xml:space="preserve">Consultar ambas obras y reasignar la cita. Revisar además la clasificación de Ijiri dentro de la «teoría contable interpretativa»: fue un defensor del costo histórico y de la objetividad, y un revisor especializado lo objetará.</w:t>
            </w:r>
          </w:p>
        </w:tc>
        <w:tc>
          <w:tcPr>
            <w:tcW w:type="dxa" w:w="1200"/>
            <w:shd w:fill="F4CCCC" w:color="auto" w:val="clear"/>
            <w:tcMar>
              <w:top w:type="dxa" w:w="65"/>
              <w:left w:type="dxa" w:w="85"/>
              <w:bottom w:type="dxa" w:w="65"/>
              <w:right w:type="dxa" w:w="85"/>
            </w:tcMar>
            <w:vAlign w:val="center"/>
          </w:tcPr>
          <w:p>
            <w:pPr>
              <w:jc w:val="center"/>
            </w:pPr>
            <w:r>
              <w:rPr>
                <w:b/>
                <w:bCs/>
                <w:color w:val="000000"/>
                <w:sz w:val="16"/>
                <w:szCs w:val="16"/>
              </w:rPr>
              <w:t xml:space="preserve">Crítica</w:t>
            </w:r>
          </w:p>
        </w:tc>
      </w:tr>
      <w:tr>
        <w:trPr>
          <w:cantSplit/>
        </w:trPr>
        <w:tc>
          <w:tcPr>
            <w:tcW w:type="dxa" w:w="420"/>
            <w:tcMar>
              <w:top w:type="dxa" w:w="65"/>
              <w:left w:type="dxa" w:w="85"/>
              <w:bottom w:type="dxa" w:w="65"/>
              <w:right w:type="dxa" w:w="85"/>
            </w:tcMar>
            <w:vAlign w:val="center"/>
          </w:tcPr>
          <w:p>
            <w:pPr>
              <w:jc w:val="center"/>
            </w:pPr>
            <w:r>
              <w:rPr>
                <w:b/>
                <w:bCs/>
                <w:color w:val="000000"/>
                <w:sz w:val="16"/>
                <w:szCs w:val="16"/>
              </w:rPr>
              <w:t xml:space="preserve">7</w:t>
            </w:r>
          </w:p>
        </w:tc>
        <w:tc>
          <w:tcPr>
            <w:tcW w:type="dxa" w:w="3000"/>
            <w:tcMar>
              <w:top w:type="dxa" w:w="65"/>
              <w:left w:type="dxa" w:w="85"/>
              <w:bottom w:type="dxa" w:w="65"/>
              <w:right w:type="dxa" w:w="85"/>
            </w:tcMar>
            <w:vAlign w:val="center"/>
          </w:tcPr>
          <w:p>
            <w:pPr>
              <w:jc w:val="left"/>
            </w:pPr>
            <w:r>
              <w:rPr>
                <w:color w:val="000000"/>
                <w:sz w:val="16"/>
                <w:szCs w:val="16"/>
              </w:rPr>
              <w:t xml:space="preserve">Tres afirmaciones apoyadas en «investigación reciente» sin ninguna cita, justo en los puntos donde debería aparecer la literatura actual.</w:t>
            </w:r>
          </w:p>
        </w:tc>
        <w:tc>
          <w:tcPr>
            <w:tcW w:type="dxa" w:w="1350"/>
            <w:tcMar>
              <w:top w:type="dxa" w:w="65"/>
              <w:left w:type="dxa" w:w="85"/>
              <w:bottom w:type="dxa" w:w="65"/>
              <w:right w:type="dxa" w:w="85"/>
            </w:tcMar>
            <w:vAlign w:val="center"/>
          </w:tcPr>
          <w:p>
            <w:pPr>
              <w:jc w:val="left"/>
            </w:pPr>
            <w:r>
              <w:rPr>
                <w:color w:val="000000"/>
                <w:sz w:val="16"/>
                <w:szCs w:val="16"/>
              </w:rPr>
              <w:t xml:space="preserve">§1.1 («Contemporary research increasingly suggests»); §1.2 («supported by recent research»); §3.1 («Recent accounting literature»)</w:t>
            </w:r>
          </w:p>
        </w:tc>
        <w:tc>
          <w:tcPr>
            <w:tcW w:type="dxa" w:w="3130"/>
            <w:tcMar>
              <w:top w:type="dxa" w:w="65"/>
              <w:left w:type="dxa" w:w="85"/>
              <w:bottom w:type="dxa" w:w="65"/>
              <w:right w:type="dxa" w:w="85"/>
            </w:tcMar>
            <w:vAlign w:val="center"/>
          </w:tcPr>
          <w:p>
            <w:pPr>
              <w:jc w:val="left"/>
            </w:pPr>
            <w:r>
              <w:rPr>
                <w:color w:val="000000"/>
                <w:sz w:val="16"/>
                <w:szCs w:val="16"/>
              </w:rPr>
              <w:t xml:space="preserve">Respaldar cada afirmación con dos o tres referencias 2018–2026 o suprimirla.</w:t>
            </w:r>
          </w:p>
        </w:tc>
        <w:tc>
          <w:tcPr>
            <w:tcW w:type="dxa" w:w="1200"/>
            <w:shd w:fill="F4CCCC" w:color="auto" w:val="clear"/>
            <w:tcMar>
              <w:top w:type="dxa" w:w="65"/>
              <w:left w:type="dxa" w:w="85"/>
              <w:bottom w:type="dxa" w:w="65"/>
              <w:right w:type="dxa" w:w="85"/>
            </w:tcMar>
            <w:vAlign w:val="center"/>
          </w:tcPr>
          <w:p>
            <w:pPr>
              <w:jc w:val="center"/>
            </w:pPr>
            <w:r>
              <w:rPr>
                <w:b/>
                <w:bCs/>
                <w:color w:val="000000"/>
                <w:sz w:val="16"/>
                <w:szCs w:val="16"/>
              </w:rPr>
              <w:t xml:space="preserve">Crítica</w:t>
            </w:r>
          </w:p>
        </w:tc>
      </w:tr>
      <w:tr>
        <w:trPr>
          <w:cantSplit/>
        </w:trPr>
        <w:tc>
          <w:tcPr>
            <w:tcW w:type="dxa" w:w="420"/>
            <w:tcMar>
              <w:top w:type="dxa" w:w="65"/>
              <w:left w:type="dxa" w:w="85"/>
              <w:bottom w:type="dxa" w:w="65"/>
              <w:right w:type="dxa" w:w="85"/>
            </w:tcMar>
            <w:vAlign w:val="center"/>
          </w:tcPr>
          <w:p>
            <w:pPr>
              <w:jc w:val="center"/>
            </w:pPr>
            <w:r>
              <w:rPr>
                <w:b/>
                <w:bCs/>
                <w:color w:val="000000"/>
                <w:sz w:val="16"/>
                <w:szCs w:val="16"/>
              </w:rPr>
              <w:t xml:space="preserve">8</w:t>
            </w:r>
          </w:p>
        </w:tc>
        <w:tc>
          <w:tcPr>
            <w:tcW w:type="dxa" w:w="3000"/>
            <w:tcMar>
              <w:top w:type="dxa" w:w="65"/>
              <w:left w:type="dxa" w:w="85"/>
              <w:bottom w:type="dxa" w:w="65"/>
              <w:right w:type="dxa" w:w="85"/>
            </w:tcMar>
            <w:vAlign w:val="center"/>
          </w:tcPr>
          <w:p>
            <w:pPr>
              <w:jc w:val="left"/>
            </w:pPr>
            <w:r>
              <w:rPr>
                <w:color w:val="000000"/>
                <w:sz w:val="16"/>
                <w:szCs w:val="16"/>
              </w:rPr>
              <w:t xml:space="preserve">Obsolescencia bibliográfica: 2 de 26 referencias posteriores a 2015. El 65 % de las 122 menciones se concentra en siete obras anteriores a 2005 (Morin, Mattessich, Gil-Aluja, Ijiri, Prigogine, Knight, Keynes).</w:t>
            </w:r>
          </w:p>
        </w:tc>
        <w:tc>
          <w:tcPr>
            <w:tcW w:type="dxa" w:w="1350"/>
            <w:tcMar>
              <w:top w:type="dxa" w:w="65"/>
              <w:left w:type="dxa" w:w="85"/>
              <w:bottom w:type="dxa" w:w="65"/>
              <w:right w:type="dxa" w:w="85"/>
            </w:tcMar>
            <w:vAlign w:val="center"/>
          </w:tcPr>
          <w:p>
            <w:pPr>
              <w:jc w:val="left"/>
            </w:pPr>
            <w:r>
              <w:rPr>
                <w:color w:val="000000"/>
                <w:sz w:val="16"/>
                <w:szCs w:val="16"/>
              </w:rPr>
              <w:t xml:space="preserve">Global</w:t>
            </w:r>
          </w:p>
        </w:tc>
        <w:tc>
          <w:tcPr>
            <w:tcW w:type="dxa" w:w="3130"/>
            <w:tcMar>
              <w:top w:type="dxa" w:w="65"/>
              <w:left w:type="dxa" w:w="85"/>
              <w:bottom w:type="dxa" w:w="65"/>
              <w:right w:type="dxa" w:w="85"/>
            </w:tcMar>
            <w:vAlign w:val="center"/>
          </w:tcPr>
          <w:p>
            <w:pPr>
              <w:jc w:val="left"/>
            </w:pPr>
            <w:r>
              <w:rPr>
                <w:color w:val="000000"/>
                <w:sz w:val="16"/>
                <w:szCs w:val="16"/>
              </w:rPr>
              <w:t xml:space="preserve">Incorporar 8–10 referencias 2018–2026 integradas al argumento, no solo a la lista. Reducir invocaciones genéricas repetidas de los clásicos.</w:t>
            </w:r>
          </w:p>
        </w:tc>
        <w:tc>
          <w:tcPr>
            <w:tcW w:type="dxa" w:w="1200"/>
            <w:shd w:fill="F4CCCC" w:color="auto" w:val="clear"/>
            <w:tcMar>
              <w:top w:type="dxa" w:w="65"/>
              <w:left w:type="dxa" w:w="85"/>
              <w:bottom w:type="dxa" w:w="65"/>
              <w:right w:type="dxa" w:w="85"/>
            </w:tcMar>
            <w:vAlign w:val="center"/>
          </w:tcPr>
          <w:p>
            <w:pPr>
              <w:jc w:val="center"/>
            </w:pPr>
            <w:r>
              <w:rPr>
                <w:b/>
                <w:bCs/>
                <w:color w:val="000000"/>
                <w:sz w:val="16"/>
                <w:szCs w:val="16"/>
              </w:rPr>
              <w:t xml:space="preserve">Crítica</w:t>
            </w:r>
          </w:p>
        </w:tc>
      </w:tr>
      <w:tr>
        <w:trPr>
          <w:cantSplit/>
        </w:trPr>
        <w:tc>
          <w:tcPr>
            <w:tcW w:type="dxa" w:w="420"/>
            <w:tcMar>
              <w:top w:type="dxa" w:w="65"/>
              <w:left w:type="dxa" w:w="85"/>
              <w:bottom w:type="dxa" w:w="65"/>
              <w:right w:type="dxa" w:w="85"/>
            </w:tcMar>
            <w:vAlign w:val="center"/>
          </w:tcPr>
          <w:p>
            <w:pPr>
              <w:jc w:val="center"/>
            </w:pPr>
            <w:r>
              <w:rPr>
                <w:b/>
                <w:bCs/>
                <w:color w:val="000000"/>
                <w:sz w:val="16"/>
                <w:szCs w:val="16"/>
              </w:rPr>
              <w:t xml:space="preserve">9</w:t>
            </w:r>
          </w:p>
        </w:tc>
        <w:tc>
          <w:tcPr>
            <w:tcW w:type="dxa" w:w="3000"/>
            <w:tcMar>
              <w:top w:type="dxa" w:w="65"/>
              <w:left w:type="dxa" w:w="85"/>
              <w:bottom w:type="dxa" w:w="65"/>
              <w:right w:type="dxa" w:w="85"/>
            </w:tcMar>
            <w:vAlign w:val="center"/>
          </w:tcPr>
          <w:p>
            <w:pPr>
              <w:jc w:val="left"/>
            </w:pPr>
            <w:r>
              <w:rPr>
                <w:color w:val="000000"/>
                <w:sz w:val="16"/>
                <w:szCs w:val="16"/>
              </w:rPr>
              <w:t xml:space="preserve">Atribuciones de alcance dudoso a Mattessich (2003): se le atribuyen tesis sobre la razonabilidad y sobre la contabilidad como saber práctico. Su trabajo de 2003 defiende un realismo estratificado frente al hiperrealismo de Baudrillard.</w:t>
            </w:r>
          </w:p>
        </w:tc>
        <w:tc>
          <w:tcPr>
            <w:tcW w:type="dxa" w:w="1350"/>
            <w:tcMar>
              <w:top w:type="dxa" w:w="65"/>
              <w:left w:type="dxa" w:w="85"/>
              <w:bottom w:type="dxa" w:w="65"/>
              <w:right w:type="dxa" w:w="85"/>
            </w:tcMar>
            <w:vAlign w:val="center"/>
          </w:tcPr>
          <w:p>
            <w:pPr>
              <w:jc w:val="left"/>
            </w:pPr>
            <w:r>
              <w:rPr>
                <w:color w:val="000000"/>
                <w:sz w:val="16"/>
                <w:szCs w:val="16"/>
              </w:rPr>
              <w:t xml:space="preserve">§3.2, §6, §8</w:t>
            </w:r>
          </w:p>
        </w:tc>
        <w:tc>
          <w:tcPr>
            <w:tcW w:type="dxa" w:w="3130"/>
            <w:tcMar>
              <w:top w:type="dxa" w:w="65"/>
              <w:left w:type="dxa" w:w="85"/>
              <w:bottom w:type="dxa" w:w="65"/>
              <w:right w:type="dxa" w:w="85"/>
            </w:tcMar>
            <w:vAlign w:val="center"/>
          </w:tcPr>
          <w:p>
            <w:pPr>
              <w:jc w:val="left"/>
            </w:pPr>
            <w:r>
              <w:rPr>
                <w:color w:val="000000"/>
                <w:sz w:val="16"/>
                <w:szCs w:val="16"/>
              </w:rPr>
              <w:t xml:space="preserve">Verificar cada atribución contra el texto original y ajustar la redacción a lo que el autor efectivamente sostiene.</w:t>
            </w:r>
          </w:p>
        </w:tc>
        <w:tc>
          <w:tcPr>
            <w:tcW w:type="dxa" w:w="1200"/>
            <w:shd w:fill="FCE5CD" w:color="auto" w:val="clear"/>
            <w:tcMar>
              <w:top w:type="dxa" w:w="65"/>
              <w:left w:type="dxa" w:w="85"/>
              <w:bottom w:type="dxa" w:w="65"/>
              <w:right w:type="dxa" w:w="85"/>
            </w:tcMar>
            <w:vAlign w:val="center"/>
          </w:tcPr>
          <w:p>
            <w:pPr>
              <w:jc w:val="center"/>
            </w:pPr>
            <w:r>
              <w:rPr>
                <w:b/>
                <w:bCs/>
                <w:color w:val="000000"/>
                <w:sz w:val="16"/>
                <w:szCs w:val="16"/>
              </w:rPr>
              <w:t xml:space="preserve">Alta</w:t>
            </w:r>
          </w:p>
        </w:tc>
      </w:tr>
    </w:tbl>
    <w:p>
      <w:pPr>
        <w:pStyle w:val="Heading1"/>
        <w:spacing w:after="120" w:before="320"/>
      </w:pPr>
      <w:r>
        <w:t xml:space="preserve">3. Contribución teórica y encaje con la revista</w:t>
      </w:r>
    </w:p>
    <w:tbl>
      <w:tblPr>
        <w:tblW w:type="dxa" w:w="9100"/>
        <w:tblBorders>
          <w:top w:val="single" w:color="999999" w:sz="2"/>
          <w:left w:val="single" w:color="999999" w:sz="2"/>
          <w:bottom w:val="single" w:color="999999" w:sz="2"/>
          <w:right w:val="single" w:color="999999" w:sz="2"/>
          <w:insideH w:val="single" w:color="999999" w:sz="2"/>
          <w:insideV w:val="single" w:color="999999" w:sz="2"/>
        </w:tblBorders>
      </w:tblPr>
      <w:tblGrid>
        <w:gridCol w:w="420"/>
        <w:gridCol w:w="3000"/>
        <w:gridCol w:w="1350"/>
        <w:gridCol w:w="3130"/>
        <w:gridCol w:w="1200"/>
      </w:tblGrid>
      <w:tr>
        <w:trPr>
          <w:tblHeader/>
        </w:trPr>
        <w:tc>
          <w:tcPr>
            <w:tcW w:type="dxa" w:w="420"/>
            <w:shd w:fill="434343" w:color="auto" w:val="clear"/>
            <w:tcMar>
              <w:top w:type="dxa" w:w="65"/>
              <w:left w:type="dxa" w:w="85"/>
              <w:bottom w:type="dxa" w:w="65"/>
              <w:right w:type="dxa" w:w="85"/>
            </w:tcMar>
            <w:vAlign w:val="center"/>
          </w:tcPr>
          <w:p>
            <w:pPr>
              <w:jc w:val="center"/>
            </w:pPr>
            <w:r>
              <w:rPr>
                <w:b/>
                <w:bCs/>
                <w:color w:val="FFFFFF"/>
                <w:sz w:val="16"/>
                <w:szCs w:val="16"/>
              </w:rPr>
              <w:t xml:space="preserve">#</w:t>
            </w:r>
          </w:p>
        </w:tc>
        <w:tc>
          <w:tcPr>
            <w:tcW w:type="dxa" w:w="3000"/>
            <w:shd w:fill="434343" w:color="auto" w:val="clear"/>
            <w:tcMar>
              <w:top w:type="dxa" w:w="65"/>
              <w:left w:type="dxa" w:w="85"/>
              <w:bottom w:type="dxa" w:w="65"/>
              <w:right w:type="dxa" w:w="85"/>
            </w:tcMar>
            <w:vAlign w:val="center"/>
          </w:tcPr>
          <w:p>
            <w:pPr>
              <w:jc w:val="left"/>
            </w:pPr>
            <w:r>
              <w:rPr>
                <w:b/>
                <w:bCs/>
                <w:color w:val="FFFFFF"/>
                <w:sz w:val="16"/>
                <w:szCs w:val="16"/>
              </w:rPr>
              <w:t xml:space="preserve">Observación</w:t>
            </w:r>
          </w:p>
        </w:tc>
        <w:tc>
          <w:tcPr>
            <w:tcW w:type="dxa" w:w="1350"/>
            <w:shd w:fill="434343" w:color="auto" w:val="clear"/>
            <w:tcMar>
              <w:top w:type="dxa" w:w="65"/>
              <w:left w:type="dxa" w:w="85"/>
              <w:bottom w:type="dxa" w:w="65"/>
              <w:right w:type="dxa" w:w="85"/>
            </w:tcMar>
            <w:vAlign w:val="center"/>
          </w:tcPr>
          <w:p>
            <w:pPr>
              <w:jc w:val="left"/>
            </w:pPr>
            <w:r>
              <w:rPr>
                <w:b/>
                <w:bCs/>
                <w:color w:val="FFFFFF"/>
                <w:sz w:val="16"/>
                <w:szCs w:val="16"/>
              </w:rPr>
              <w:t xml:space="preserve">Ubicación</w:t>
            </w:r>
          </w:p>
        </w:tc>
        <w:tc>
          <w:tcPr>
            <w:tcW w:type="dxa" w:w="3130"/>
            <w:shd w:fill="434343" w:color="auto" w:val="clear"/>
            <w:tcMar>
              <w:top w:type="dxa" w:w="65"/>
              <w:left w:type="dxa" w:w="85"/>
              <w:bottom w:type="dxa" w:w="65"/>
              <w:right w:type="dxa" w:w="85"/>
            </w:tcMar>
            <w:vAlign w:val="center"/>
          </w:tcPr>
          <w:p>
            <w:pPr>
              <w:jc w:val="left"/>
            </w:pPr>
            <w:r>
              <w:rPr>
                <w:b/>
                <w:bCs/>
                <w:color w:val="FFFFFF"/>
                <w:sz w:val="16"/>
                <w:szCs w:val="16"/>
              </w:rPr>
              <w:t xml:space="preserve">Acción requerida</w:t>
            </w:r>
          </w:p>
        </w:tc>
        <w:tc>
          <w:tcPr>
            <w:tcW w:type="dxa" w:w="1200"/>
            <w:shd w:fill="434343" w:color="auto" w:val="clear"/>
            <w:tcMar>
              <w:top w:type="dxa" w:w="65"/>
              <w:left w:type="dxa" w:w="85"/>
              <w:bottom w:type="dxa" w:w="65"/>
              <w:right w:type="dxa" w:w="85"/>
            </w:tcMar>
            <w:vAlign w:val="center"/>
          </w:tcPr>
          <w:p>
            <w:pPr>
              <w:jc w:val="center"/>
            </w:pPr>
            <w:r>
              <w:rPr>
                <w:b/>
                <w:bCs/>
                <w:color w:val="FFFFFF"/>
                <w:sz w:val="16"/>
                <w:szCs w:val="16"/>
              </w:rPr>
              <w:t xml:space="preserve">Prioridad</w:t>
            </w:r>
          </w:p>
        </w:tc>
      </w:tr>
      <w:tr>
        <w:trPr>
          <w:cantSplit/>
        </w:trPr>
        <w:tc>
          <w:tcPr>
            <w:tcW w:type="dxa" w:w="420"/>
            <w:tcMar>
              <w:top w:type="dxa" w:w="65"/>
              <w:left w:type="dxa" w:w="85"/>
              <w:bottom w:type="dxa" w:w="65"/>
              <w:right w:type="dxa" w:w="85"/>
            </w:tcMar>
            <w:vAlign w:val="center"/>
          </w:tcPr>
          <w:p>
            <w:pPr>
              <w:jc w:val="center"/>
            </w:pPr>
            <w:r>
              <w:rPr>
                <w:b/>
                <w:bCs/>
                <w:color w:val="000000"/>
                <w:sz w:val="16"/>
                <w:szCs w:val="16"/>
              </w:rPr>
              <w:t xml:space="preserve">10</w:t>
            </w:r>
          </w:p>
        </w:tc>
        <w:tc>
          <w:tcPr>
            <w:tcW w:type="dxa" w:w="3000"/>
            <w:tcMar>
              <w:top w:type="dxa" w:w="65"/>
              <w:left w:type="dxa" w:w="85"/>
              <w:bottom w:type="dxa" w:w="65"/>
              <w:right w:type="dxa" w:w="85"/>
            </w:tcMar>
            <w:vAlign w:val="center"/>
          </w:tcPr>
          <w:p>
            <w:pPr>
              <w:jc w:val="left"/>
            </w:pPr>
            <w:r>
              <w:rPr>
                <w:color w:val="000000"/>
                <w:sz w:val="16"/>
                <w:szCs w:val="16"/>
              </w:rPr>
              <w:t xml:space="preserve">Anclaje normativo ausente. Un artículo sobre la razonabilidad de las estimaciones no cita la NIIF 13, el Marco Conceptual del IASB de 2018 —que reintrodujo la prudencia y trata la incertidumbre de medición— ni la NIA 540 revisada, cuyo núcleo es precisamente juzgar si una estimación contable es razonable.</w:t>
            </w:r>
          </w:p>
        </w:tc>
        <w:tc>
          <w:tcPr>
            <w:tcW w:type="dxa" w:w="1350"/>
            <w:tcMar>
              <w:top w:type="dxa" w:w="65"/>
              <w:left w:type="dxa" w:w="85"/>
              <w:bottom w:type="dxa" w:w="65"/>
              <w:right w:type="dxa" w:w="85"/>
            </w:tcMar>
            <w:vAlign w:val="center"/>
          </w:tcPr>
          <w:p>
            <w:pPr>
              <w:jc w:val="left"/>
            </w:pPr>
            <w:r>
              <w:rPr>
                <w:color w:val="000000"/>
                <w:sz w:val="16"/>
                <w:szCs w:val="16"/>
              </w:rPr>
              <w:t xml:space="preserve">§1.2, §3.2, §7</w:t>
            </w:r>
          </w:p>
        </w:tc>
        <w:tc>
          <w:tcPr>
            <w:tcW w:type="dxa" w:w="3130"/>
            <w:tcMar>
              <w:top w:type="dxa" w:w="65"/>
              <w:left w:type="dxa" w:w="85"/>
              <w:bottom w:type="dxa" w:w="65"/>
              <w:right w:type="dxa" w:w="85"/>
            </w:tcMar>
            <w:vAlign w:val="center"/>
          </w:tcPr>
          <w:p>
            <w:pPr>
              <w:jc w:val="left"/>
            </w:pPr>
            <w:r>
              <w:rPr>
                <w:color w:val="000000"/>
                <w:sz w:val="16"/>
                <w:szCs w:val="16"/>
              </w:rPr>
              <w:t xml:space="preserve">Incorporar las tres normas y contrastar el concepto epistemológico de razonabilidad con su uso normativo y de auditoría. Es el diálogo que un lector de Accounting Forum espera.</w:t>
            </w:r>
          </w:p>
        </w:tc>
        <w:tc>
          <w:tcPr>
            <w:tcW w:type="dxa" w:w="1200"/>
            <w:shd w:fill="F4CCCC" w:color="auto" w:val="clear"/>
            <w:tcMar>
              <w:top w:type="dxa" w:w="65"/>
              <w:left w:type="dxa" w:w="85"/>
              <w:bottom w:type="dxa" w:w="65"/>
              <w:right w:type="dxa" w:w="85"/>
            </w:tcMar>
            <w:vAlign w:val="center"/>
          </w:tcPr>
          <w:p>
            <w:pPr>
              <w:jc w:val="center"/>
            </w:pPr>
            <w:r>
              <w:rPr>
                <w:b/>
                <w:bCs/>
                <w:color w:val="000000"/>
                <w:sz w:val="16"/>
                <w:szCs w:val="16"/>
              </w:rPr>
              <w:t xml:space="preserve">Crítica</w:t>
            </w:r>
          </w:p>
        </w:tc>
      </w:tr>
      <w:tr>
        <w:trPr>
          <w:cantSplit/>
        </w:trPr>
        <w:tc>
          <w:tcPr>
            <w:tcW w:type="dxa" w:w="420"/>
            <w:tcMar>
              <w:top w:type="dxa" w:w="65"/>
              <w:left w:type="dxa" w:w="85"/>
              <w:bottom w:type="dxa" w:w="65"/>
              <w:right w:type="dxa" w:w="85"/>
            </w:tcMar>
            <w:vAlign w:val="center"/>
          </w:tcPr>
          <w:p>
            <w:pPr>
              <w:jc w:val="center"/>
            </w:pPr>
            <w:r>
              <w:rPr>
                <w:b/>
                <w:bCs/>
                <w:color w:val="000000"/>
                <w:sz w:val="16"/>
                <w:szCs w:val="16"/>
              </w:rPr>
              <w:t xml:space="preserve">11</w:t>
            </w:r>
          </w:p>
        </w:tc>
        <w:tc>
          <w:tcPr>
            <w:tcW w:type="dxa" w:w="3000"/>
            <w:tcMar>
              <w:top w:type="dxa" w:w="65"/>
              <w:left w:type="dxa" w:w="85"/>
              <w:bottom w:type="dxa" w:w="65"/>
              <w:right w:type="dxa" w:w="85"/>
            </w:tcMar>
            <w:vAlign w:val="center"/>
          </w:tcPr>
          <w:p>
            <w:pPr>
              <w:jc w:val="left"/>
            </w:pPr>
            <w:r>
              <w:rPr>
                <w:color w:val="000000"/>
                <w:sz w:val="16"/>
                <w:szCs w:val="16"/>
              </w:rPr>
              <w:t xml:space="preserve">Objeción de comparabilidad afirmada pero no defendida. §7 sostiene que analistas distintos pueden llegar a estimaciones diferentes e igualmente razonables, sin explicar quién dirime ni con qué criterio. Durocher y Gendron (2011), que problematizan el ideal de comparabilidad, se citan para otro fin.</w:t>
            </w:r>
          </w:p>
        </w:tc>
        <w:tc>
          <w:tcPr>
            <w:tcW w:type="dxa" w:w="1350"/>
            <w:tcMar>
              <w:top w:type="dxa" w:w="65"/>
              <w:left w:type="dxa" w:w="85"/>
              <w:bottom w:type="dxa" w:w="65"/>
              <w:right w:type="dxa" w:w="85"/>
            </w:tcMar>
            <w:vAlign w:val="center"/>
          </w:tcPr>
          <w:p>
            <w:pPr>
              <w:jc w:val="left"/>
            </w:pPr>
            <w:r>
              <w:rPr>
                <w:color w:val="000000"/>
                <w:sz w:val="16"/>
                <w:szCs w:val="16"/>
              </w:rPr>
              <w:t xml:space="preserve">§7, último párrafo</w:t>
            </w:r>
          </w:p>
        </w:tc>
        <w:tc>
          <w:tcPr>
            <w:tcW w:type="dxa" w:w="3130"/>
            <w:tcMar>
              <w:top w:type="dxa" w:w="65"/>
              <w:left w:type="dxa" w:w="85"/>
              <w:bottom w:type="dxa" w:w="65"/>
              <w:right w:type="dxa" w:w="85"/>
            </w:tcMar>
            <w:vAlign w:val="center"/>
          </w:tcPr>
          <w:p>
            <w:pPr>
              <w:jc w:val="left"/>
            </w:pPr>
            <w:r>
              <w:rPr>
                <w:color w:val="000000"/>
                <w:sz w:val="16"/>
                <w:szCs w:val="16"/>
              </w:rPr>
              <w:t xml:space="preserve">Desarrollar un apartado que trate la objeción de comparabilidad y auditabilidad y proponga criterios de adjudicación entre estimaciones divergentes.</w:t>
            </w:r>
          </w:p>
        </w:tc>
        <w:tc>
          <w:tcPr>
            <w:tcW w:type="dxa" w:w="1200"/>
            <w:shd w:fill="FCE5CD" w:color="auto" w:val="clear"/>
            <w:tcMar>
              <w:top w:type="dxa" w:w="65"/>
              <w:left w:type="dxa" w:w="85"/>
              <w:bottom w:type="dxa" w:w="65"/>
              <w:right w:type="dxa" w:w="85"/>
            </w:tcMar>
            <w:vAlign w:val="center"/>
          </w:tcPr>
          <w:p>
            <w:pPr>
              <w:jc w:val="center"/>
            </w:pPr>
            <w:r>
              <w:rPr>
                <w:b/>
                <w:bCs/>
                <w:color w:val="000000"/>
                <w:sz w:val="16"/>
                <w:szCs w:val="16"/>
              </w:rPr>
              <w:t xml:space="preserve">Alta</w:t>
            </w:r>
          </w:p>
        </w:tc>
      </w:tr>
      <w:tr>
        <w:trPr>
          <w:cantSplit/>
        </w:trPr>
        <w:tc>
          <w:tcPr>
            <w:tcW w:type="dxa" w:w="420"/>
            <w:tcMar>
              <w:top w:type="dxa" w:w="65"/>
              <w:left w:type="dxa" w:w="85"/>
              <w:bottom w:type="dxa" w:w="65"/>
              <w:right w:type="dxa" w:w="85"/>
            </w:tcMar>
            <w:vAlign w:val="center"/>
          </w:tcPr>
          <w:p>
            <w:pPr>
              <w:jc w:val="center"/>
            </w:pPr>
            <w:r>
              <w:rPr>
                <w:b/>
                <w:bCs/>
                <w:color w:val="000000"/>
                <w:sz w:val="16"/>
                <w:szCs w:val="16"/>
              </w:rPr>
              <w:t xml:space="preserve">12</w:t>
            </w:r>
          </w:p>
        </w:tc>
        <w:tc>
          <w:tcPr>
            <w:tcW w:type="dxa" w:w="3000"/>
            <w:tcMar>
              <w:top w:type="dxa" w:w="65"/>
              <w:left w:type="dxa" w:w="85"/>
              <w:bottom w:type="dxa" w:w="65"/>
              <w:right w:type="dxa" w:w="85"/>
            </w:tcMar>
            <w:vAlign w:val="center"/>
          </w:tcPr>
          <w:p>
            <w:pPr>
              <w:jc w:val="left"/>
            </w:pPr>
            <w:r>
              <w:rPr>
                <w:color w:val="000000"/>
                <w:sz w:val="16"/>
                <w:szCs w:val="16"/>
              </w:rPr>
              <w:t xml:space="preserve">Diálogo con la revista destino casi nulo: un único artículo de Accounting Forum, citado con errores.</w:t>
            </w:r>
          </w:p>
        </w:tc>
        <w:tc>
          <w:tcPr>
            <w:tcW w:type="dxa" w:w="1350"/>
            <w:tcMar>
              <w:top w:type="dxa" w:w="65"/>
              <w:left w:type="dxa" w:w="85"/>
              <w:bottom w:type="dxa" w:w="65"/>
              <w:right w:type="dxa" w:w="85"/>
            </w:tcMar>
            <w:vAlign w:val="center"/>
          </w:tcPr>
          <w:p>
            <w:pPr>
              <w:jc w:val="left"/>
            </w:pPr>
            <w:r>
              <w:rPr>
                <w:color w:val="000000"/>
                <w:sz w:val="16"/>
                <w:szCs w:val="16"/>
              </w:rPr>
              <w:t xml:space="preserve">Global</w:t>
            </w:r>
          </w:p>
        </w:tc>
        <w:tc>
          <w:tcPr>
            <w:tcW w:type="dxa" w:w="3130"/>
            <w:tcMar>
              <w:top w:type="dxa" w:w="65"/>
              <w:left w:type="dxa" w:w="85"/>
              <w:bottom w:type="dxa" w:w="65"/>
              <w:right w:type="dxa" w:w="85"/>
            </w:tcMar>
            <w:vAlign w:val="center"/>
          </w:tcPr>
          <w:p>
            <w:pPr>
              <w:jc w:val="left"/>
            </w:pPr>
            <w:r>
              <w:rPr>
                <w:color w:val="000000"/>
                <w:sz w:val="16"/>
                <w:szCs w:val="16"/>
              </w:rPr>
              <w:t xml:space="preserve">Integrar debates publicados en la revista sobre valor razonable y comunidades epistémicas (ver sección 6).</w:t>
            </w:r>
          </w:p>
        </w:tc>
        <w:tc>
          <w:tcPr>
            <w:tcW w:type="dxa" w:w="1200"/>
            <w:shd w:fill="FCE5CD" w:color="auto" w:val="clear"/>
            <w:tcMar>
              <w:top w:type="dxa" w:w="65"/>
              <w:left w:type="dxa" w:w="85"/>
              <w:bottom w:type="dxa" w:w="65"/>
              <w:right w:type="dxa" w:w="85"/>
            </w:tcMar>
            <w:vAlign w:val="center"/>
          </w:tcPr>
          <w:p>
            <w:pPr>
              <w:jc w:val="center"/>
            </w:pPr>
            <w:r>
              <w:rPr>
                <w:b/>
                <w:bCs/>
                <w:color w:val="000000"/>
                <w:sz w:val="16"/>
                <w:szCs w:val="16"/>
              </w:rPr>
              <w:t xml:space="preserve">Alta</w:t>
            </w:r>
          </w:p>
        </w:tc>
      </w:tr>
      <w:tr>
        <w:trPr>
          <w:cantSplit/>
        </w:trPr>
        <w:tc>
          <w:tcPr>
            <w:tcW w:type="dxa" w:w="420"/>
            <w:tcMar>
              <w:top w:type="dxa" w:w="65"/>
              <w:left w:type="dxa" w:w="85"/>
              <w:bottom w:type="dxa" w:w="65"/>
              <w:right w:type="dxa" w:w="85"/>
            </w:tcMar>
            <w:vAlign w:val="center"/>
          </w:tcPr>
          <w:p>
            <w:pPr>
              <w:jc w:val="center"/>
            </w:pPr>
            <w:r>
              <w:rPr>
                <w:b/>
                <w:bCs/>
                <w:color w:val="000000"/>
                <w:sz w:val="16"/>
                <w:szCs w:val="16"/>
              </w:rPr>
              <w:t xml:space="preserve">13</w:t>
            </w:r>
          </w:p>
        </w:tc>
        <w:tc>
          <w:tcPr>
            <w:tcW w:type="dxa" w:w="3000"/>
            <w:tcMar>
              <w:top w:type="dxa" w:w="65"/>
              <w:left w:type="dxa" w:w="85"/>
              <w:bottom w:type="dxa" w:w="65"/>
              <w:right w:type="dxa" w:w="85"/>
            </w:tcMar>
            <w:vAlign w:val="center"/>
          </w:tcPr>
          <w:p>
            <w:pPr>
              <w:jc w:val="left"/>
            </w:pPr>
            <w:r>
              <w:rPr>
                <w:color w:val="000000"/>
                <w:sz w:val="16"/>
                <w:szCs w:val="16"/>
              </w:rPr>
              <w:t xml:space="preserve">Desequilibrio estructural: §3 suma 2.315 palabras frente a 629 de §7 (9 % del cuerpo). §4, §5 y §6 (≈920 palabras) reiteran argumentos y autores ya expuestos en §3.</w:t>
            </w:r>
          </w:p>
        </w:tc>
        <w:tc>
          <w:tcPr>
            <w:tcW w:type="dxa" w:w="1350"/>
            <w:tcMar>
              <w:top w:type="dxa" w:w="65"/>
              <w:left w:type="dxa" w:w="85"/>
              <w:bottom w:type="dxa" w:w="65"/>
              <w:right w:type="dxa" w:w="85"/>
            </w:tcMar>
            <w:vAlign w:val="center"/>
          </w:tcPr>
          <w:p>
            <w:pPr>
              <w:jc w:val="left"/>
            </w:pPr>
            <w:r>
              <w:rPr>
                <w:color w:val="000000"/>
                <w:sz w:val="16"/>
                <w:szCs w:val="16"/>
              </w:rPr>
              <w:t xml:space="preserve">§3–§7</w:t>
            </w:r>
          </w:p>
        </w:tc>
        <w:tc>
          <w:tcPr>
            <w:tcW w:type="dxa" w:w="3130"/>
            <w:tcMar>
              <w:top w:type="dxa" w:w="65"/>
              <w:left w:type="dxa" w:w="85"/>
              <w:bottom w:type="dxa" w:w="65"/>
              <w:right w:type="dxa" w:w="85"/>
            </w:tcMar>
            <w:vAlign w:val="center"/>
          </w:tcPr>
          <w:p>
            <w:pPr>
              <w:jc w:val="left"/>
            </w:pPr>
            <w:r>
              <w:rPr>
                <w:color w:val="000000"/>
                <w:sz w:val="16"/>
                <w:szCs w:val="16"/>
              </w:rPr>
              <w:t xml:space="preserve">Fusionar §4–§6 en §3 o reconvertirlos en desarrollo analítico propio; ampliar §7 con la discusión de las observaciones 10 y 11.</w:t>
            </w:r>
          </w:p>
        </w:tc>
        <w:tc>
          <w:tcPr>
            <w:tcW w:type="dxa" w:w="1200"/>
            <w:shd w:fill="FCE5CD" w:color="auto" w:val="clear"/>
            <w:tcMar>
              <w:top w:type="dxa" w:w="65"/>
              <w:left w:type="dxa" w:w="85"/>
              <w:bottom w:type="dxa" w:w="65"/>
              <w:right w:type="dxa" w:w="85"/>
            </w:tcMar>
            <w:vAlign w:val="center"/>
          </w:tcPr>
          <w:p>
            <w:pPr>
              <w:jc w:val="center"/>
            </w:pPr>
            <w:r>
              <w:rPr>
                <w:b/>
                <w:bCs/>
                <w:color w:val="000000"/>
                <w:sz w:val="16"/>
                <w:szCs w:val="16"/>
              </w:rPr>
              <w:t xml:space="preserve">Alta</w:t>
            </w:r>
          </w:p>
        </w:tc>
      </w:tr>
      <w:tr>
        <w:trPr>
          <w:cantSplit/>
        </w:trPr>
        <w:tc>
          <w:tcPr>
            <w:tcW w:type="dxa" w:w="420"/>
            <w:tcMar>
              <w:top w:type="dxa" w:w="65"/>
              <w:left w:type="dxa" w:w="85"/>
              <w:bottom w:type="dxa" w:w="65"/>
              <w:right w:type="dxa" w:w="85"/>
            </w:tcMar>
            <w:vAlign w:val="center"/>
          </w:tcPr>
          <w:p>
            <w:pPr>
              <w:jc w:val="center"/>
            </w:pPr>
            <w:r>
              <w:rPr>
                <w:b/>
                <w:bCs/>
                <w:color w:val="000000"/>
                <w:sz w:val="16"/>
                <w:szCs w:val="16"/>
              </w:rPr>
              <w:t xml:space="preserve">14</w:t>
            </w:r>
          </w:p>
        </w:tc>
        <w:tc>
          <w:tcPr>
            <w:tcW w:type="dxa" w:w="3000"/>
            <w:tcMar>
              <w:top w:type="dxa" w:w="65"/>
              <w:left w:type="dxa" w:w="85"/>
              <w:bottom w:type="dxa" w:w="65"/>
              <w:right w:type="dxa" w:w="85"/>
            </w:tcMar>
            <w:vAlign w:val="center"/>
          </w:tcPr>
          <w:p>
            <w:pPr>
              <w:jc w:val="left"/>
            </w:pPr>
            <w:r>
              <w:rPr>
                <w:color w:val="000000"/>
                <w:sz w:val="16"/>
                <w:szCs w:val="16"/>
              </w:rPr>
              <w:t xml:space="preserve">Regresión respecto de la versión española: el apartado de limitaciones y líneas futuras, que tenía sección propia, quedó reducido a un párrafo dentro de Conclusiones.</w:t>
            </w:r>
          </w:p>
        </w:tc>
        <w:tc>
          <w:tcPr>
            <w:tcW w:type="dxa" w:w="1350"/>
            <w:tcMar>
              <w:top w:type="dxa" w:w="65"/>
              <w:left w:type="dxa" w:w="85"/>
              <w:bottom w:type="dxa" w:w="65"/>
              <w:right w:type="dxa" w:w="85"/>
            </w:tcMar>
            <w:vAlign w:val="center"/>
          </w:tcPr>
          <w:p>
            <w:pPr>
              <w:jc w:val="left"/>
            </w:pPr>
            <w:r>
              <w:rPr>
                <w:color w:val="000000"/>
                <w:sz w:val="16"/>
                <w:szCs w:val="16"/>
              </w:rPr>
              <w:t xml:space="preserve">§8</w:t>
            </w:r>
          </w:p>
        </w:tc>
        <w:tc>
          <w:tcPr>
            <w:tcW w:type="dxa" w:w="3130"/>
            <w:tcMar>
              <w:top w:type="dxa" w:w="65"/>
              <w:left w:type="dxa" w:w="85"/>
              <w:bottom w:type="dxa" w:w="65"/>
              <w:right w:type="dxa" w:w="85"/>
            </w:tcMar>
            <w:vAlign w:val="center"/>
          </w:tcPr>
          <w:p>
            <w:pPr>
              <w:jc w:val="left"/>
            </w:pPr>
            <w:r>
              <w:rPr>
                <w:color w:val="000000"/>
                <w:sz w:val="16"/>
                <w:szCs w:val="16"/>
              </w:rPr>
              <w:t xml:space="preserve">Restituir un apartado «Limitations and future research» con las tres limitaciones tipificadas.</w:t>
            </w:r>
          </w:p>
        </w:tc>
        <w:tc>
          <w:tcPr>
            <w:tcW w:type="dxa" w:w="1200"/>
            <w:shd w:fill="FFF2CC" w:color="auto" w:val="clear"/>
            <w:tcMar>
              <w:top w:type="dxa" w:w="65"/>
              <w:left w:type="dxa" w:w="85"/>
              <w:bottom w:type="dxa" w:w="65"/>
              <w:right w:type="dxa" w:w="85"/>
            </w:tcMar>
            <w:vAlign w:val="center"/>
          </w:tcPr>
          <w:p>
            <w:pPr>
              <w:jc w:val="center"/>
            </w:pPr>
            <w:r>
              <w:rPr>
                <w:b/>
                <w:bCs/>
                <w:color w:val="000000"/>
                <w:sz w:val="16"/>
                <w:szCs w:val="16"/>
              </w:rPr>
              <w:t xml:space="preserve">Media</w:t>
            </w:r>
          </w:p>
        </w:tc>
      </w:tr>
      <w:tr>
        <w:trPr>
          <w:cantSplit/>
        </w:trPr>
        <w:tc>
          <w:tcPr>
            <w:tcW w:type="dxa" w:w="420"/>
            <w:tcMar>
              <w:top w:type="dxa" w:w="65"/>
              <w:left w:type="dxa" w:w="85"/>
              <w:bottom w:type="dxa" w:w="65"/>
              <w:right w:type="dxa" w:w="85"/>
            </w:tcMar>
            <w:vAlign w:val="center"/>
          </w:tcPr>
          <w:p>
            <w:pPr>
              <w:jc w:val="center"/>
            </w:pPr>
            <w:r>
              <w:rPr>
                <w:b/>
                <w:bCs/>
                <w:color w:val="000000"/>
                <w:sz w:val="16"/>
                <w:szCs w:val="16"/>
              </w:rPr>
              <w:t xml:space="preserve">15</w:t>
            </w:r>
          </w:p>
        </w:tc>
        <w:tc>
          <w:tcPr>
            <w:tcW w:type="dxa" w:w="3000"/>
            <w:tcMar>
              <w:top w:type="dxa" w:w="65"/>
              <w:left w:type="dxa" w:w="85"/>
              <w:bottom w:type="dxa" w:w="65"/>
              <w:right w:type="dxa" w:w="85"/>
            </w:tcMar>
            <w:vAlign w:val="center"/>
          </w:tcPr>
          <w:p>
            <w:pPr>
              <w:jc w:val="left"/>
            </w:pPr>
            <w:r>
              <w:rPr>
                <w:color w:val="000000"/>
                <w:sz w:val="16"/>
                <w:szCs w:val="16"/>
              </w:rPr>
              <w:t xml:space="preserve">Implicaciones prácticas sin destinatario. No se diferencia qué supone el marco para el analista, el auditor o el emisor de normas; tampoco se aplicó la subdivisión de §7 en discusión teórica e implicaciones.</w:t>
            </w:r>
          </w:p>
        </w:tc>
        <w:tc>
          <w:tcPr>
            <w:tcW w:type="dxa" w:w="1350"/>
            <w:tcMar>
              <w:top w:type="dxa" w:w="65"/>
              <w:left w:type="dxa" w:w="85"/>
              <w:bottom w:type="dxa" w:w="65"/>
              <w:right w:type="dxa" w:w="85"/>
            </w:tcMar>
            <w:vAlign w:val="center"/>
          </w:tcPr>
          <w:p>
            <w:pPr>
              <w:jc w:val="left"/>
            </w:pPr>
            <w:r>
              <w:rPr>
                <w:color w:val="000000"/>
                <w:sz w:val="16"/>
                <w:szCs w:val="16"/>
              </w:rPr>
              <w:t xml:space="preserve">§7</w:t>
            </w:r>
          </w:p>
        </w:tc>
        <w:tc>
          <w:tcPr>
            <w:tcW w:type="dxa" w:w="3130"/>
            <w:tcMar>
              <w:top w:type="dxa" w:w="65"/>
              <w:left w:type="dxa" w:w="85"/>
              <w:bottom w:type="dxa" w:w="65"/>
              <w:right w:type="dxa" w:w="85"/>
            </w:tcMar>
            <w:vAlign w:val="center"/>
          </w:tcPr>
          <w:p>
            <w:pPr>
              <w:jc w:val="left"/>
            </w:pPr>
            <w:r>
              <w:rPr>
                <w:color w:val="000000"/>
                <w:sz w:val="16"/>
                <w:szCs w:val="16"/>
              </w:rPr>
              <w:t xml:space="preserve">Crear «7.2 Implications for accounting practice» con implicaciones diferenciadas por destinatario.</w:t>
            </w:r>
          </w:p>
        </w:tc>
        <w:tc>
          <w:tcPr>
            <w:tcW w:type="dxa" w:w="1200"/>
            <w:shd w:fill="FFF2CC" w:color="auto" w:val="clear"/>
            <w:tcMar>
              <w:top w:type="dxa" w:w="65"/>
              <w:left w:type="dxa" w:w="85"/>
              <w:bottom w:type="dxa" w:w="65"/>
              <w:right w:type="dxa" w:w="85"/>
            </w:tcMar>
            <w:vAlign w:val="center"/>
          </w:tcPr>
          <w:p>
            <w:pPr>
              <w:jc w:val="center"/>
            </w:pPr>
            <w:r>
              <w:rPr>
                <w:b/>
                <w:bCs/>
                <w:color w:val="000000"/>
                <w:sz w:val="16"/>
                <w:szCs w:val="16"/>
              </w:rPr>
              <w:t xml:space="preserve">Media</w:t>
            </w:r>
          </w:p>
        </w:tc>
      </w:tr>
      <w:tr>
        <w:trPr>
          <w:cantSplit/>
        </w:trPr>
        <w:tc>
          <w:tcPr>
            <w:tcW w:type="dxa" w:w="420"/>
            <w:tcMar>
              <w:top w:type="dxa" w:w="65"/>
              <w:left w:type="dxa" w:w="85"/>
              <w:bottom w:type="dxa" w:w="65"/>
              <w:right w:type="dxa" w:w="85"/>
            </w:tcMar>
            <w:vAlign w:val="center"/>
          </w:tcPr>
          <w:p>
            <w:pPr>
              <w:jc w:val="center"/>
            </w:pPr>
            <w:r>
              <w:rPr>
                <w:b/>
                <w:bCs/>
                <w:color w:val="000000"/>
                <w:sz w:val="16"/>
                <w:szCs w:val="16"/>
              </w:rPr>
              <w:t xml:space="preserve">16</w:t>
            </w:r>
          </w:p>
        </w:tc>
        <w:tc>
          <w:tcPr>
            <w:tcW w:type="dxa" w:w="3000"/>
            <w:tcMar>
              <w:top w:type="dxa" w:w="65"/>
              <w:left w:type="dxa" w:w="85"/>
              <w:bottom w:type="dxa" w:w="65"/>
              <w:right w:type="dxa" w:w="85"/>
            </w:tcMar>
            <w:vAlign w:val="center"/>
          </w:tcPr>
          <w:p>
            <w:pPr>
              <w:jc w:val="left"/>
            </w:pPr>
            <w:r>
              <w:rPr>
                <w:color w:val="000000"/>
                <w:sz w:val="16"/>
                <w:szCs w:val="16"/>
              </w:rPr>
              <w:t xml:space="preserve">Sin figura de síntesis. El marco culmina en tres criterios de razonabilidad —reconocer la incertidumbre, explicitar supuestos y ofrecer un relato coherente del valor— que no se representan gráficamente.</w:t>
            </w:r>
          </w:p>
        </w:tc>
        <w:tc>
          <w:tcPr>
            <w:tcW w:type="dxa" w:w="1350"/>
            <w:tcMar>
              <w:top w:type="dxa" w:w="65"/>
              <w:left w:type="dxa" w:w="85"/>
              <w:bottom w:type="dxa" w:w="65"/>
              <w:right w:type="dxa" w:w="85"/>
            </w:tcMar>
            <w:vAlign w:val="center"/>
          </w:tcPr>
          <w:p>
            <w:pPr>
              <w:jc w:val="left"/>
            </w:pPr>
            <w:r>
              <w:rPr>
                <w:color w:val="000000"/>
                <w:sz w:val="16"/>
                <w:szCs w:val="16"/>
              </w:rPr>
              <w:t xml:space="preserve">§3.3 o §7</w:t>
            </w:r>
          </w:p>
        </w:tc>
        <w:tc>
          <w:tcPr>
            <w:tcW w:type="dxa" w:w="3130"/>
            <w:tcMar>
              <w:top w:type="dxa" w:w="65"/>
              <w:left w:type="dxa" w:w="85"/>
              <w:bottom w:type="dxa" w:w="65"/>
              <w:right w:type="dxa" w:w="85"/>
            </w:tcMar>
            <w:vAlign w:val="center"/>
          </w:tcPr>
          <w:p>
            <w:pPr>
              <w:jc w:val="left"/>
            </w:pPr>
            <w:r>
              <w:rPr>
                <w:color w:val="000000"/>
                <w:sz w:val="16"/>
                <w:szCs w:val="16"/>
              </w:rPr>
              <w:t xml:space="preserve">Añadir una figura que articule tradiciones teóricas, criterios de razonabilidad e implicaciones.</w:t>
            </w:r>
          </w:p>
        </w:tc>
        <w:tc>
          <w:tcPr>
            <w:tcW w:type="dxa" w:w="1200"/>
            <w:shd w:fill="FFF2CC" w:color="auto" w:val="clear"/>
            <w:tcMar>
              <w:top w:type="dxa" w:w="65"/>
              <w:left w:type="dxa" w:w="85"/>
              <w:bottom w:type="dxa" w:w="65"/>
              <w:right w:type="dxa" w:w="85"/>
            </w:tcMar>
            <w:vAlign w:val="center"/>
          </w:tcPr>
          <w:p>
            <w:pPr>
              <w:jc w:val="center"/>
            </w:pPr>
            <w:r>
              <w:rPr>
                <w:b/>
                <w:bCs/>
                <w:color w:val="000000"/>
                <w:sz w:val="16"/>
                <w:szCs w:val="16"/>
              </w:rPr>
              <w:t xml:space="preserve">Media</w:t>
            </w:r>
          </w:p>
        </w:tc>
      </w:tr>
    </w:tbl>
    <w:p>
      <w:pPr>
        <w:pStyle w:val="Heading1"/>
        <w:spacing w:after="120" w:before="320"/>
      </w:pPr>
      <w:r>
        <w:t xml:space="preserve">4. Lenguaje y forma</w:t>
      </w:r>
    </w:p>
    <w:tbl>
      <w:tblPr>
        <w:tblW w:type="dxa" w:w="9100"/>
        <w:tblBorders>
          <w:top w:val="single" w:color="999999" w:sz="2"/>
          <w:left w:val="single" w:color="999999" w:sz="2"/>
          <w:bottom w:val="single" w:color="999999" w:sz="2"/>
          <w:right w:val="single" w:color="999999" w:sz="2"/>
          <w:insideH w:val="single" w:color="999999" w:sz="2"/>
          <w:insideV w:val="single" w:color="999999" w:sz="2"/>
        </w:tblBorders>
      </w:tblPr>
      <w:tblGrid>
        <w:gridCol w:w="420"/>
        <w:gridCol w:w="3000"/>
        <w:gridCol w:w="1350"/>
        <w:gridCol w:w="3130"/>
        <w:gridCol w:w="1200"/>
      </w:tblGrid>
      <w:tr>
        <w:trPr>
          <w:tblHeader/>
        </w:trPr>
        <w:tc>
          <w:tcPr>
            <w:tcW w:type="dxa" w:w="420"/>
            <w:shd w:fill="434343" w:color="auto" w:val="clear"/>
            <w:tcMar>
              <w:top w:type="dxa" w:w="65"/>
              <w:left w:type="dxa" w:w="85"/>
              <w:bottom w:type="dxa" w:w="65"/>
              <w:right w:type="dxa" w:w="85"/>
            </w:tcMar>
            <w:vAlign w:val="center"/>
          </w:tcPr>
          <w:p>
            <w:pPr>
              <w:jc w:val="center"/>
            </w:pPr>
            <w:r>
              <w:rPr>
                <w:b/>
                <w:bCs/>
                <w:color w:val="FFFFFF"/>
                <w:sz w:val="16"/>
                <w:szCs w:val="16"/>
              </w:rPr>
              <w:t xml:space="preserve">#</w:t>
            </w:r>
          </w:p>
        </w:tc>
        <w:tc>
          <w:tcPr>
            <w:tcW w:type="dxa" w:w="3000"/>
            <w:shd w:fill="434343" w:color="auto" w:val="clear"/>
            <w:tcMar>
              <w:top w:type="dxa" w:w="65"/>
              <w:left w:type="dxa" w:w="85"/>
              <w:bottom w:type="dxa" w:w="65"/>
              <w:right w:type="dxa" w:w="85"/>
            </w:tcMar>
            <w:vAlign w:val="center"/>
          </w:tcPr>
          <w:p>
            <w:pPr>
              <w:jc w:val="left"/>
            </w:pPr>
            <w:r>
              <w:rPr>
                <w:b/>
                <w:bCs/>
                <w:color w:val="FFFFFF"/>
                <w:sz w:val="16"/>
                <w:szCs w:val="16"/>
              </w:rPr>
              <w:t xml:space="preserve">Observación</w:t>
            </w:r>
          </w:p>
        </w:tc>
        <w:tc>
          <w:tcPr>
            <w:tcW w:type="dxa" w:w="1350"/>
            <w:shd w:fill="434343" w:color="auto" w:val="clear"/>
            <w:tcMar>
              <w:top w:type="dxa" w:w="65"/>
              <w:left w:type="dxa" w:w="85"/>
              <w:bottom w:type="dxa" w:w="65"/>
              <w:right w:type="dxa" w:w="85"/>
            </w:tcMar>
            <w:vAlign w:val="center"/>
          </w:tcPr>
          <w:p>
            <w:pPr>
              <w:jc w:val="left"/>
            </w:pPr>
            <w:r>
              <w:rPr>
                <w:b/>
                <w:bCs/>
                <w:color w:val="FFFFFF"/>
                <w:sz w:val="16"/>
                <w:szCs w:val="16"/>
              </w:rPr>
              <w:t xml:space="preserve">Ubicación</w:t>
            </w:r>
          </w:p>
        </w:tc>
        <w:tc>
          <w:tcPr>
            <w:tcW w:type="dxa" w:w="3130"/>
            <w:shd w:fill="434343" w:color="auto" w:val="clear"/>
            <w:tcMar>
              <w:top w:type="dxa" w:w="65"/>
              <w:left w:type="dxa" w:w="85"/>
              <w:bottom w:type="dxa" w:w="65"/>
              <w:right w:type="dxa" w:w="85"/>
            </w:tcMar>
            <w:vAlign w:val="center"/>
          </w:tcPr>
          <w:p>
            <w:pPr>
              <w:jc w:val="left"/>
            </w:pPr>
            <w:r>
              <w:rPr>
                <w:b/>
                <w:bCs/>
                <w:color w:val="FFFFFF"/>
                <w:sz w:val="16"/>
                <w:szCs w:val="16"/>
              </w:rPr>
              <w:t xml:space="preserve">Acción requerida</w:t>
            </w:r>
          </w:p>
        </w:tc>
        <w:tc>
          <w:tcPr>
            <w:tcW w:type="dxa" w:w="1200"/>
            <w:shd w:fill="434343" w:color="auto" w:val="clear"/>
            <w:tcMar>
              <w:top w:type="dxa" w:w="65"/>
              <w:left w:type="dxa" w:w="85"/>
              <w:bottom w:type="dxa" w:w="65"/>
              <w:right w:type="dxa" w:w="85"/>
            </w:tcMar>
            <w:vAlign w:val="center"/>
          </w:tcPr>
          <w:p>
            <w:pPr>
              <w:jc w:val="center"/>
            </w:pPr>
            <w:r>
              <w:rPr>
                <w:b/>
                <w:bCs/>
                <w:color w:val="FFFFFF"/>
                <w:sz w:val="16"/>
                <w:szCs w:val="16"/>
              </w:rPr>
              <w:t xml:space="preserve">Prioridad</w:t>
            </w:r>
          </w:p>
        </w:tc>
      </w:tr>
      <w:tr>
        <w:trPr>
          <w:cantSplit/>
        </w:trPr>
        <w:tc>
          <w:tcPr>
            <w:tcW w:type="dxa" w:w="420"/>
            <w:tcMar>
              <w:top w:type="dxa" w:w="65"/>
              <w:left w:type="dxa" w:w="85"/>
              <w:bottom w:type="dxa" w:w="65"/>
              <w:right w:type="dxa" w:w="85"/>
            </w:tcMar>
            <w:vAlign w:val="center"/>
          </w:tcPr>
          <w:p>
            <w:pPr>
              <w:jc w:val="center"/>
            </w:pPr>
            <w:r>
              <w:rPr>
                <w:b/>
                <w:bCs/>
                <w:color w:val="000000"/>
                <w:sz w:val="16"/>
                <w:szCs w:val="16"/>
              </w:rPr>
              <w:t xml:space="preserve">17</w:t>
            </w:r>
          </w:p>
        </w:tc>
        <w:tc>
          <w:tcPr>
            <w:tcW w:type="dxa" w:w="3000"/>
            <w:tcMar>
              <w:top w:type="dxa" w:w="65"/>
              <w:left w:type="dxa" w:w="85"/>
              <w:bottom w:type="dxa" w:w="65"/>
              <w:right w:type="dxa" w:w="85"/>
            </w:tcMar>
            <w:vAlign w:val="center"/>
          </w:tcPr>
          <w:p>
            <w:pPr>
              <w:jc w:val="left"/>
            </w:pPr>
            <w:r>
              <w:rPr>
                <w:color w:val="000000"/>
                <w:sz w:val="16"/>
                <w:szCs w:val="16"/>
              </w:rPr>
              <w:t xml:space="preserve">Oración partida en dos párrafos y aposición sin rayas: «because / many determinants of value innovation, reputation, knowledge, and adaptability are uncertain».</w:t>
            </w:r>
          </w:p>
        </w:tc>
        <w:tc>
          <w:tcPr>
            <w:tcW w:type="dxa" w:w="1350"/>
            <w:tcMar>
              <w:top w:type="dxa" w:w="65"/>
              <w:left w:type="dxa" w:w="85"/>
              <w:bottom w:type="dxa" w:w="65"/>
              <w:right w:type="dxa" w:w="85"/>
            </w:tcMar>
            <w:vAlign w:val="center"/>
          </w:tcPr>
          <w:p>
            <w:pPr>
              <w:jc w:val="left"/>
            </w:pPr>
            <w:r>
              <w:rPr>
                <w:color w:val="000000"/>
                <w:sz w:val="16"/>
                <w:szCs w:val="16"/>
              </w:rPr>
              <w:t xml:space="preserve">§1, cuarto párrafo</w:t>
            </w:r>
          </w:p>
        </w:tc>
        <w:tc>
          <w:tcPr>
            <w:tcW w:type="dxa" w:w="3130"/>
            <w:tcMar>
              <w:top w:type="dxa" w:w="65"/>
              <w:left w:type="dxa" w:w="85"/>
              <w:bottom w:type="dxa" w:w="65"/>
              <w:right w:type="dxa" w:w="85"/>
            </w:tcMar>
            <w:vAlign w:val="center"/>
          </w:tcPr>
          <w:p>
            <w:pPr>
              <w:jc w:val="left"/>
            </w:pPr>
            <w:r>
              <w:rPr>
                <w:color w:val="000000"/>
                <w:sz w:val="16"/>
                <w:szCs w:val="16"/>
              </w:rPr>
              <w:t xml:space="preserve">Unir el párrafo y marcar la aposición con rayas: «determinants of value—innovation, reputation, knowledge, and adaptability—are uncertain».</w:t>
            </w:r>
          </w:p>
        </w:tc>
        <w:tc>
          <w:tcPr>
            <w:tcW w:type="dxa" w:w="1200"/>
            <w:shd w:fill="FCE5CD" w:color="auto" w:val="clear"/>
            <w:tcMar>
              <w:top w:type="dxa" w:w="65"/>
              <w:left w:type="dxa" w:w="85"/>
              <w:bottom w:type="dxa" w:w="65"/>
              <w:right w:type="dxa" w:w="85"/>
            </w:tcMar>
            <w:vAlign w:val="center"/>
          </w:tcPr>
          <w:p>
            <w:pPr>
              <w:jc w:val="center"/>
            </w:pPr>
            <w:r>
              <w:rPr>
                <w:b/>
                <w:bCs/>
                <w:color w:val="000000"/>
                <w:sz w:val="16"/>
                <w:szCs w:val="16"/>
              </w:rPr>
              <w:t xml:space="preserve">Alta</w:t>
            </w:r>
          </w:p>
        </w:tc>
      </w:tr>
      <w:tr>
        <w:trPr>
          <w:cantSplit/>
        </w:trPr>
        <w:tc>
          <w:tcPr>
            <w:tcW w:type="dxa" w:w="420"/>
            <w:tcMar>
              <w:top w:type="dxa" w:w="65"/>
              <w:left w:type="dxa" w:w="85"/>
              <w:bottom w:type="dxa" w:w="65"/>
              <w:right w:type="dxa" w:w="85"/>
            </w:tcMar>
            <w:vAlign w:val="center"/>
          </w:tcPr>
          <w:p>
            <w:pPr>
              <w:jc w:val="center"/>
            </w:pPr>
            <w:r>
              <w:rPr>
                <w:b/>
                <w:bCs/>
                <w:color w:val="000000"/>
                <w:sz w:val="16"/>
                <w:szCs w:val="16"/>
              </w:rPr>
              <w:t xml:space="preserve">18</w:t>
            </w:r>
          </w:p>
        </w:tc>
        <w:tc>
          <w:tcPr>
            <w:tcW w:type="dxa" w:w="3000"/>
            <w:tcMar>
              <w:top w:type="dxa" w:w="65"/>
              <w:left w:type="dxa" w:w="85"/>
              <w:bottom w:type="dxa" w:w="65"/>
              <w:right w:type="dxa" w:w="85"/>
            </w:tcMar>
            <w:vAlign w:val="center"/>
          </w:tcPr>
          <w:p>
            <w:pPr>
              <w:jc w:val="left"/>
            </w:pPr>
            <w:r>
              <w:rPr>
                <w:color w:val="000000"/>
                <w:sz w:val="16"/>
                <w:szCs w:val="16"/>
              </w:rPr>
              <w:t xml:space="preserve">Aposición sin rayas heredada de la traducción: «every estimate whether of cash flows, discount rates, or risk necessarily…».</w:t>
            </w:r>
          </w:p>
        </w:tc>
        <w:tc>
          <w:tcPr>
            <w:tcW w:type="dxa" w:w="1350"/>
            <w:tcMar>
              <w:top w:type="dxa" w:w="65"/>
              <w:left w:type="dxa" w:w="85"/>
              <w:bottom w:type="dxa" w:w="65"/>
              <w:right w:type="dxa" w:w="85"/>
            </w:tcMar>
            <w:vAlign w:val="center"/>
          </w:tcPr>
          <w:p>
            <w:pPr>
              <w:jc w:val="left"/>
            </w:pPr>
            <w:r>
              <w:rPr>
                <w:color w:val="000000"/>
                <w:sz w:val="16"/>
                <w:szCs w:val="16"/>
              </w:rPr>
              <w:t xml:space="preserve">§3.1</w:t>
            </w:r>
          </w:p>
        </w:tc>
        <w:tc>
          <w:tcPr>
            <w:tcW w:type="dxa" w:w="3130"/>
            <w:tcMar>
              <w:top w:type="dxa" w:w="65"/>
              <w:left w:type="dxa" w:w="85"/>
              <w:bottom w:type="dxa" w:w="65"/>
              <w:right w:type="dxa" w:w="85"/>
            </w:tcMar>
            <w:vAlign w:val="center"/>
          </w:tcPr>
          <w:p>
            <w:pPr>
              <w:jc w:val="left"/>
            </w:pPr>
            <w:r>
              <w:rPr>
                <w:color w:val="000000"/>
                <w:sz w:val="16"/>
                <w:szCs w:val="16"/>
              </w:rPr>
              <w:t xml:space="preserve">«every estimate—whether of cash flows, discount rates, or risk—necessarily…».</w:t>
            </w:r>
          </w:p>
        </w:tc>
        <w:tc>
          <w:tcPr>
            <w:tcW w:type="dxa" w:w="1200"/>
            <w:shd w:fill="FFF2CC" w:color="auto" w:val="clear"/>
            <w:tcMar>
              <w:top w:type="dxa" w:w="65"/>
              <w:left w:type="dxa" w:w="85"/>
              <w:bottom w:type="dxa" w:w="65"/>
              <w:right w:type="dxa" w:w="85"/>
            </w:tcMar>
            <w:vAlign w:val="center"/>
          </w:tcPr>
          <w:p>
            <w:pPr>
              <w:jc w:val="center"/>
            </w:pPr>
            <w:r>
              <w:rPr>
                <w:b/>
                <w:bCs/>
                <w:color w:val="000000"/>
                <w:sz w:val="16"/>
                <w:szCs w:val="16"/>
              </w:rPr>
              <w:t xml:space="preserve">Media</w:t>
            </w:r>
          </w:p>
        </w:tc>
      </w:tr>
      <w:tr>
        <w:trPr>
          <w:cantSplit/>
        </w:trPr>
        <w:tc>
          <w:tcPr>
            <w:tcW w:type="dxa" w:w="420"/>
            <w:tcMar>
              <w:top w:type="dxa" w:w="65"/>
              <w:left w:type="dxa" w:w="85"/>
              <w:bottom w:type="dxa" w:w="65"/>
              <w:right w:type="dxa" w:w="85"/>
            </w:tcMar>
            <w:vAlign w:val="center"/>
          </w:tcPr>
          <w:p>
            <w:pPr>
              <w:jc w:val="center"/>
            </w:pPr>
            <w:r>
              <w:rPr>
                <w:b/>
                <w:bCs/>
                <w:color w:val="000000"/>
                <w:sz w:val="16"/>
                <w:szCs w:val="16"/>
              </w:rPr>
              <w:t xml:space="preserve">19</w:t>
            </w:r>
          </w:p>
        </w:tc>
        <w:tc>
          <w:tcPr>
            <w:tcW w:type="dxa" w:w="3000"/>
            <w:tcMar>
              <w:top w:type="dxa" w:w="65"/>
              <w:left w:type="dxa" w:w="85"/>
              <w:bottom w:type="dxa" w:w="65"/>
              <w:right w:type="dxa" w:w="85"/>
            </w:tcMar>
            <w:vAlign w:val="center"/>
          </w:tcPr>
          <w:p>
            <w:pPr>
              <w:jc w:val="left"/>
            </w:pPr>
            <w:r>
              <w:rPr>
                <w:color w:val="000000"/>
                <w:sz w:val="16"/>
                <w:szCs w:val="16"/>
              </w:rPr>
              <w:t xml:space="preserve">«Author's elaboration» en singular con dos autores.</w:t>
            </w:r>
          </w:p>
        </w:tc>
        <w:tc>
          <w:tcPr>
            <w:tcW w:type="dxa" w:w="1350"/>
            <w:tcMar>
              <w:top w:type="dxa" w:w="65"/>
              <w:left w:type="dxa" w:w="85"/>
              <w:bottom w:type="dxa" w:w="65"/>
              <w:right w:type="dxa" w:w="85"/>
            </w:tcMar>
            <w:vAlign w:val="center"/>
          </w:tcPr>
          <w:p>
            <w:pPr>
              <w:jc w:val="left"/>
            </w:pPr>
            <w:r>
              <w:rPr>
                <w:color w:val="000000"/>
                <w:sz w:val="16"/>
                <w:szCs w:val="16"/>
              </w:rPr>
              <w:t xml:space="preserve">Tabla 1 y su fuente</w:t>
            </w:r>
          </w:p>
        </w:tc>
        <w:tc>
          <w:tcPr>
            <w:tcW w:type="dxa" w:w="3130"/>
            <w:tcMar>
              <w:top w:type="dxa" w:w="65"/>
              <w:left w:type="dxa" w:w="85"/>
              <w:bottom w:type="dxa" w:w="65"/>
              <w:right w:type="dxa" w:w="85"/>
            </w:tcMar>
            <w:vAlign w:val="center"/>
          </w:tcPr>
          <w:p>
            <w:pPr>
              <w:jc w:val="left"/>
            </w:pPr>
            <w:r>
              <w:rPr>
                <w:color w:val="000000"/>
                <w:sz w:val="16"/>
                <w:szCs w:val="16"/>
              </w:rPr>
              <w:t xml:space="preserve">«Authors' elaboration».</w:t>
            </w:r>
          </w:p>
        </w:tc>
        <w:tc>
          <w:tcPr>
            <w:tcW w:type="dxa" w:w="1200"/>
            <w:shd w:fill="EAEAEA" w:color="auto" w:val="clear"/>
            <w:tcMar>
              <w:top w:type="dxa" w:w="65"/>
              <w:left w:type="dxa" w:w="85"/>
              <w:bottom w:type="dxa" w:w="65"/>
              <w:right w:type="dxa" w:w="85"/>
            </w:tcMar>
            <w:vAlign w:val="center"/>
          </w:tcPr>
          <w:p>
            <w:pPr>
              <w:jc w:val="center"/>
            </w:pPr>
            <w:r>
              <w:rPr>
                <w:b/>
                <w:bCs/>
                <w:color w:val="000000"/>
                <w:sz w:val="16"/>
                <w:szCs w:val="16"/>
              </w:rPr>
              <w:t xml:space="preserve">Baja</w:t>
            </w:r>
          </w:p>
        </w:tc>
      </w:tr>
      <w:tr>
        <w:trPr>
          <w:cantSplit/>
        </w:trPr>
        <w:tc>
          <w:tcPr>
            <w:tcW w:type="dxa" w:w="420"/>
            <w:tcMar>
              <w:top w:type="dxa" w:w="65"/>
              <w:left w:type="dxa" w:w="85"/>
              <w:bottom w:type="dxa" w:w="65"/>
              <w:right w:type="dxa" w:w="85"/>
            </w:tcMar>
            <w:vAlign w:val="center"/>
          </w:tcPr>
          <w:p>
            <w:pPr>
              <w:jc w:val="center"/>
            </w:pPr>
            <w:r>
              <w:rPr>
                <w:b/>
                <w:bCs/>
                <w:color w:val="000000"/>
                <w:sz w:val="16"/>
                <w:szCs w:val="16"/>
              </w:rPr>
              <w:t xml:space="preserve">20</w:t>
            </w:r>
          </w:p>
        </w:tc>
        <w:tc>
          <w:tcPr>
            <w:tcW w:type="dxa" w:w="3000"/>
            <w:tcMar>
              <w:top w:type="dxa" w:w="65"/>
              <w:left w:type="dxa" w:w="85"/>
              <w:bottom w:type="dxa" w:w="65"/>
              <w:right w:type="dxa" w:w="85"/>
            </w:tcMar>
            <w:vAlign w:val="center"/>
          </w:tcPr>
          <w:p>
            <w:pPr>
              <w:jc w:val="left"/>
            </w:pPr>
            <w:r>
              <w:rPr>
                <w:color w:val="000000"/>
                <w:sz w:val="16"/>
                <w:szCs w:val="16"/>
              </w:rPr>
              <w:t xml:space="preserve">El resumen enumera siete autores en lugar de declarar la contribución.</w:t>
            </w:r>
          </w:p>
        </w:tc>
        <w:tc>
          <w:tcPr>
            <w:tcW w:type="dxa" w:w="1350"/>
            <w:tcMar>
              <w:top w:type="dxa" w:w="65"/>
              <w:left w:type="dxa" w:w="85"/>
              <w:bottom w:type="dxa" w:w="65"/>
              <w:right w:type="dxa" w:w="85"/>
            </w:tcMar>
            <w:vAlign w:val="center"/>
          </w:tcPr>
          <w:p>
            <w:pPr>
              <w:jc w:val="left"/>
            </w:pPr>
            <w:r>
              <w:rPr>
                <w:color w:val="000000"/>
                <w:sz w:val="16"/>
                <w:szCs w:val="16"/>
              </w:rPr>
              <w:t xml:space="preserve">Resumen</w:t>
            </w:r>
          </w:p>
        </w:tc>
        <w:tc>
          <w:tcPr>
            <w:tcW w:type="dxa" w:w="3130"/>
            <w:tcMar>
              <w:top w:type="dxa" w:w="65"/>
              <w:left w:type="dxa" w:w="85"/>
              <w:bottom w:type="dxa" w:w="65"/>
              <w:right w:type="dxa" w:w="85"/>
            </w:tcMar>
            <w:vAlign w:val="center"/>
          </w:tcPr>
          <w:p>
            <w:pPr>
              <w:jc w:val="left"/>
            </w:pPr>
            <w:r>
              <w:rPr>
                <w:color w:val="000000"/>
                <w:sz w:val="16"/>
                <w:szCs w:val="16"/>
              </w:rPr>
              <w:t xml:space="preserve">Sustituir la enumeración por una frase de contribución teórica, que es el criterio explícito de la revista.</w:t>
            </w:r>
          </w:p>
        </w:tc>
        <w:tc>
          <w:tcPr>
            <w:tcW w:type="dxa" w:w="1200"/>
            <w:shd w:fill="FFF2CC" w:color="auto" w:val="clear"/>
            <w:tcMar>
              <w:top w:type="dxa" w:w="65"/>
              <w:left w:type="dxa" w:w="85"/>
              <w:bottom w:type="dxa" w:w="65"/>
              <w:right w:type="dxa" w:w="85"/>
            </w:tcMar>
            <w:vAlign w:val="center"/>
          </w:tcPr>
          <w:p>
            <w:pPr>
              <w:jc w:val="center"/>
            </w:pPr>
            <w:r>
              <w:rPr>
                <w:b/>
                <w:bCs/>
                <w:color w:val="000000"/>
                <w:sz w:val="16"/>
                <w:szCs w:val="16"/>
              </w:rPr>
              <w:t xml:space="preserve">Media</w:t>
            </w:r>
          </w:p>
        </w:tc>
      </w:tr>
      <w:tr>
        <w:trPr>
          <w:cantSplit/>
        </w:trPr>
        <w:tc>
          <w:tcPr>
            <w:tcW w:type="dxa" w:w="420"/>
            <w:tcMar>
              <w:top w:type="dxa" w:w="65"/>
              <w:left w:type="dxa" w:w="85"/>
              <w:bottom w:type="dxa" w:w="65"/>
              <w:right w:type="dxa" w:w="85"/>
            </w:tcMar>
            <w:vAlign w:val="center"/>
          </w:tcPr>
          <w:p>
            <w:pPr>
              <w:jc w:val="center"/>
            </w:pPr>
            <w:r>
              <w:rPr>
                <w:b/>
                <w:bCs/>
                <w:color w:val="000000"/>
                <w:sz w:val="16"/>
                <w:szCs w:val="16"/>
              </w:rPr>
              <w:t xml:space="preserve">21</w:t>
            </w:r>
          </w:p>
        </w:tc>
        <w:tc>
          <w:tcPr>
            <w:tcW w:type="dxa" w:w="3000"/>
            <w:tcMar>
              <w:top w:type="dxa" w:w="65"/>
              <w:left w:type="dxa" w:w="85"/>
              <w:bottom w:type="dxa" w:w="65"/>
              <w:right w:type="dxa" w:w="85"/>
            </w:tcMar>
            <w:vAlign w:val="center"/>
          </w:tcPr>
          <w:p>
            <w:pPr>
              <w:jc w:val="left"/>
            </w:pPr>
            <w:r>
              <w:rPr>
                <w:color w:val="000000"/>
                <w:sz w:val="16"/>
                <w:szCs w:val="16"/>
              </w:rPr>
              <w:t xml:space="preserve">Afirmaciones históricas sin respaldo: Smith, Ricardo y la revolución marginalista.</w:t>
            </w:r>
          </w:p>
        </w:tc>
        <w:tc>
          <w:tcPr>
            <w:tcW w:type="dxa" w:w="1350"/>
            <w:tcMar>
              <w:top w:type="dxa" w:w="65"/>
              <w:left w:type="dxa" w:w="85"/>
              <w:bottom w:type="dxa" w:w="65"/>
              <w:right w:type="dxa" w:w="85"/>
            </w:tcMar>
            <w:vAlign w:val="center"/>
          </w:tcPr>
          <w:p>
            <w:pPr>
              <w:jc w:val="left"/>
            </w:pPr>
            <w:r>
              <w:rPr>
                <w:color w:val="000000"/>
                <w:sz w:val="16"/>
                <w:szCs w:val="16"/>
              </w:rPr>
              <w:t xml:space="preserve">§3.1</w:t>
            </w:r>
          </w:p>
        </w:tc>
        <w:tc>
          <w:tcPr>
            <w:tcW w:type="dxa" w:w="3130"/>
            <w:tcMar>
              <w:top w:type="dxa" w:w="65"/>
              <w:left w:type="dxa" w:w="85"/>
              <w:bottom w:type="dxa" w:w="65"/>
              <w:right w:type="dxa" w:w="85"/>
            </w:tcMar>
            <w:vAlign w:val="center"/>
          </w:tcPr>
          <w:p>
            <w:pPr>
              <w:jc w:val="left"/>
            </w:pPr>
            <w:r>
              <w:rPr>
                <w:color w:val="000000"/>
                <w:sz w:val="16"/>
                <w:szCs w:val="16"/>
              </w:rPr>
              <w:t xml:space="preserve">Citar una fuente de historia del pensamiento económico o condensar el pasaje.</w:t>
            </w:r>
          </w:p>
        </w:tc>
        <w:tc>
          <w:tcPr>
            <w:tcW w:type="dxa" w:w="1200"/>
            <w:shd w:fill="EAEAEA" w:color="auto" w:val="clear"/>
            <w:tcMar>
              <w:top w:type="dxa" w:w="65"/>
              <w:left w:type="dxa" w:w="85"/>
              <w:bottom w:type="dxa" w:w="65"/>
              <w:right w:type="dxa" w:w="85"/>
            </w:tcMar>
            <w:vAlign w:val="center"/>
          </w:tcPr>
          <w:p>
            <w:pPr>
              <w:jc w:val="center"/>
            </w:pPr>
            <w:r>
              <w:rPr>
                <w:b/>
                <w:bCs/>
                <w:color w:val="000000"/>
                <w:sz w:val="16"/>
                <w:szCs w:val="16"/>
              </w:rPr>
              <w:t xml:space="preserve">Baja</w:t>
            </w:r>
          </w:p>
        </w:tc>
      </w:tr>
      <w:tr>
        <w:trPr>
          <w:cantSplit/>
        </w:trPr>
        <w:tc>
          <w:tcPr>
            <w:tcW w:type="dxa" w:w="420"/>
            <w:tcMar>
              <w:top w:type="dxa" w:w="65"/>
              <w:left w:type="dxa" w:w="85"/>
              <w:bottom w:type="dxa" w:w="65"/>
              <w:right w:type="dxa" w:w="85"/>
            </w:tcMar>
            <w:vAlign w:val="center"/>
          </w:tcPr>
          <w:p>
            <w:pPr>
              <w:jc w:val="center"/>
            </w:pPr>
            <w:r>
              <w:rPr>
                <w:b/>
                <w:bCs/>
                <w:color w:val="000000"/>
                <w:sz w:val="16"/>
                <w:szCs w:val="16"/>
              </w:rPr>
              <w:t xml:space="preserve">22</w:t>
            </w:r>
          </w:p>
        </w:tc>
        <w:tc>
          <w:tcPr>
            <w:tcW w:type="dxa" w:w="3000"/>
            <w:tcMar>
              <w:top w:type="dxa" w:w="65"/>
              <w:left w:type="dxa" w:w="85"/>
              <w:bottom w:type="dxa" w:w="65"/>
              <w:right w:type="dxa" w:w="85"/>
            </w:tcMar>
            <w:vAlign w:val="center"/>
          </w:tcPr>
          <w:p>
            <w:pPr>
              <w:jc w:val="left"/>
            </w:pPr>
            <w:r>
              <w:rPr>
                <w:color w:val="000000"/>
                <w:sz w:val="16"/>
                <w:szCs w:val="16"/>
              </w:rPr>
              <w:t xml:space="preserve">Ortografía estadounidense consistente (organization, judgment, behavior).</w:t>
            </w:r>
          </w:p>
        </w:tc>
        <w:tc>
          <w:tcPr>
            <w:tcW w:type="dxa" w:w="1350"/>
            <w:tcMar>
              <w:top w:type="dxa" w:w="65"/>
              <w:left w:type="dxa" w:w="85"/>
              <w:bottom w:type="dxa" w:w="65"/>
              <w:right w:type="dxa" w:w="85"/>
            </w:tcMar>
            <w:vAlign w:val="center"/>
          </w:tcPr>
          <w:p>
            <w:pPr>
              <w:jc w:val="left"/>
            </w:pPr>
            <w:r>
              <w:rPr>
                <w:color w:val="000000"/>
                <w:sz w:val="16"/>
                <w:szCs w:val="16"/>
              </w:rPr>
              <w:t xml:space="preserve">Global</w:t>
            </w:r>
          </w:p>
        </w:tc>
        <w:tc>
          <w:tcPr>
            <w:tcW w:type="dxa" w:w="3130"/>
            <w:tcMar>
              <w:top w:type="dxa" w:w="65"/>
              <w:left w:type="dxa" w:w="85"/>
              <w:bottom w:type="dxa" w:w="65"/>
              <w:right w:type="dxa" w:w="85"/>
            </w:tcMar>
            <w:vAlign w:val="center"/>
          </w:tcPr>
          <w:p>
            <w:pPr>
              <w:jc w:val="left"/>
            </w:pPr>
            <w:r>
              <w:rPr>
                <w:color w:val="000000"/>
                <w:sz w:val="16"/>
                <w:szCs w:val="16"/>
              </w:rPr>
              <w:t xml:space="preserve">Mantener. No requiere acción.</w:t>
            </w:r>
          </w:p>
        </w:tc>
        <w:tc>
          <w:tcPr>
            <w:tcW w:type="dxa" w:w="1200"/>
            <w:shd w:fill="EAEAEA" w:color="auto" w:val="clear"/>
            <w:tcMar>
              <w:top w:type="dxa" w:w="65"/>
              <w:left w:type="dxa" w:w="85"/>
              <w:bottom w:type="dxa" w:w="65"/>
              <w:right w:type="dxa" w:w="85"/>
            </w:tcMar>
            <w:vAlign w:val="center"/>
          </w:tcPr>
          <w:p>
            <w:pPr>
              <w:jc w:val="center"/>
            </w:pPr>
            <w:r>
              <w:rPr>
                <w:b/>
                <w:bCs/>
                <w:color w:val="000000"/>
                <w:sz w:val="16"/>
                <w:szCs w:val="16"/>
              </w:rPr>
              <w:t xml:space="preserve">Baja</w:t>
            </w:r>
          </w:p>
        </w:tc>
      </w:tr>
    </w:tbl>
    <w:p>
      <w:pPr>
        <w:pStyle w:val="Heading1"/>
        <w:spacing w:after="120" w:before="320"/>
      </w:pPr>
      <w:r>
        <w:t xml:space="preserve">5. Normalización de referencias</w:t>
      </w:r>
    </w:p>
    <w:p>
      <w:pPr>
        <w:spacing w:after="130"/>
      </w:pPr>
      <w:r>
        <w:rPr>
          <w:sz w:val="19"/>
          <w:szCs w:val="19"/>
        </w:rPr>
        <w:t xml:space="preserve">Las correcciones asumen estilo APA 7. No fue posible acceder a las instrucciones de la revista por bloqueo del sitio del editor; conviene confirmar el estilo exigido antes de aplicarlas.</w:t>
      </w:r>
    </w:p>
    <w:tbl>
      <w:tblPr>
        <w:tblW w:type="dxa" w:w="9100"/>
        <w:tblBorders>
          <w:top w:val="single" w:color="999999" w:sz="2"/>
          <w:left w:val="single" w:color="999999" w:sz="2"/>
          <w:bottom w:val="single" w:color="999999" w:sz="2"/>
          <w:right w:val="single" w:color="999999" w:sz="2"/>
          <w:insideH w:val="single" w:color="999999" w:sz="2"/>
          <w:insideV w:val="single" w:color="999999" w:sz="2"/>
        </w:tblBorders>
      </w:tblPr>
      <w:tblGrid>
        <w:gridCol w:w="2500"/>
        <w:gridCol w:w="4200"/>
        <w:gridCol w:w="2400"/>
      </w:tblGrid>
      <w:tr>
        <w:trPr>
          <w:tblHeader/>
        </w:trPr>
        <w:tc>
          <w:tcPr>
            <w:tcW w:type="dxa" w:w="2500"/>
            <w:shd w:fill="434343" w:color="auto" w:val="clear"/>
            <w:tcMar>
              <w:top w:type="dxa" w:w="65"/>
              <w:left w:type="dxa" w:w="85"/>
              <w:bottom w:type="dxa" w:w="65"/>
              <w:right w:type="dxa" w:w="85"/>
            </w:tcMar>
            <w:vAlign w:val="center"/>
          </w:tcPr>
          <w:p>
            <w:pPr>
              <w:jc w:val="left"/>
            </w:pPr>
            <w:r>
              <w:rPr>
                <w:b/>
                <w:bCs/>
                <w:color w:val="FFFFFF"/>
                <w:sz w:val="16"/>
                <w:szCs w:val="16"/>
              </w:rPr>
              <w:t xml:space="preserve">Entrada</w:t>
            </w:r>
          </w:p>
        </w:tc>
        <w:tc>
          <w:tcPr>
            <w:tcW w:type="dxa" w:w="4200"/>
            <w:shd w:fill="434343" w:color="auto" w:val="clear"/>
            <w:tcMar>
              <w:top w:type="dxa" w:w="65"/>
              <w:left w:type="dxa" w:w="85"/>
              <w:bottom w:type="dxa" w:w="65"/>
              <w:right w:type="dxa" w:w="85"/>
            </w:tcMar>
            <w:vAlign w:val="center"/>
          </w:tcPr>
          <w:p>
            <w:pPr>
              <w:jc w:val="left"/>
            </w:pPr>
            <w:r>
              <w:rPr>
                <w:b/>
                <w:bCs/>
                <w:color w:val="FFFFFF"/>
                <w:sz w:val="16"/>
                <w:szCs w:val="16"/>
              </w:rPr>
              <w:t xml:space="preserve">Problema</w:t>
            </w:r>
          </w:p>
        </w:tc>
        <w:tc>
          <w:tcPr>
            <w:tcW w:type="dxa" w:w="2400"/>
            <w:shd w:fill="434343" w:color="auto" w:val="clear"/>
            <w:tcMar>
              <w:top w:type="dxa" w:w="65"/>
              <w:left w:type="dxa" w:w="85"/>
              <w:bottom w:type="dxa" w:w="65"/>
              <w:right w:type="dxa" w:w="85"/>
            </w:tcMar>
            <w:vAlign w:val="center"/>
          </w:tcPr>
          <w:p>
            <w:pPr>
              <w:jc w:val="left"/>
            </w:pPr>
            <w:r>
              <w:rPr>
                <w:b/>
                <w:bCs/>
                <w:color w:val="FFFFFF"/>
                <w:sz w:val="16"/>
                <w:szCs w:val="16"/>
              </w:rPr>
              <w:t xml:space="preserve">Corrección</w:t>
            </w:r>
          </w:p>
        </w:tc>
      </w:tr>
      <w:tr>
        <w:trPr>
          <w:cantSplit/>
        </w:trPr>
        <w:tc>
          <w:tcPr>
            <w:tcW w:type="dxa" w:w="2500"/>
            <w:tcMar>
              <w:top w:type="dxa" w:w="65"/>
              <w:left w:type="dxa" w:w="85"/>
              <w:bottom w:type="dxa" w:w="65"/>
              <w:right w:type="dxa" w:w="85"/>
            </w:tcMar>
            <w:vAlign w:val="center"/>
          </w:tcPr>
          <w:p>
            <w:pPr>
              <w:jc w:val="left"/>
            </w:pPr>
            <w:r>
              <w:rPr>
                <w:b/>
                <w:bCs/>
                <w:color w:val="000000"/>
                <w:sz w:val="16"/>
                <w:szCs w:val="16"/>
              </w:rPr>
              <w:t xml:space="preserve">☐  Maroun (2022)</w:t>
            </w:r>
          </w:p>
        </w:tc>
        <w:tc>
          <w:tcPr>
            <w:tcW w:type="dxa" w:w="4200"/>
            <w:tcMar>
              <w:top w:type="dxa" w:w="65"/>
              <w:left w:type="dxa" w:w="85"/>
              <w:bottom w:type="dxa" w:w="65"/>
              <w:right w:type="dxa" w:w="85"/>
            </w:tcMar>
            <w:vAlign w:val="center"/>
          </w:tcPr>
          <w:p>
            <w:pPr>
              <w:jc w:val="left"/>
            </w:pPr>
            <w:r>
              <w:rPr>
                <w:color w:val="000000"/>
                <w:sz w:val="16"/>
                <w:szCs w:val="16"/>
              </w:rPr>
              <w:t xml:space="preserve">Coautor omitido y páginas erróneas</w:t>
            </w:r>
          </w:p>
        </w:tc>
        <w:tc>
          <w:tcPr>
            <w:tcW w:type="dxa" w:w="2400"/>
            <w:tcMar>
              <w:top w:type="dxa" w:w="65"/>
              <w:left w:type="dxa" w:w="85"/>
              <w:bottom w:type="dxa" w:w="65"/>
              <w:right w:type="dxa" w:w="85"/>
            </w:tcMar>
            <w:vAlign w:val="center"/>
          </w:tcPr>
          <w:p>
            <w:pPr>
              <w:jc w:val="left"/>
            </w:pPr>
            <w:r>
              <w:rPr>
                <w:color w:val="000000"/>
                <w:sz w:val="16"/>
                <w:szCs w:val="16"/>
              </w:rPr>
              <w:t xml:space="preserve">Ver observación 5</w:t>
            </w:r>
          </w:p>
        </w:tc>
      </w:tr>
      <w:tr>
        <w:trPr>
          <w:cantSplit/>
        </w:trPr>
        <w:tc>
          <w:tcPr>
            <w:tcW w:type="dxa" w:w="2500"/>
            <w:tcMar>
              <w:top w:type="dxa" w:w="65"/>
              <w:left w:type="dxa" w:w="85"/>
              <w:bottom w:type="dxa" w:w="65"/>
              <w:right w:type="dxa" w:w="85"/>
            </w:tcMar>
            <w:vAlign w:val="center"/>
          </w:tcPr>
          <w:p>
            <w:pPr>
              <w:jc w:val="left"/>
            </w:pPr>
            <w:r>
              <w:rPr>
                <w:b/>
                <w:bCs/>
                <w:color w:val="000000"/>
                <w:sz w:val="16"/>
                <w:szCs w:val="16"/>
              </w:rPr>
              <w:t xml:space="preserve">☐  25 de 26 entradas</w:t>
            </w:r>
          </w:p>
        </w:tc>
        <w:tc>
          <w:tcPr>
            <w:tcW w:type="dxa" w:w="4200"/>
            <w:tcMar>
              <w:top w:type="dxa" w:w="65"/>
              <w:left w:type="dxa" w:w="85"/>
              <w:bottom w:type="dxa" w:w="65"/>
              <w:right w:type="dxa" w:w="85"/>
            </w:tcMar>
            <w:vAlign w:val="center"/>
          </w:tcPr>
          <w:p>
            <w:pPr>
              <w:jc w:val="left"/>
            </w:pPr>
            <w:r>
              <w:rPr>
                <w:color w:val="000000"/>
                <w:sz w:val="16"/>
                <w:szCs w:val="16"/>
              </w:rPr>
              <w:t xml:space="preserve">Sin cursiva en título de libro o en revista y volumen</w:t>
            </w:r>
          </w:p>
        </w:tc>
        <w:tc>
          <w:tcPr>
            <w:tcW w:type="dxa" w:w="2400"/>
            <w:tcMar>
              <w:top w:type="dxa" w:w="65"/>
              <w:left w:type="dxa" w:w="85"/>
              <w:bottom w:type="dxa" w:w="65"/>
              <w:right w:type="dxa" w:w="85"/>
            </w:tcMar>
            <w:vAlign w:val="center"/>
          </w:tcPr>
          <w:p>
            <w:pPr>
              <w:jc w:val="left"/>
            </w:pPr>
            <w:r>
              <w:rPr>
                <w:color w:val="000000"/>
                <w:sz w:val="16"/>
                <w:szCs w:val="16"/>
              </w:rPr>
              <w:t xml:space="preserve">Aplicar cursiva conforme al estilo de la revista</w:t>
            </w:r>
          </w:p>
        </w:tc>
      </w:tr>
      <w:tr>
        <w:trPr>
          <w:cantSplit/>
        </w:trPr>
        <w:tc>
          <w:tcPr>
            <w:tcW w:type="dxa" w:w="2500"/>
            <w:tcMar>
              <w:top w:type="dxa" w:w="65"/>
              <w:left w:type="dxa" w:w="85"/>
              <w:bottom w:type="dxa" w:w="65"/>
              <w:right w:type="dxa" w:w="85"/>
            </w:tcMar>
            <w:vAlign w:val="center"/>
          </w:tcPr>
          <w:p>
            <w:pPr>
              <w:jc w:val="left"/>
            </w:pPr>
            <w:r>
              <w:rPr>
                <w:b/>
                <w:bCs/>
                <w:color w:val="000000"/>
                <w:sz w:val="16"/>
                <w:szCs w:val="16"/>
              </w:rPr>
              <w:t xml:space="preserve">☐  Arthur, Chua, Damodaran, Ijiri, Keynes, Knight, Mattessich, Taleb, Zadeh</w:t>
            </w:r>
          </w:p>
        </w:tc>
        <w:tc>
          <w:tcPr>
            <w:tcW w:type="dxa" w:w="4200"/>
            <w:tcMar>
              <w:top w:type="dxa" w:w="65"/>
              <w:left w:type="dxa" w:w="85"/>
              <w:bottom w:type="dxa" w:w="65"/>
              <w:right w:type="dxa" w:w="85"/>
            </w:tcMar>
            <w:vAlign w:val="center"/>
          </w:tcPr>
          <w:p>
            <w:pPr>
              <w:jc w:val="left"/>
            </w:pPr>
            <w:r>
              <w:rPr>
                <w:color w:val="000000"/>
                <w:sz w:val="16"/>
                <w:szCs w:val="16"/>
              </w:rPr>
              <w:t xml:space="preserve">Títulos en Title Case</w:t>
            </w:r>
          </w:p>
        </w:tc>
        <w:tc>
          <w:tcPr>
            <w:tcW w:type="dxa" w:w="2400"/>
            <w:tcMar>
              <w:top w:type="dxa" w:w="65"/>
              <w:left w:type="dxa" w:w="85"/>
              <w:bottom w:type="dxa" w:w="65"/>
              <w:right w:type="dxa" w:w="85"/>
            </w:tcMar>
            <w:vAlign w:val="center"/>
          </w:tcPr>
          <w:p>
            <w:pPr>
              <w:jc w:val="left"/>
            </w:pPr>
            <w:r>
              <w:rPr>
                <w:color w:val="000000"/>
                <w:sz w:val="16"/>
                <w:szCs w:val="16"/>
              </w:rPr>
              <w:t xml:space="preserve">Pasar a sentence case si el estilo es APA</w:t>
            </w:r>
          </w:p>
        </w:tc>
      </w:tr>
      <w:tr>
        <w:trPr>
          <w:cantSplit/>
        </w:trPr>
        <w:tc>
          <w:tcPr>
            <w:tcW w:type="dxa" w:w="2500"/>
            <w:tcMar>
              <w:top w:type="dxa" w:w="65"/>
              <w:left w:type="dxa" w:w="85"/>
              <w:bottom w:type="dxa" w:w="65"/>
              <w:right w:type="dxa" w:w="85"/>
            </w:tcMar>
            <w:vAlign w:val="center"/>
          </w:tcPr>
          <w:p>
            <w:pPr>
              <w:jc w:val="left"/>
            </w:pPr>
            <w:r>
              <w:rPr>
                <w:b/>
                <w:bCs/>
                <w:color w:val="000000"/>
                <w:sz w:val="16"/>
                <w:szCs w:val="16"/>
              </w:rPr>
              <w:t xml:space="preserve">☐  22 de 26 entradas</w:t>
            </w:r>
          </w:p>
        </w:tc>
        <w:tc>
          <w:tcPr>
            <w:tcW w:type="dxa" w:w="4200"/>
            <w:tcMar>
              <w:top w:type="dxa" w:w="65"/>
              <w:left w:type="dxa" w:w="85"/>
              <w:bottom w:type="dxa" w:w="65"/>
              <w:right w:type="dxa" w:w="85"/>
            </w:tcMar>
            <w:vAlign w:val="center"/>
          </w:tcPr>
          <w:p>
            <w:pPr>
              <w:jc w:val="left"/>
            </w:pPr>
            <w:r>
              <w:rPr>
                <w:color w:val="000000"/>
                <w:sz w:val="16"/>
                <w:szCs w:val="16"/>
              </w:rPr>
              <w:t xml:space="preserve">Sin DOI</w:t>
            </w:r>
          </w:p>
        </w:tc>
        <w:tc>
          <w:tcPr>
            <w:tcW w:type="dxa" w:w="2400"/>
            <w:tcMar>
              <w:top w:type="dxa" w:w="65"/>
              <w:left w:type="dxa" w:w="85"/>
              <w:bottom w:type="dxa" w:w="65"/>
              <w:right w:type="dxa" w:w="85"/>
            </w:tcMar>
            <w:vAlign w:val="center"/>
          </w:tcPr>
          <w:p>
            <w:pPr>
              <w:jc w:val="left"/>
            </w:pPr>
            <w:r>
              <w:rPr>
                <w:color w:val="000000"/>
                <w:sz w:val="16"/>
                <w:szCs w:val="16"/>
              </w:rPr>
              <w:t xml:space="preserve">Añadir DOI a todos los artículos de revista</w:t>
            </w:r>
          </w:p>
        </w:tc>
      </w:tr>
      <w:tr>
        <w:trPr>
          <w:cantSplit/>
        </w:trPr>
        <w:tc>
          <w:tcPr>
            <w:tcW w:type="dxa" w:w="2500"/>
            <w:tcMar>
              <w:top w:type="dxa" w:w="65"/>
              <w:left w:type="dxa" w:w="85"/>
              <w:bottom w:type="dxa" w:w="65"/>
              <w:right w:type="dxa" w:w="85"/>
            </w:tcMar>
            <w:vAlign w:val="center"/>
          </w:tcPr>
          <w:p>
            <w:pPr>
              <w:jc w:val="left"/>
            </w:pPr>
            <w:r>
              <w:rPr>
                <w:b/>
                <w:bCs/>
                <w:color w:val="000000"/>
                <w:sz w:val="16"/>
                <w:szCs w:val="16"/>
              </w:rPr>
              <w:t xml:space="preserve">☐  Dubois y Prade (1996)</w:t>
            </w:r>
          </w:p>
        </w:tc>
        <w:tc>
          <w:tcPr>
            <w:tcW w:type="dxa" w:w="4200"/>
            <w:tcMar>
              <w:top w:type="dxa" w:w="65"/>
              <w:left w:type="dxa" w:w="85"/>
              <w:bottom w:type="dxa" w:w="65"/>
              <w:right w:type="dxa" w:w="85"/>
            </w:tcMar>
            <w:vAlign w:val="center"/>
          </w:tcPr>
          <w:p>
            <w:pPr>
              <w:jc w:val="left"/>
            </w:pPr>
            <w:r>
              <w:rPr>
                <w:color w:val="000000"/>
                <w:sz w:val="16"/>
                <w:szCs w:val="16"/>
              </w:rPr>
              <w:t xml:space="preserve">Hipervínculo del DOI truncado antes de «_1»: resuelve al libro, no al capítulo</w:t>
            </w:r>
          </w:p>
        </w:tc>
        <w:tc>
          <w:tcPr>
            <w:tcW w:type="dxa" w:w="2400"/>
            <w:tcMar>
              <w:top w:type="dxa" w:w="65"/>
              <w:left w:type="dxa" w:w="85"/>
              <w:bottom w:type="dxa" w:w="65"/>
              <w:right w:type="dxa" w:w="85"/>
            </w:tcMar>
            <w:vAlign w:val="center"/>
          </w:tcPr>
          <w:p>
            <w:pPr>
              <w:jc w:val="left"/>
            </w:pPr>
            <w:r>
              <w:rPr>
                <w:color w:val="000000"/>
                <w:sz w:val="16"/>
                <w:szCs w:val="16"/>
              </w:rPr>
              <w:t xml:space="preserve">Rehacer el vínculo con el DOI completo del capítulo</w:t>
            </w:r>
          </w:p>
        </w:tc>
      </w:tr>
      <w:tr>
        <w:trPr>
          <w:cantSplit/>
        </w:trPr>
        <w:tc>
          <w:tcPr>
            <w:tcW w:type="dxa" w:w="2500"/>
            <w:tcMar>
              <w:top w:type="dxa" w:w="65"/>
              <w:left w:type="dxa" w:w="85"/>
              <w:bottom w:type="dxa" w:w="65"/>
              <w:right w:type="dxa" w:w="85"/>
            </w:tcMar>
            <w:vAlign w:val="center"/>
          </w:tcPr>
          <w:p>
            <w:pPr>
              <w:jc w:val="left"/>
            </w:pPr>
            <w:r>
              <w:rPr>
                <w:b/>
                <w:bCs/>
                <w:color w:val="000000"/>
                <w:sz w:val="16"/>
                <w:szCs w:val="16"/>
              </w:rPr>
              <w:t xml:space="preserve">☐  Morin (1994); Prigogine (1996)</w:t>
            </w:r>
          </w:p>
        </w:tc>
        <w:tc>
          <w:tcPr>
            <w:tcW w:type="dxa" w:w="4200"/>
            <w:tcMar>
              <w:top w:type="dxa" w:w="65"/>
              <w:left w:type="dxa" w:w="85"/>
              <w:bottom w:type="dxa" w:w="65"/>
              <w:right w:type="dxa" w:w="85"/>
            </w:tcMar>
            <w:vAlign w:val="center"/>
          </w:tcPr>
          <w:p>
            <w:pPr>
              <w:jc w:val="left"/>
            </w:pPr>
            <w:r>
              <w:rPr>
                <w:color w:val="000000"/>
                <w:sz w:val="16"/>
                <w:szCs w:val="16"/>
              </w:rPr>
              <w:t xml:space="preserve">Ediciones en español citadas en un artículo en inglés, sin traducción del título</w:t>
            </w:r>
          </w:p>
        </w:tc>
        <w:tc>
          <w:tcPr>
            <w:tcW w:type="dxa" w:w="2400"/>
            <w:tcMar>
              <w:top w:type="dxa" w:w="65"/>
              <w:left w:type="dxa" w:w="85"/>
              <w:bottom w:type="dxa" w:w="65"/>
              <w:right w:type="dxa" w:w="85"/>
            </w:tcMar>
            <w:vAlign w:val="center"/>
          </w:tcPr>
          <w:p>
            <w:pPr>
              <w:jc w:val="left"/>
            </w:pPr>
            <w:r>
              <w:rPr>
                <w:color w:val="000000"/>
                <w:sz w:val="16"/>
                <w:szCs w:val="16"/>
              </w:rPr>
              <w:t xml:space="preserve">Citar las ediciones inglesas: Morin, On Complexity (Hampton Press, 2008); Prigogine, The End of Certainty (Free Press, 1997). Verificar datos</w:t>
            </w:r>
          </w:p>
        </w:tc>
      </w:tr>
      <w:tr>
        <w:trPr>
          <w:cantSplit/>
        </w:trPr>
        <w:tc>
          <w:tcPr>
            <w:tcW w:type="dxa" w:w="2500"/>
            <w:tcMar>
              <w:top w:type="dxa" w:w="65"/>
              <w:left w:type="dxa" w:w="85"/>
              <w:bottom w:type="dxa" w:w="65"/>
              <w:right w:type="dxa" w:w="85"/>
            </w:tcMar>
            <w:vAlign w:val="center"/>
          </w:tcPr>
          <w:p>
            <w:pPr>
              <w:jc w:val="left"/>
            </w:pPr>
            <w:r>
              <w:rPr>
                <w:b/>
                <w:bCs/>
                <w:color w:val="000000"/>
                <w:sz w:val="16"/>
                <w:szCs w:val="16"/>
              </w:rPr>
              <w:t xml:space="preserve">☐  García Casella (2008)</w:t>
            </w:r>
          </w:p>
        </w:tc>
        <w:tc>
          <w:tcPr>
            <w:tcW w:type="dxa" w:w="4200"/>
            <w:tcMar>
              <w:top w:type="dxa" w:w="65"/>
              <w:left w:type="dxa" w:w="85"/>
              <w:bottom w:type="dxa" w:w="65"/>
              <w:right w:type="dxa" w:w="85"/>
            </w:tcMar>
            <w:vAlign w:val="center"/>
          </w:tcPr>
          <w:p>
            <w:pPr>
              <w:jc w:val="left"/>
            </w:pPr>
            <w:r>
              <w:rPr>
                <w:color w:val="000000"/>
                <w:sz w:val="16"/>
                <w:szCs w:val="16"/>
              </w:rPr>
              <w:t xml:space="preserve">Título en español sin traducción entre corchetes; editorial imprecisa</w:t>
            </w:r>
          </w:p>
        </w:tc>
        <w:tc>
          <w:tcPr>
            <w:tcW w:type="dxa" w:w="2400"/>
            <w:tcMar>
              <w:top w:type="dxa" w:w="65"/>
              <w:left w:type="dxa" w:w="85"/>
              <w:bottom w:type="dxa" w:w="65"/>
              <w:right w:type="dxa" w:w="85"/>
            </w:tcMar>
            <w:vAlign w:val="center"/>
          </w:tcPr>
          <w:p>
            <w:pPr>
              <w:jc w:val="left"/>
            </w:pPr>
            <w:r>
              <w:rPr>
                <w:color w:val="000000"/>
                <w:sz w:val="16"/>
                <w:szCs w:val="16"/>
              </w:rPr>
              <w:t xml:space="preserve">Añadir [traducción] y precisar la fuente</w:t>
            </w:r>
          </w:p>
        </w:tc>
      </w:tr>
      <w:tr>
        <w:trPr>
          <w:cantSplit/>
        </w:trPr>
        <w:tc>
          <w:tcPr>
            <w:tcW w:type="dxa" w:w="2500"/>
            <w:tcMar>
              <w:top w:type="dxa" w:w="65"/>
              <w:left w:type="dxa" w:w="85"/>
              <w:bottom w:type="dxa" w:w="65"/>
              <w:right w:type="dxa" w:w="85"/>
            </w:tcMar>
            <w:vAlign w:val="center"/>
          </w:tcPr>
          <w:p>
            <w:pPr>
              <w:jc w:val="left"/>
            </w:pPr>
            <w:r>
              <w:rPr>
                <w:b/>
                <w:bCs/>
                <w:color w:val="000000"/>
                <w:sz w:val="16"/>
                <w:szCs w:val="16"/>
              </w:rPr>
              <w:t xml:space="preserve">☐  Tua Pereda (2012)</w:t>
            </w:r>
          </w:p>
        </w:tc>
        <w:tc>
          <w:tcPr>
            <w:tcW w:type="dxa" w:w="4200"/>
            <w:tcMar>
              <w:top w:type="dxa" w:w="65"/>
              <w:left w:type="dxa" w:w="85"/>
              <w:bottom w:type="dxa" w:w="65"/>
              <w:right w:type="dxa" w:w="85"/>
            </w:tcMar>
            <w:vAlign w:val="center"/>
          </w:tcPr>
          <w:p>
            <w:pPr>
              <w:jc w:val="left"/>
            </w:pPr>
            <w:r>
              <w:rPr>
                <w:color w:val="000000"/>
                <w:sz w:val="16"/>
                <w:szCs w:val="16"/>
              </w:rPr>
              <w:t xml:space="preserve">Revertido al formato incorrecto «Revista De Computis, (16)», ya corregido en la versión española</w:t>
            </w:r>
          </w:p>
        </w:tc>
        <w:tc>
          <w:tcPr>
            <w:tcW w:type="dxa" w:w="2400"/>
            <w:tcMar>
              <w:top w:type="dxa" w:w="65"/>
              <w:left w:type="dxa" w:w="85"/>
              <w:bottom w:type="dxa" w:w="65"/>
              <w:right w:type="dxa" w:w="85"/>
            </w:tcMar>
            <w:vAlign w:val="center"/>
          </w:tcPr>
          <w:p>
            <w:pPr>
              <w:jc w:val="left"/>
            </w:pPr>
            <w:r>
              <w:rPr>
                <w:color w:val="000000"/>
                <w:sz w:val="16"/>
                <w:szCs w:val="16"/>
              </w:rPr>
              <w:t xml:space="preserve">«De Computis. Revista Española de Historia de la Contabilidad, 16»</w:t>
            </w:r>
          </w:p>
        </w:tc>
      </w:tr>
    </w:tbl>
    <w:p>
      <w:pPr>
        <w:pStyle w:val="Heading1"/>
        <w:spacing w:after="120" w:before="320"/>
      </w:pPr>
      <w:r>
        <w:t xml:space="preserve">6. Literatura sugerida para integrar</w:t>
      </w:r>
    </w:p>
    <w:p>
      <w:pPr>
        <w:spacing w:after="130"/>
      </w:pPr>
      <w:r>
        <w:rPr>
          <w:sz w:val="19"/>
          <w:szCs w:val="19"/>
        </w:rPr>
        <w:t xml:space="preserve">Solo se listan obras cuya existencia y datos se verificaron o normas de referencia pública. No sustituyen la búsqueda sistemática de literatura 2018–2026 que exige la observación 8.</w:t>
      </w:r>
    </w:p>
    <w:tbl>
      <w:tblPr>
        <w:tblW w:type="dxa" w:w="9100"/>
        <w:tblBorders>
          <w:top w:val="single" w:color="999999" w:sz="2"/>
          <w:left w:val="single" w:color="999999" w:sz="2"/>
          <w:bottom w:val="single" w:color="999999" w:sz="2"/>
          <w:right w:val="single" w:color="999999" w:sz="2"/>
          <w:insideH w:val="single" w:color="999999" w:sz="2"/>
          <w:insideV w:val="single" w:color="999999" w:sz="2"/>
        </w:tblBorders>
      </w:tblPr>
      <w:tblGrid>
        <w:gridCol w:w="4700"/>
        <w:gridCol w:w="2300"/>
        <w:gridCol w:w="2100"/>
      </w:tblGrid>
      <w:tr>
        <w:trPr>
          <w:tblHeader/>
        </w:trPr>
        <w:tc>
          <w:tcPr>
            <w:tcW w:type="dxa" w:w="4700"/>
            <w:shd w:fill="434343" w:color="auto" w:val="clear"/>
            <w:tcMar>
              <w:top w:type="dxa" w:w="65"/>
              <w:left w:type="dxa" w:w="85"/>
              <w:bottom w:type="dxa" w:w="65"/>
              <w:right w:type="dxa" w:w="85"/>
            </w:tcMar>
            <w:vAlign w:val="center"/>
          </w:tcPr>
          <w:p>
            <w:pPr>
              <w:jc w:val="left"/>
            </w:pPr>
            <w:r>
              <w:rPr>
                <w:b/>
                <w:bCs/>
                <w:color w:val="FFFFFF"/>
                <w:sz w:val="16"/>
                <w:szCs w:val="16"/>
              </w:rPr>
              <w:t xml:space="preserve">Referencia</w:t>
            </w:r>
          </w:p>
        </w:tc>
        <w:tc>
          <w:tcPr>
            <w:tcW w:type="dxa" w:w="2300"/>
            <w:shd w:fill="434343" w:color="auto" w:val="clear"/>
            <w:tcMar>
              <w:top w:type="dxa" w:w="65"/>
              <w:left w:type="dxa" w:w="85"/>
              <w:bottom w:type="dxa" w:w="65"/>
              <w:right w:type="dxa" w:w="85"/>
            </w:tcMar>
            <w:vAlign w:val="center"/>
          </w:tcPr>
          <w:p>
            <w:pPr>
              <w:jc w:val="left"/>
            </w:pPr>
            <w:r>
              <w:rPr>
                <w:b/>
                <w:bCs/>
                <w:color w:val="FFFFFF"/>
                <w:sz w:val="16"/>
                <w:szCs w:val="16"/>
              </w:rPr>
              <w:t xml:space="preserve">Función en el argumento</w:t>
            </w:r>
          </w:p>
        </w:tc>
        <w:tc>
          <w:tcPr>
            <w:tcW w:type="dxa" w:w="2100"/>
            <w:shd w:fill="434343" w:color="auto" w:val="clear"/>
            <w:tcMar>
              <w:top w:type="dxa" w:w="65"/>
              <w:left w:type="dxa" w:w="85"/>
              <w:bottom w:type="dxa" w:w="65"/>
              <w:right w:type="dxa" w:w="85"/>
            </w:tcMar>
            <w:vAlign w:val="center"/>
          </w:tcPr>
          <w:p>
            <w:pPr>
              <w:jc w:val="center"/>
            </w:pPr>
            <w:r>
              <w:rPr>
                <w:b/>
                <w:bCs/>
                <w:color w:val="FFFFFF"/>
                <w:sz w:val="16"/>
                <w:szCs w:val="16"/>
              </w:rPr>
              <w:t xml:space="preserve">Estado</w:t>
            </w:r>
          </w:p>
        </w:tc>
      </w:tr>
      <w:tr>
        <w:trPr>
          <w:cantSplit/>
        </w:trPr>
        <w:tc>
          <w:tcPr>
            <w:tcW w:type="dxa" w:w="4700"/>
            <w:tcMar>
              <w:top w:type="dxa" w:w="65"/>
              <w:left w:type="dxa" w:w="85"/>
              <w:bottom w:type="dxa" w:w="65"/>
              <w:right w:type="dxa" w:w="85"/>
            </w:tcMar>
            <w:vAlign w:val="center"/>
          </w:tcPr>
          <w:p>
            <w:pPr>
              <w:jc w:val="left"/>
            </w:pPr>
            <w:r>
              <w:rPr>
                <w:color w:val="000000"/>
                <w:sz w:val="16"/>
                <w:szCs w:val="16"/>
              </w:rPr>
              <w:t xml:space="preserve">Durocher, S., &amp; Gendron, Y. (2014). Epistemic commitment and cognitive disunity toward fair-value accounting. Accounting and Business Research, 44(6), 630–655.</w:t>
            </w:r>
          </w:p>
        </w:tc>
        <w:tc>
          <w:tcPr>
            <w:tcW w:type="dxa" w:w="2300"/>
            <w:tcMar>
              <w:top w:type="dxa" w:w="65"/>
              <w:left w:type="dxa" w:w="85"/>
              <w:bottom w:type="dxa" w:w="65"/>
              <w:right w:type="dxa" w:w="85"/>
            </w:tcMar>
            <w:vAlign w:val="center"/>
          </w:tcPr>
          <w:p>
            <w:pPr>
              <w:jc w:val="left"/>
            </w:pPr>
            <w:r>
              <w:rPr>
                <w:color w:val="000000"/>
                <w:sz w:val="16"/>
                <w:szCs w:val="16"/>
              </w:rPr>
              <w:t xml:space="preserve">Compromiso epistémico con el valor razonable; soporte directo para la observación 11</w:t>
            </w:r>
          </w:p>
        </w:tc>
        <w:tc>
          <w:tcPr>
            <w:tcW w:type="dxa" w:w="2100"/>
            <w:shd w:fill="D9EAD3" w:color="auto" w:val="clear"/>
            <w:tcMar>
              <w:top w:type="dxa" w:w="65"/>
              <w:left w:type="dxa" w:w="85"/>
              <w:bottom w:type="dxa" w:w="65"/>
              <w:right w:type="dxa" w:w="85"/>
            </w:tcMar>
            <w:vAlign w:val="center"/>
          </w:tcPr>
          <w:p>
            <w:pPr>
              <w:jc w:val="center"/>
            </w:pPr>
            <w:r>
              <w:rPr>
                <w:b/>
                <w:bCs/>
                <w:color w:val="000000"/>
                <w:sz w:val="16"/>
                <w:szCs w:val="16"/>
              </w:rPr>
              <w:t xml:space="preserve">Verificada</w:t>
            </w:r>
          </w:p>
        </w:tc>
      </w:tr>
      <w:tr>
        <w:trPr>
          <w:cantSplit/>
        </w:trPr>
        <w:tc>
          <w:tcPr>
            <w:tcW w:type="dxa" w:w="4700"/>
            <w:tcMar>
              <w:top w:type="dxa" w:w="65"/>
              <w:left w:type="dxa" w:w="85"/>
              <w:bottom w:type="dxa" w:w="65"/>
              <w:right w:type="dxa" w:w="85"/>
            </w:tcMar>
            <w:vAlign w:val="center"/>
          </w:tcPr>
          <w:p>
            <w:pPr>
              <w:jc w:val="left"/>
            </w:pPr>
            <w:r>
              <w:rPr>
                <w:color w:val="000000"/>
                <w:sz w:val="16"/>
                <w:szCs w:val="16"/>
              </w:rPr>
              <w:t xml:space="preserve">Okamoto, N. (2014). Fair value accounting from a distributed cognition perspective. Accounting Forum, 38(3), 170–183.</w:t>
            </w:r>
          </w:p>
        </w:tc>
        <w:tc>
          <w:tcPr>
            <w:tcW w:type="dxa" w:w="2300"/>
            <w:tcMar>
              <w:top w:type="dxa" w:w="65"/>
              <w:left w:type="dxa" w:w="85"/>
              <w:bottom w:type="dxa" w:w="65"/>
              <w:right w:type="dxa" w:w="85"/>
            </w:tcMar>
            <w:vAlign w:val="center"/>
          </w:tcPr>
          <w:p>
            <w:pPr>
              <w:jc w:val="left"/>
            </w:pPr>
            <w:r>
              <w:rPr>
                <w:color w:val="000000"/>
                <w:sz w:val="16"/>
                <w:szCs w:val="16"/>
              </w:rPr>
              <w:t xml:space="preserve">Artículo de la revista destino; enlaza con Tsoukas (1996)</w:t>
            </w:r>
          </w:p>
        </w:tc>
        <w:tc>
          <w:tcPr>
            <w:tcW w:type="dxa" w:w="2100"/>
            <w:shd w:fill="D9EAD3" w:color="auto" w:val="clear"/>
            <w:tcMar>
              <w:top w:type="dxa" w:w="65"/>
              <w:left w:type="dxa" w:w="85"/>
              <w:bottom w:type="dxa" w:w="65"/>
              <w:right w:type="dxa" w:w="85"/>
            </w:tcMar>
            <w:vAlign w:val="center"/>
          </w:tcPr>
          <w:p>
            <w:pPr>
              <w:jc w:val="center"/>
            </w:pPr>
            <w:r>
              <w:rPr>
                <w:b/>
                <w:bCs/>
                <w:color w:val="000000"/>
                <w:sz w:val="16"/>
                <w:szCs w:val="16"/>
              </w:rPr>
              <w:t xml:space="preserve">Verificada</w:t>
            </w:r>
          </w:p>
        </w:tc>
      </w:tr>
      <w:tr>
        <w:trPr>
          <w:cantSplit/>
        </w:trPr>
        <w:tc>
          <w:tcPr>
            <w:tcW w:type="dxa" w:w="4700"/>
            <w:tcMar>
              <w:top w:type="dxa" w:w="65"/>
              <w:left w:type="dxa" w:w="85"/>
              <w:bottom w:type="dxa" w:w="65"/>
              <w:right w:type="dxa" w:w="85"/>
            </w:tcMar>
            <w:vAlign w:val="center"/>
          </w:tcPr>
          <w:p>
            <w:pPr>
              <w:jc w:val="left"/>
            </w:pPr>
            <w:r>
              <w:rPr>
                <w:color w:val="000000"/>
                <w:sz w:val="16"/>
                <w:szCs w:val="16"/>
              </w:rPr>
              <w:t xml:space="preserve">Kaidonis, M. A. (2009). Critical accounting as an epistemic community: Hegemony, resistance and identity. Accounting Forum, 33(4), 290–297.</w:t>
            </w:r>
          </w:p>
        </w:tc>
        <w:tc>
          <w:tcPr>
            <w:tcW w:type="dxa" w:w="2300"/>
            <w:tcMar>
              <w:top w:type="dxa" w:w="65"/>
              <w:left w:type="dxa" w:w="85"/>
              <w:bottom w:type="dxa" w:w="65"/>
              <w:right w:type="dxa" w:w="85"/>
            </w:tcMar>
            <w:vAlign w:val="center"/>
          </w:tcPr>
          <w:p>
            <w:pPr>
              <w:jc w:val="left"/>
            </w:pPr>
            <w:r>
              <w:rPr>
                <w:color w:val="000000"/>
                <w:sz w:val="16"/>
                <w:szCs w:val="16"/>
              </w:rPr>
              <w:t xml:space="preserve">Artículo de la revista destino sobre la crítica al positivismo</w:t>
            </w:r>
          </w:p>
        </w:tc>
        <w:tc>
          <w:tcPr>
            <w:tcW w:type="dxa" w:w="2100"/>
            <w:shd w:fill="D9EAD3" w:color="auto" w:val="clear"/>
            <w:tcMar>
              <w:top w:type="dxa" w:w="65"/>
              <w:left w:type="dxa" w:w="85"/>
              <w:bottom w:type="dxa" w:w="65"/>
              <w:right w:type="dxa" w:w="85"/>
            </w:tcMar>
            <w:vAlign w:val="center"/>
          </w:tcPr>
          <w:p>
            <w:pPr>
              <w:jc w:val="center"/>
            </w:pPr>
            <w:r>
              <w:rPr>
                <w:b/>
                <w:bCs/>
                <w:color w:val="000000"/>
                <w:sz w:val="16"/>
                <w:szCs w:val="16"/>
              </w:rPr>
              <w:t xml:space="preserve">Verificada</w:t>
            </w:r>
          </w:p>
        </w:tc>
      </w:tr>
      <w:tr>
        <w:trPr>
          <w:cantSplit/>
        </w:trPr>
        <w:tc>
          <w:tcPr>
            <w:tcW w:type="dxa" w:w="4700"/>
            <w:tcMar>
              <w:top w:type="dxa" w:w="65"/>
              <w:left w:type="dxa" w:w="85"/>
              <w:bottom w:type="dxa" w:w="65"/>
              <w:right w:type="dxa" w:w="85"/>
            </w:tcMar>
            <w:vAlign w:val="center"/>
          </w:tcPr>
          <w:p>
            <w:pPr>
              <w:jc w:val="left"/>
            </w:pPr>
            <w:r>
              <w:rPr>
                <w:color w:val="000000"/>
                <w:sz w:val="16"/>
                <w:szCs w:val="16"/>
              </w:rPr>
              <w:t xml:space="preserve">van Zijl, W., &amp; Maroun, W. (2024). Outlining commitment and resistance to dominant accounting paradigms. En L. Parrondo &amp; O. Amat (Eds.), Research Handbook on Financial Accounting (pp. 172–184). Edward Elgar.</w:t>
            </w:r>
          </w:p>
        </w:tc>
        <w:tc>
          <w:tcPr>
            <w:tcW w:type="dxa" w:w="2300"/>
            <w:tcMar>
              <w:top w:type="dxa" w:w="65"/>
              <w:left w:type="dxa" w:w="85"/>
              <w:bottom w:type="dxa" w:w="65"/>
              <w:right w:type="dxa" w:w="85"/>
            </w:tcMar>
            <w:vAlign w:val="center"/>
          </w:tcPr>
          <w:p>
            <w:pPr>
              <w:jc w:val="left"/>
            </w:pPr>
            <w:r>
              <w:rPr>
                <w:color w:val="000000"/>
                <w:sz w:val="16"/>
                <w:szCs w:val="16"/>
              </w:rPr>
              <w:t xml:space="preserve">Literatura reciente; continuidad del artículo de 2022</w:t>
            </w:r>
          </w:p>
        </w:tc>
        <w:tc>
          <w:tcPr>
            <w:tcW w:type="dxa" w:w="2100"/>
            <w:shd w:fill="D9EAD3" w:color="auto" w:val="clear"/>
            <w:tcMar>
              <w:top w:type="dxa" w:w="65"/>
              <w:left w:type="dxa" w:w="85"/>
              <w:bottom w:type="dxa" w:w="65"/>
              <w:right w:type="dxa" w:w="85"/>
            </w:tcMar>
            <w:vAlign w:val="center"/>
          </w:tcPr>
          <w:p>
            <w:pPr>
              <w:jc w:val="center"/>
            </w:pPr>
            <w:r>
              <w:rPr>
                <w:b/>
                <w:bCs/>
                <w:color w:val="000000"/>
                <w:sz w:val="16"/>
                <w:szCs w:val="16"/>
              </w:rPr>
              <w:t xml:space="preserve">Verificada</w:t>
            </w:r>
          </w:p>
        </w:tc>
      </w:tr>
      <w:tr>
        <w:trPr>
          <w:cantSplit/>
        </w:trPr>
        <w:tc>
          <w:tcPr>
            <w:tcW w:type="dxa" w:w="4700"/>
            <w:tcMar>
              <w:top w:type="dxa" w:w="65"/>
              <w:left w:type="dxa" w:w="85"/>
              <w:bottom w:type="dxa" w:w="65"/>
              <w:right w:type="dxa" w:w="85"/>
            </w:tcMar>
            <w:vAlign w:val="center"/>
          </w:tcPr>
          <w:p>
            <w:pPr>
              <w:jc w:val="left"/>
            </w:pPr>
            <w:r>
              <w:rPr>
                <w:color w:val="000000"/>
                <w:sz w:val="16"/>
                <w:szCs w:val="16"/>
              </w:rPr>
              <w:t xml:space="preserve">Boland, R. J. (1989). Beyond the objectivist and the subjectivist: Learning to read accounting as text. Accounting, Organizations and Society, 14(5–6), 591–604.</w:t>
            </w:r>
          </w:p>
        </w:tc>
        <w:tc>
          <w:tcPr>
            <w:tcW w:type="dxa" w:w="2300"/>
            <w:tcMar>
              <w:top w:type="dxa" w:w="65"/>
              <w:left w:type="dxa" w:w="85"/>
              <w:bottom w:type="dxa" w:w="65"/>
              <w:right w:type="dxa" w:w="85"/>
            </w:tcMar>
            <w:vAlign w:val="center"/>
          </w:tcPr>
          <w:p>
            <w:pPr>
              <w:jc w:val="left"/>
            </w:pPr>
            <w:r>
              <w:rPr>
                <w:color w:val="000000"/>
                <w:sz w:val="16"/>
                <w:szCs w:val="16"/>
              </w:rPr>
              <w:t xml:space="preserve">Fundamento interpretativo alternativo a la dicotomía objetivo/subjetivo</w:t>
            </w:r>
          </w:p>
        </w:tc>
        <w:tc>
          <w:tcPr>
            <w:tcW w:type="dxa" w:w="2100"/>
            <w:shd w:fill="D9EAD3" w:color="auto" w:val="clear"/>
            <w:tcMar>
              <w:top w:type="dxa" w:w="65"/>
              <w:left w:type="dxa" w:w="85"/>
              <w:bottom w:type="dxa" w:w="65"/>
              <w:right w:type="dxa" w:w="85"/>
            </w:tcMar>
            <w:vAlign w:val="center"/>
          </w:tcPr>
          <w:p>
            <w:pPr>
              <w:jc w:val="center"/>
            </w:pPr>
            <w:r>
              <w:rPr>
                <w:b/>
                <w:bCs/>
                <w:color w:val="000000"/>
                <w:sz w:val="16"/>
                <w:szCs w:val="16"/>
              </w:rPr>
              <w:t xml:space="preserve">Verificada</w:t>
            </w:r>
          </w:p>
        </w:tc>
      </w:tr>
      <w:tr>
        <w:trPr>
          <w:cantSplit/>
        </w:trPr>
        <w:tc>
          <w:tcPr>
            <w:tcW w:type="dxa" w:w="4700"/>
            <w:tcMar>
              <w:top w:type="dxa" w:w="65"/>
              <w:left w:type="dxa" w:w="85"/>
              <w:bottom w:type="dxa" w:w="65"/>
              <w:right w:type="dxa" w:w="85"/>
            </w:tcMar>
            <w:vAlign w:val="center"/>
          </w:tcPr>
          <w:p>
            <w:pPr>
              <w:jc w:val="left"/>
            </w:pPr>
            <w:r>
              <w:rPr>
                <w:color w:val="000000"/>
                <w:sz w:val="16"/>
                <w:szCs w:val="16"/>
              </w:rPr>
              <w:t xml:space="preserve">IASB (2018). Conceptual Framework for Financial Reporting; IASB (2011). IFRS 13 Fair Value Measurement; IAASB (2018). ISA 540 (Revised) Auditing Accounting Estimates and Related Disclosures.</w:t>
            </w:r>
          </w:p>
        </w:tc>
        <w:tc>
          <w:tcPr>
            <w:tcW w:type="dxa" w:w="2300"/>
            <w:tcMar>
              <w:top w:type="dxa" w:w="65"/>
              <w:left w:type="dxa" w:w="85"/>
              <w:bottom w:type="dxa" w:w="65"/>
              <w:right w:type="dxa" w:w="85"/>
            </w:tcMar>
            <w:vAlign w:val="center"/>
          </w:tcPr>
          <w:p>
            <w:pPr>
              <w:jc w:val="left"/>
            </w:pPr>
            <w:r>
              <w:rPr>
                <w:color w:val="000000"/>
                <w:sz w:val="16"/>
                <w:szCs w:val="16"/>
              </w:rPr>
              <w:t xml:space="preserve">Anclaje normativo; observación 10</w:t>
            </w:r>
          </w:p>
        </w:tc>
        <w:tc>
          <w:tcPr>
            <w:tcW w:type="dxa" w:w="2100"/>
            <w:shd w:fill="D9E2F3" w:color="auto" w:val="clear"/>
            <w:tcMar>
              <w:top w:type="dxa" w:w="65"/>
              <w:left w:type="dxa" w:w="85"/>
              <w:bottom w:type="dxa" w:w="65"/>
              <w:right w:type="dxa" w:w="85"/>
            </w:tcMar>
            <w:vAlign w:val="center"/>
          </w:tcPr>
          <w:p>
            <w:pPr>
              <w:jc w:val="center"/>
            </w:pPr>
            <w:r>
              <w:rPr>
                <w:b/>
                <w:bCs/>
                <w:color w:val="000000"/>
                <w:sz w:val="16"/>
                <w:szCs w:val="16"/>
              </w:rPr>
              <w:t xml:space="preserve">Normas de referencia</w:t>
            </w:r>
          </w:p>
        </w:tc>
      </w:tr>
      <w:tr>
        <w:trPr>
          <w:cantSplit/>
        </w:trPr>
        <w:tc>
          <w:tcPr>
            <w:tcW w:type="dxa" w:w="4700"/>
            <w:tcMar>
              <w:top w:type="dxa" w:w="65"/>
              <w:left w:type="dxa" w:w="85"/>
              <w:bottom w:type="dxa" w:w="65"/>
              <w:right w:type="dxa" w:w="85"/>
            </w:tcMar>
            <w:vAlign w:val="center"/>
          </w:tcPr>
          <w:p>
            <w:pPr>
              <w:jc w:val="left"/>
            </w:pPr>
            <w:r>
              <w:rPr>
                <w:color w:val="000000"/>
                <w:sz w:val="16"/>
                <w:szCs w:val="16"/>
              </w:rPr>
              <w:t xml:space="preserve">Ijiri, Y. (1989). Momentum accounting and triple-entry bookkeeping. American Accounting Association.</w:t>
            </w:r>
          </w:p>
        </w:tc>
        <w:tc>
          <w:tcPr>
            <w:tcW w:type="dxa" w:w="2300"/>
            <w:tcMar>
              <w:top w:type="dxa" w:w="65"/>
              <w:left w:type="dxa" w:w="85"/>
              <w:bottom w:type="dxa" w:w="65"/>
              <w:right w:type="dxa" w:w="85"/>
            </w:tcMar>
            <w:vAlign w:val="center"/>
          </w:tcPr>
          <w:p>
            <w:pPr>
              <w:jc w:val="left"/>
            </w:pPr>
            <w:r>
              <w:rPr>
                <w:color w:val="000000"/>
                <w:sz w:val="16"/>
                <w:szCs w:val="16"/>
              </w:rPr>
              <w:t xml:space="preserve">Fuente probable de la tesis del «movimiento»; observación 6</w:t>
            </w:r>
          </w:p>
        </w:tc>
        <w:tc>
          <w:tcPr>
            <w:tcW w:type="dxa" w:w="2100"/>
            <w:shd w:fill="D9E2F3" w:color="auto" w:val="clear"/>
            <w:tcMar>
              <w:top w:type="dxa" w:w="65"/>
              <w:left w:type="dxa" w:w="85"/>
              <w:bottom w:type="dxa" w:w="65"/>
              <w:right w:type="dxa" w:w="85"/>
            </w:tcMar>
            <w:vAlign w:val="center"/>
          </w:tcPr>
          <w:p>
            <w:pPr>
              <w:jc w:val="center"/>
            </w:pPr>
            <w:r>
              <w:rPr>
                <w:b/>
                <w:bCs/>
                <w:color w:val="000000"/>
                <w:sz w:val="16"/>
                <w:szCs w:val="16"/>
              </w:rPr>
              <w:t xml:space="preserve">Verificar datos</w:t>
            </w:r>
          </w:p>
        </w:tc>
      </w:tr>
    </w:tbl>
    <w:p>
      <w:pPr>
        <w:pStyle w:val="Heading1"/>
        <w:spacing w:after="120" w:before="320"/>
      </w:pPr>
      <w:r>
        <w:t xml:space="preserve">7. Resumen</w:t>
      </w:r>
    </w:p>
    <w:tbl>
      <w:tblPr>
        <w:tblW w:type="dxa" w:w="9100"/>
        <w:tblBorders>
          <w:top w:val="single" w:color="999999" w:sz="2"/>
          <w:left w:val="single" w:color="999999" w:sz="2"/>
          <w:bottom w:val="single" w:color="999999" w:sz="2"/>
          <w:right w:val="single" w:color="999999" w:sz="2"/>
          <w:insideH w:val="single" w:color="999999" w:sz="2"/>
          <w:insideV w:val="single" w:color="999999" w:sz="2"/>
        </w:tblBorders>
      </w:tblPr>
      <w:tblGrid>
        <w:gridCol w:w="4100"/>
        <w:gridCol w:w="1250"/>
        <w:gridCol w:w="1250"/>
        <w:gridCol w:w="1250"/>
        <w:gridCol w:w="1250"/>
      </w:tblGrid>
      <w:tr>
        <w:trPr>
          <w:tblHeader/>
        </w:trPr>
        <w:tc>
          <w:tcPr>
            <w:tcW w:type="dxa" w:w="4100"/>
            <w:shd w:fill="434343" w:color="auto" w:val="clear"/>
            <w:tcMar>
              <w:top w:type="dxa" w:w="65"/>
              <w:left w:type="dxa" w:w="85"/>
              <w:bottom w:type="dxa" w:w="65"/>
              <w:right w:type="dxa" w:w="85"/>
            </w:tcMar>
            <w:vAlign w:val="center"/>
          </w:tcPr>
          <w:p>
            <w:pPr>
              <w:jc w:val="left"/>
            </w:pPr>
            <w:r>
              <w:rPr>
                <w:b/>
                <w:bCs/>
                <w:color w:val="FFFFFF"/>
                <w:sz w:val="16"/>
                <w:szCs w:val="16"/>
              </w:rPr>
              <w:t xml:space="preserve">Bloque</w:t>
            </w:r>
          </w:p>
        </w:tc>
        <w:tc>
          <w:tcPr>
            <w:tcW w:type="dxa" w:w="1250"/>
            <w:shd w:fill="434343" w:color="auto" w:val="clear"/>
            <w:tcMar>
              <w:top w:type="dxa" w:w="65"/>
              <w:left w:type="dxa" w:w="85"/>
              <w:bottom w:type="dxa" w:w="65"/>
              <w:right w:type="dxa" w:w="85"/>
            </w:tcMar>
            <w:vAlign w:val="center"/>
          </w:tcPr>
          <w:p>
            <w:pPr>
              <w:jc w:val="center"/>
            </w:pPr>
            <w:r>
              <w:rPr>
                <w:b/>
                <w:bCs/>
                <w:color w:val="FFFFFF"/>
                <w:sz w:val="16"/>
                <w:szCs w:val="16"/>
              </w:rPr>
              <w:t xml:space="preserve">Bloqueante</w:t>
            </w:r>
          </w:p>
        </w:tc>
        <w:tc>
          <w:tcPr>
            <w:tcW w:type="dxa" w:w="1250"/>
            <w:shd w:fill="434343" w:color="auto" w:val="clear"/>
            <w:tcMar>
              <w:top w:type="dxa" w:w="65"/>
              <w:left w:type="dxa" w:w="85"/>
              <w:bottom w:type="dxa" w:w="65"/>
              <w:right w:type="dxa" w:w="85"/>
            </w:tcMar>
            <w:vAlign w:val="center"/>
          </w:tcPr>
          <w:p>
            <w:pPr>
              <w:jc w:val="center"/>
            </w:pPr>
            <w:r>
              <w:rPr>
                <w:b/>
                <w:bCs/>
                <w:color w:val="FFFFFF"/>
                <w:sz w:val="16"/>
                <w:szCs w:val="16"/>
              </w:rPr>
              <w:t xml:space="preserve">Crítica</w:t>
            </w:r>
          </w:p>
        </w:tc>
        <w:tc>
          <w:tcPr>
            <w:tcW w:type="dxa" w:w="1250"/>
            <w:shd w:fill="434343" w:color="auto" w:val="clear"/>
            <w:tcMar>
              <w:top w:type="dxa" w:w="65"/>
              <w:left w:type="dxa" w:w="85"/>
              <w:bottom w:type="dxa" w:w="65"/>
              <w:right w:type="dxa" w:w="85"/>
            </w:tcMar>
            <w:vAlign w:val="center"/>
          </w:tcPr>
          <w:p>
            <w:pPr>
              <w:jc w:val="center"/>
            </w:pPr>
            <w:r>
              <w:rPr>
                <w:b/>
                <w:bCs/>
                <w:color w:val="FFFFFF"/>
                <w:sz w:val="16"/>
                <w:szCs w:val="16"/>
              </w:rPr>
              <w:t xml:space="preserve">Alta</w:t>
            </w:r>
          </w:p>
        </w:tc>
        <w:tc>
          <w:tcPr>
            <w:tcW w:type="dxa" w:w="1250"/>
            <w:shd w:fill="434343" w:color="auto" w:val="clear"/>
            <w:tcMar>
              <w:top w:type="dxa" w:w="65"/>
              <w:left w:type="dxa" w:w="85"/>
              <w:bottom w:type="dxa" w:w="65"/>
              <w:right w:type="dxa" w:w="85"/>
            </w:tcMar>
            <w:vAlign w:val="center"/>
          </w:tcPr>
          <w:p>
            <w:pPr>
              <w:jc w:val="center"/>
            </w:pPr>
            <w:r>
              <w:rPr>
                <w:b/>
                <w:bCs/>
                <w:color w:val="FFFFFF"/>
                <w:sz w:val="16"/>
                <w:szCs w:val="16"/>
              </w:rPr>
              <w:t xml:space="preserve">Media / Baja</w:t>
            </w:r>
          </w:p>
        </w:tc>
      </w:tr>
      <w:tr>
        <w:trPr>
          <w:cantSplit/>
        </w:trPr>
        <w:tc>
          <w:tcPr>
            <w:tcW w:type="dxa" w:w="4100"/>
            <w:tcMar>
              <w:top w:type="dxa" w:w="65"/>
              <w:left w:type="dxa" w:w="85"/>
              <w:bottom w:type="dxa" w:w="65"/>
              <w:right w:type="dxa" w:w="85"/>
            </w:tcMar>
            <w:vAlign w:val="center"/>
          </w:tcPr>
          <w:p>
            <w:pPr>
              <w:jc w:val="left"/>
            </w:pPr>
            <w:r>
              <w:rPr>
                <w:color w:val="000000"/>
                <w:sz w:val="16"/>
                <w:szCs w:val="16"/>
              </w:rPr>
              <w:t xml:space="preserve">1. Requisitos de envío</w:t>
            </w:r>
          </w:p>
        </w:tc>
        <w:tc>
          <w:tcPr>
            <w:tcW w:type="dxa" w:w="1250"/>
            <w:tcMar>
              <w:top w:type="dxa" w:w="65"/>
              <w:left w:type="dxa" w:w="85"/>
              <w:bottom w:type="dxa" w:w="65"/>
              <w:right w:type="dxa" w:w="85"/>
            </w:tcMar>
            <w:vAlign w:val="center"/>
          </w:tcPr>
          <w:p>
            <w:pPr>
              <w:jc w:val="center"/>
            </w:pPr>
            <w:r>
              <w:rPr>
                <w:color w:val="000000"/>
                <w:sz w:val="16"/>
                <w:szCs w:val="16"/>
              </w:rPr>
              <w:t xml:space="preserve">3</w:t>
            </w:r>
          </w:p>
        </w:tc>
        <w:tc>
          <w:tcPr>
            <w:tcW w:type="dxa" w:w="1250"/>
            <w:tcMar>
              <w:top w:type="dxa" w:w="65"/>
              <w:left w:type="dxa" w:w="85"/>
              <w:bottom w:type="dxa" w:w="65"/>
              <w:right w:type="dxa" w:w="85"/>
            </w:tcMar>
            <w:vAlign w:val="center"/>
          </w:tcPr>
          <w:p>
            <w:pPr>
              <w:jc w:val="center"/>
            </w:pPr>
            <w:r>
              <w:rPr>
                <w:color w:val="000000"/>
                <w:sz w:val="16"/>
                <w:szCs w:val="16"/>
              </w:rPr>
              <w:t xml:space="preserve">0</w:t>
            </w:r>
          </w:p>
        </w:tc>
        <w:tc>
          <w:tcPr>
            <w:tcW w:type="dxa" w:w="1250"/>
            <w:tcMar>
              <w:top w:type="dxa" w:w="65"/>
              <w:left w:type="dxa" w:w="85"/>
              <w:bottom w:type="dxa" w:w="65"/>
              <w:right w:type="dxa" w:w="85"/>
            </w:tcMar>
            <w:vAlign w:val="center"/>
          </w:tcPr>
          <w:p>
            <w:pPr>
              <w:jc w:val="center"/>
            </w:pPr>
            <w:r>
              <w:rPr>
                <w:color w:val="000000"/>
                <w:sz w:val="16"/>
                <w:szCs w:val="16"/>
              </w:rPr>
              <w:t xml:space="preserve">1</w:t>
            </w:r>
          </w:p>
        </w:tc>
        <w:tc>
          <w:tcPr>
            <w:tcW w:type="dxa" w:w="1250"/>
            <w:tcMar>
              <w:top w:type="dxa" w:w="65"/>
              <w:left w:type="dxa" w:w="85"/>
              <w:bottom w:type="dxa" w:w="65"/>
              <w:right w:type="dxa" w:w="85"/>
            </w:tcMar>
            <w:vAlign w:val="center"/>
          </w:tcPr>
          <w:p>
            <w:pPr>
              <w:jc w:val="center"/>
            </w:pPr>
            <w:r>
              <w:rPr>
                <w:color w:val="000000"/>
                <w:sz w:val="16"/>
                <w:szCs w:val="16"/>
              </w:rPr>
              <w:t xml:space="preserve">0</w:t>
            </w:r>
          </w:p>
        </w:tc>
      </w:tr>
      <w:tr>
        <w:trPr>
          <w:cantSplit/>
        </w:trPr>
        <w:tc>
          <w:tcPr>
            <w:tcW w:type="dxa" w:w="4100"/>
            <w:tcMar>
              <w:top w:type="dxa" w:w="65"/>
              <w:left w:type="dxa" w:w="85"/>
              <w:bottom w:type="dxa" w:w="65"/>
              <w:right w:type="dxa" w:w="85"/>
            </w:tcMar>
            <w:vAlign w:val="center"/>
          </w:tcPr>
          <w:p>
            <w:pPr>
              <w:jc w:val="left"/>
            </w:pPr>
            <w:r>
              <w:rPr>
                <w:color w:val="000000"/>
                <w:sz w:val="16"/>
                <w:szCs w:val="16"/>
              </w:rPr>
              <w:t xml:space="preserve">2. Integridad académica y bibliográfica</w:t>
            </w:r>
          </w:p>
        </w:tc>
        <w:tc>
          <w:tcPr>
            <w:tcW w:type="dxa" w:w="1250"/>
            <w:tcMar>
              <w:top w:type="dxa" w:w="65"/>
              <w:left w:type="dxa" w:w="85"/>
              <w:bottom w:type="dxa" w:w="65"/>
              <w:right w:type="dxa" w:w="85"/>
            </w:tcMar>
            <w:vAlign w:val="center"/>
          </w:tcPr>
          <w:p>
            <w:pPr>
              <w:jc w:val="center"/>
            </w:pPr>
            <w:r>
              <w:rPr>
                <w:color w:val="000000"/>
                <w:sz w:val="16"/>
                <w:szCs w:val="16"/>
              </w:rPr>
              <w:t xml:space="preserve">0</w:t>
            </w:r>
          </w:p>
        </w:tc>
        <w:tc>
          <w:tcPr>
            <w:tcW w:type="dxa" w:w="1250"/>
            <w:tcMar>
              <w:top w:type="dxa" w:w="65"/>
              <w:left w:type="dxa" w:w="85"/>
              <w:bottom w:type="dxa" w:w="65"/>
              <w:right w:type="dxa" w:w="85"/>
            </w:tcMar>
            <w:vAlign w:val="center"/>
          </w:tcPr>
          <w:p>
            <w:pPr>
              <w:jc w:val="center"/>
            </w:pPr>
            <w:r>
              <w:rPr>
                <w:color w:val="000000"/>
                <w:sz w:val="16"/>
                <w:szCs w:val="16"/>
              </w:rPr>
              <w:t xml:space="preserve">4</w:t>
            </w:r>
          </w:p>
        </w:tc>
        <w:tc>
          <w:tcPr>
            <w:tcW w:type="dxa" w:w="1250"/>
            <w:tcMar>
              <w:top w:type="dxa" w:w="65"/>
              <w:left w:type="dxa" w:w="85"/>
              <w:bottom w:type="dxa" w:w="65"/>
              <w:right w:type="dxa" w:w="85"/>
            </w:tcMar>
            <w:vAlign w:val="center"/>
          </w:tcPr>
          <w:p>
            <w:pPr>
              <w:jc w:val="center"/>
            </w:pPr>
            <w:r>
              <w:rPr>
                <w:color w:val="000000"/>
                <w:sz w:val="16"/>
                <w:szCs w:val="16"/>
              </w:rPr>
              <w:t xml:space="preserve">1</w:t>
            </w:r>
          </w:p>
        </w:tc>
        <w:tc>
          <w:tcPr>
            <w:tcW w:type="dxa" w:w="1250"/>
            <w:tcMar>
              <w:top w:type="dxa" w:w="65"/>
              <w:left w:type="dxa" w:w="85"/>
              <w:bottom w:type="dxa" w:w="65"/>
              <w:right w:type="dxa" w:w="85"/>
            </w:tcMar>
            <w:vAlign w:val="center"/>
          </w:tcPr>
          <w:p>
            <w:pPr>
              <w:jc w:val="center"/>
            </w:pPr>
            <w:r>
              <w:rPr>
                <w:color w:val="000000"/>
                <w:sz w:val="16"/>
                <w:szCs w:val="16"/>
              </w:rPr>
              <w:t xml:space="preserve">0</w:t>
            </w:r>
          </w:p>
        </w:tc>
      </w:tr>
      <w:tr>
        <w:trPr>
          <w:cantSplit/>
        </w:trPr>
        <w:tc>
          <w:tcPr>
            <w:tcW w:type="dxa" w:w="4100"/>
            <w:tcMar>
              <w:top w:type="dxa" w:w="65"/>
              <w:left w:type="dxa" w:w="85"/>
              <w:bottom w:type="dxa" w:w="65"/>
              <w:right w:type="dxa" w:w="85"/>
            </w:tcMar>
            <w:vAlign w:val="center"/>
          </w:tcPr>
          <w:p>
            <w:pPr>
              <w:jc w:val="left"/>
            </w:pPr>
            <w:r>
              <w:rPr>
                <w:color w:val="000000"/>
                <w:sz w:val="16"/>
                <w:szCs w:val="16"/>
              </w:rPr>
              <w:t xml:space="preserve">3. Contribución y encaje con la revista</w:t>
            </w:r>
          </w:p>
        </w:tc>
        <w:tc>
          <w:tcPr>
            <w:tcW w:type="dxa" w:w="1250"/>
            <w:tcMar>
              <w:top w:type="dxa" w:w="65"/>
              <w:left w:type="dxa" w:w="85"/>
              <w:bottom w:type="dxa" w:w="65"/>
              <w:right w:type="dxa" w:w="85"/>
            </w:tcMar>
            <w:vAlign w:val="center"/>
          </w:tcPr>
          <w:p>
            <w:pPr>
              <w:jc w:val="center"/>
            </w:pPr>
            <w:r>
              <w:rPr>
                <w:color w:val="000000"/>
                <w:sz w:val="16"/>
                <w:szCs w:val="16"/>
              </w:rPr>
              <w:t xml:space="preserve">0</w:t>
            </w:r>
          </w:p>
        </w:tc>
        <w:tc>
          <w:tcPr>
            <w:tcW w:type="dxa" w:w="1250"/>
            <w:tcMar>
              <w:top w:type="dxa" w:w="65"/>
              <w:left w:type="dxa" w:w="85"/>
              <w:bottom w:type="dxa" w:w="65"/>
              <w:right w:type="dxa" w:w="85"/>
            </w:tcMar>
            <w:vAlign w:val="center"/>
          </w:tcPr>
          <w:p>
            <w:pPr>
              <w:jc w:val="center"/>
            </w:pPr>
            <w:r>
              <w:rPr>
                <w:color w:val="000000"/>
                <w:sz w:val="16"/>
                <w:szCs w:val="16"/>
              </w:rPr>
              <w:t xml:space="preserve">1</w:t>
            </w:r>
          </w:p>
        </w:tc>
        <w:tc>
          <w:tcPr>
            <w:tcW w:type="dxa" w:w="1250"/>
            <w:tcMar>
              <w:top w:type="dxa" w:w="65"/>
              <w:left w:type="dxa" w:w="85"/>
              <w:bottom w:type="dxa" w:w="65"/>
              <w:right w:type="dxa" w:w="85"/>
            </w:tcMar>
            <w:vAlign w:val="center"/>
          </w:tcPr>
          <w:p>
            <w:pPr>
              <w:jc w:val="center"/>
            </w:pPr>
            <w:r>
              <w:rPr>
                <w:color w:val="000000"/>
                <w:sz w:val="16"/>
                <w:szCs w:val="16"/>
              </w:rPr>
              <w:t xml:space="preserve">3</w:t>
            </w:r>
          </w:p>
        </w:tc>
        <w:tc>
          <w:tcPr>
            <w:tcW w:type="dxa" w:w="1250"/>
            <w:tcMar>
              <w:top w:type="dxa" w:w="65"/>
              <w:left w:type="dxa" w:w="85"/>
              <w:bottom w:type="dxa" w:w="65"/>
              <w:right w:type="dxa" w:w="85"/>
            </w:tcMar>
            <w:vAlign w:val="center"/>
          </w:tcPr>
          <w:p>
            <w:pPr>
              <w:jc w:val="center"/>
            </w:pPr>
            <w:r>
              <w:rPr>
                <w:color w:val="000000"/>
                <w:sz w:val="16"/>
                <w:szCs w:val="16"/>
              </w:rPr>
              <w:t xml:space="preserve">3</w:t>
            </w:r>
          </w:p>
        </w:tc>
      </w:tr>
      <w:tr>
        <w:trPr>
          <w:cantSplit/>
        </w:trPr>
        <w:tc>
          <w:tcPr>
            <w:tcW w:type="dxa" w:w="4100"/>
            <w:tcMar>
              <w:top w:type="dxa" w:w="65"/>
              <w:left w:type="dxa" w:w="85"/>
              <w:bottom w:type="dxa" w:w="65"/>
              <w:right w:type="dxa" w:w="85"/>
            </w:tcMar>
            <w:vAlign w:val="center"/>
          </w:tcPr>
          <w:p>
            <w:pPr>
              <w:jc w:val="left"/>
            </w:pPr>
            <w:r>
              <w:rPr>
                <w:color w:val="000000"/>
                <w:sz w:val="16"/>
                <w:szCs w:val="16"/>
              </w:rPr>
              <w:t xml:space="preserve">4. Lenguaje y forma</w:t>
            </w:r>
          </w:p>
        </w:tc>
        <w:tc>
          <w:tcPr>
            <w:tcW w:type="dxa" w:w="1250"/>
            <w:tcMar>
              <w:top w:type="dxa" w:w="65"/>
              <w:left w:type="dxa" w:w="85"/>
              <w:bottom w:type="dxa" w:w="65"/>
              <w:right w:type="dxa" w:w="85"/>
            </w:tcMar>
            <w:vAlign w:val="center"/>
          </w:tcPr>
          <w:p>
            <w:pPr>
              <w:jc w:val="center"/>
            </w:pPr>
            <w:r>
              <w:rPr>
                <w:color w:val="000000"/>
                <w:sz w:val="16"/>
                <w:szCs w:val="16"/>
              </w:rPr>
              <w:t xml:space="preserve">0</w:t>
            </w:r>
          </w:p>
        </w:tc>
        <w:tc>
          <w:tcPr>
            <w:tcW w:type="dxa" w:w="1250"/>
            <w:tcMar>
              <w:top w:type="dxa" w:w="65"/>
              <w:left w:type="dxa" w:w="85"/>
              <w:bottom w:type="dxa" w:w="65"/>
              <w:right w:type="dxa" w:w="85"/>
            </w:tcMar>
            <w:vAlign w:val="center"/>
          </w:tcPr>
          <w:p>
            <w:pPr>
              <w:jc w:val="center"/>
            </w:pPr>
            <w:r>
              <w:rPr>
                <w:color w:val="000000"/>
                <w:sz w:val="16"/>
                <w:szCs w:val="16"/>
              </w:rPr>
              <w:t xml:space="preserve">0</w:t>
            </w:r>
          </w:p>
        </w:tc>
        <w:tc>
          <w:tcPr>
            <w:tcW w:type="dxa" w:w="1250"/>
            <w:tcMar>
              <w:top w:type="dxa" w:w="65"/>
              <w:left w:type="dxa" w:w="85"/>
              <w:bottom w:type="dxa" w:w="65"/>
              <w:right w:type="dxa" w:w="85"/>
            </w:tcMar>
            <w:vAlign w:val="center"/>
          </w:tcPr>
          <w:p>
            <w:pPr>
              <w:jc w:val="center"/>
            </w:pPr>
            <w:r>
              <w:rPr>
                <w:color w:val="000000"/>
                <w:sz w:val="16"/>
                <w:szCs w:val="16"/>
              </w:rPr>
              <w:t xml:space="preserve">1</w:t>
            </w:r>
          </w:p>
        </w:tc>
        <w:tc>
          <w:tcPr>
            <w:tcW w:type="dxa" w:w="1250"/>
            <w:tcMar>
              <w:top w:type="dxa" w:w="65"/>
              <w:left w:type="dxa" w:w="85"/>
              <w:bottom w:type="dxa" w:w="65"/>
              <w:right w:type="dxa" w:w="85"/>
            </w:tcMar>
            <w:vAlign w:val="center"/>
          </w:tcPr>
          <w:p>
            <w:pPr>
              <w:jc w:val="center"/>
            </w:pPr>
            <w:r>
              <w:rPr>
                <w:color w:val="000000"/>
                <w:sz w:val="16"/>
                <w:szCs w:val="16"/>
              </w:rPr>
              <w:t xml:space="preserve">5</w:t>
            </w:r>
          </w:p>
        </w:tc>
      </w:tr>
      <w:tr>
        <w:trPr>
          <w:cantSplit/>
        </w:trPr>
        <w:tc>
          <w:tcPr>
            <w:tcW w:type="dxa" w:w="4100"/>
            <w:shd w:fill="EFEFEF" w:color="auto" w:val="clear"/>
            <w:tcMar>
              <w:top w:type="dxa" w:w="65"/>
              <w:left w:type="dxa" w:w="85"/>
              <w:bottom w:type="dxa" w:w="65"/>
              <w:right w:type="dxa" w:w="85"/>
            </w:tcMar>
            <w:vAlign w:val="center"/>
          </w:tcPr>
          <w:p>
            <w:pPr>
              <w:jc w:val="left"/>
            </w:pPr>
            <w:r>
              <w:rPr>
                <w:b/>
                <w:bCs/>
                <w:color w:val="000000"/>
                <w:sz w:val="16"/>
                <w:szCs w:val="16"/>
              </w:rPr>
              <w:t xml:space="preserve">TOTAL (22 observaciones)</w:t>
            </w:r>
          </w:p>
        </w:tc>
        <w:tc>
          <w:tcPr>
            <w:tcW w:type="dxa" w:w="1250"/>
            <w:shd w:fill="D9D2E9" w:color="auto" w:val="clear"/>
            <w:tcMar>
              <w:top w:type="dxa" w:w="65"/>
              <w:left w:type="dxa" w:w="85"/>
              <w:bottom w:type="dxa" w:w="65"/>
              <w:right w:type="dxa" w:w="85"/>
            </w:tcMar>
            <w:vAlign w:val="center"/>
          </w:tcPr>
          <w:p>
            <w:pPr>
              <w:jc w:val="center"/>
            </w:pPr>
            <w:r>
              <w:rPr>
                <w:b/>
                <w:bCs/>
                <w:color w:val="000000"/>
                <w:sz w:val="16"/>
                <w:szCs w:val="16"/>
              </w:rPr>
              <w:t xml:space="preserve">3</w:t>
            </w:r>
          </w:p>
        </w:tc>
        <w:tc>
          <w:tcPr>
            <w:tcW w:type="dxa" w:w="1250"/>
            <w:shd w:fill="F4CCCC" w:color="auto" w:val="clear"/>
            <w:tcMar>
              <w:top w:type="dxa" w:w="65"/>
              <w:left w:type="dxa" w:w="85"/>
              <w:bottom w:type="dxa" w:w="65"/>
              <w:right w:type="dxa" w:w="85"/>
            </w:tcMar>
            <w:vAlign w:val="center"/>
          </w:tcPr>
          <w:p>
            <w:pPr>
              <w:jc w:val="center"/>
            </w:pPr>
            <w:r>
              <w:rPr>
                <w:b/>
                <w:bCs/>
                <w:color w:val="000000"/>
                <w:sz w:val="16"/>
                <w:szCs w:val="16"/>
              </w:rPr>
              <w:t xml:space="preserve">5</w:t>
            </w:r>
          </w:p>
        </w:tc>
        <w:tc>
          <w:tcPr>
            <w:tcW w:type="dxa" w:w="1250"/>
            <w:shd w:fill="FCE5CD" w:color="auto" w:val="clear"/>
            <w:tcMar>
              <w:top w:type="dxa" w:w="65"/>
              <w:left w:type="dxa" w:w="85"/>
              <w:bottom w:type="dxa" w:w="65"/>
              <w:right w:type="dxa" w:w="85"/>
            </w:tcMar>
            <w:vAlign w:val="center"/>
          </w:tcPr>
          <w:p>
            <w:pPr>
              <w:jc w:val="center"/>
            </w:pPr>
            <w:r>
              <w:rPr>
                <w:b/>
                <w:bCs/>
                <w:color w:val="000000"/>
                <w:sz w:val="16"/>
                <w:szCs w:val="16"/>
              </w:rPr>
              <w:t xml:space="preserve">6</w:t>
            </w:r>
          </w:p>
        </w:tc>
        <w:tc>
          <w:tcPr>
            <w:tcW w:type="dxa" w:w="1250"/>
            <w:shd w:fill="FFF2CC" w:color="auto" w:val="clear"/>
            <w:tcMar>
              <w:top w:type="dxa" w:w="65"/>
              <w:left w:type="dxa" w:w="85"/>
              <w:bottom w:type="dxa" w:w="65"/>
              <w:right w:type="dxa" w:w="85"/>
            </w:tcMar>
            <w:vAlign w:val="center"/>
          </w:tcPr>
          <w:p>
            <w:pPr>
              <w:jc w:val="center"/>
            </w:pPr>
            <w:r>
              <w:rPr>
                <w:b/>
                <w:bCs/>
                <w:color w:val="000000"/>
                <w:sz w:val="16"/>
                <w:szCs w:val="16"/>
              </w:rPr>
              <w:t xml:space="preserve">8</w:t>
            </w:r>
          </w:p>
        </w:tc>
      </w:tr>
    </w:tbl>
    <w:p>
      <w:pPr>
        <w:spacing w:after="160"/>
      </w:pPr>
    </w:p>
    <w:p>
      <w:pPr>
        <w:spacing w:after="130"/>
      </w:pPr>
      <w:r>
        <w:rPr>
          <w:sz w:val="19"/>
          <w:szCs w:val="19"/>
        </w:rPr>
        <w:t xml:space="preserve">Lo que funciona: la redefinición del alcance es coherente —la lógica difusa aparece como ilustración conceptual y no como promesa metodológica incumplida—, el resumen declara tres hallazgos, la metodología es trazable y la bibliografía no tiene huérfanas. Lo que impide el envío: los requisitos formales de la editorial, la precisión de las atribuciones y la falta de diálogo con las normas y con la propia revista. Estos tres frentes son los que un editor evalúa antes de enviar el artículo a revisión.</w:t>
      </w:r>
    </w:p>
    <w:p>
      <w:pPr>
        <w:pStyle w:val="Heading1"/>
        <w:spacing w:after="120" w:before="320"/>
      </w:pPr>
      <w:r>
        <w:t xml:space="preserve">8. Ruta de trabajo</w:t>
      </w:r>
    </w:p>
    <w:tbl>
      <w:tblPr>
        <w:tblW w:type="dxa" w:w="9100"/>
        <w:tblBorders>
          <w:top w:val="single" w:color="999999" w:sz="2"/>
          <w:left w:val="single" w:color="999999" w:sz="2"/>
          <w:bottom w:val="single" w:color="999999" w:sz="2"/>
          <w:right w:val="single" w:color="999999" w:sz="2"/>
          <w:insideH w:val="single" w:color="999999" w:sz="2"/>
          <w:insideV w:val="single" w:color="999999" w:sz="2"/>
        </w:tblBorders>
      </w:tblPr>
      <w:tblGrid>
        <w:gridCol w:w="520"/>
        <w:gridCol w:w="4480"/>
        <w:gridCol w:w="1500"/>
        <w:gridCol w:w="2600"/>
      </w:tblGrid>
      <w:tr>
        <w:trPr>
          <w:tblHeader/>
        </w:trPr>
        <w:tc>
          <w:tcPr>
            <w:tcW w:type="dxa" w:w="520"/>
            <w:shd w:fill="434343" w:color="auto" w:val="clear"/>
            <w:tcMar>
              <w:top w:type="dxa" w:w="65"/>
              <w:left w:type="dxa" w:w="85"/>
              <w:bottom w:type="dxa" w:w="65"/>
              <w:right w:type="dxa" w:w="85"/>
            </w:tcMar>
            <w:vAlign w:val="center"/>
          </w:tcPr>
          <w:p>
            <w:pPr>
              <w:jc w:val="left"/>
            </w:pPr>
            <w:r>
              <w:rPr>
                <w:b/>
                <w:bCs/>
                <w:color w:val="FFFFFF"/>
                <w:sz w:val="16"/>
                <w:szCs w:val="16"/>
              </w:rPr>
              <w:t xml:space="preserve"/>
            </w:r>
          </w:p>
        </w:tc>
        <w:tc>
          <w:tcPr>
            <w:tcW w:type="dxa" w:w="4480"/>
            <w:shd w:fill="434343" w:color="auto" w:val="clear"/>
            <w:tcMar>
              <w:top w:type="dxa" w:w="65"/>
              <w:left w:type="dxa" w:w="85"/>
              <w:bottom w:type="dxa" w:w="65"/>
              <w:right w:type="dxa" w:w="85"/>
            </w:tcMar>
            <w:vAlign w:val="center"/>
          </w:tcPr>
          <w:p>
            <w:pPr>
              <w:jc w:val="left"/>
            </w:pPr>
            <w:r>
              <w:rPr>
                <w:b/>
                <w:bCs/>
                <w:color w:val="FFFFFF"/>
                <w:sz w:val="16"/>
                <w:szCs w:val="16"/>
              </w:rPr>
              <w:t xml:space="preserve">Tarea</w:t>
            </w:r>
          </w:p>
        </w:tc>
        <w:tc>
          <w:tcPr>
            <w:tcW w:type="dxa" w:w="1500"/>
            <w:shd w:fill="434343" w:color="auto" w:val="clear"/>
            <w:tcMar>
              <w:top w:type="dxa" w:w="65"/>
              <w:left w:type="dxa" w:w="85"/>
              <w:bottom w:type="dxa" w:w="65"/>
              <w:right w:type="dxa" w:w="85"/>
            </w:tcMar>
            <w:vAlign w:val="center"/>
          </w:tcPr>
          <w:p>
            <w:pPr>
              <w:jc w:val="center"/>
            </w:pPr>
            <w:r>
              <w:rPr>
                <w:b/>
                <w:bCs/>
                <w:color w:val="FFFFFF"/>
                <w:sz w:val="16"/>
                <w:szCs w:val="16"/>
              </w:rPr>
              <w:t xml:space="preserve">Esfuerzo</w:t>
            </w:r>
          </w:p>
        </w:tc>
        <w:tc>
          <w:tcPr>
            <w:tcW w:type="dxa" w:w="2600"/>
            <w:shd w:fill="434343" w:color="auto" w:val="clear"/>
            <w:tcMar>
              <w:top w:type="dxa" w:w="65"/>
              <w:left w:type="dxa" w:w="85"/>
              <w:bottom w:type="dxa" w:w="65"/>
              <w:right w:type="dxa" w:w="85"/>
            </w:tcMar>
            <w:vAlign w:val="center"/>
          </w:tcPr>
          <w:p>
            <w:pPr>
              <w:jc w:val="center"/>
            </w:pPr>
            <w:r>
              <w:rPr>
                <w:b/>
                <w:bCs/>
                <w:color w:val="FFFFFF"/>
                <w:sz w:val="16"/>
                <w:szCs w:val="16"/>
              </w:rPr>
              <w:t xml:space="preserve">Prioridad</w:t>
            </w:r>
          </w:p>
        </w:tc>
      </w:tr>
      <w:tr>
        <w:trPr>
          <w:cantSplit/>
        </w:trPr>
        <w:tc>
          <w:tcPr>
            <w:tcW w:type="dxa" w:w="520"/>
            <w:tcMar>
              <w:top w:type="dxa" w:w="65"/>
              <w:left w:type="dxa" w:w="85"/>
              <w:bottom w:type="dxa" w:w="65"/>
              <w:right w:type="dxa" w:w="85"/>
            </w:tcMar>
            <w:vAlign w:val="center"/>
          </w:tcPr>
          <w:p>
            <w:pPr>
              <w:jc w:val="center"/>
            </w:pPr>
            <w:r>
              <w:rPr>
                <w:color w:val="000000"/>
                <w:sz w:val="22"/>
                <w:szCs w:val="22"/>
              </w:rPr>
              <w:t xml:space="preserve">☐</w:t>
            </w:r>
          </w:p>
        </w:tc>
        <w:tc>
          <w:tcPr>
            <w:tcW w:type="dxa" w:w="4480"/>
            <w:tcMar>
              <w:top w:type="dxa" w:w="65"/>
              <w:left w:type="dxa" w:w="85"/>
              <w:bottom w:type="dxa" w:w="65"/>
              <w:right w:type="dxa" w:w="85"/>
            </w:tcMar>
            <w:vAlign w:val="center"/>
          </w:tcPr>
          <w:p>
            <w:pPr>
              <w:jc w:val="left"/>
            </w:pPr>
            <w:r>
              <w:rPr>
                <w:color w:val="000000"/>
                <w:sz w:val="16"/>
                <w:szCs w:val="16"/>
              </w:rPr>
              <w:t xml:space="preserve">Anonimizar manuscrito, separar página de título y limpiar metadatos (obs. 1–2)</w:t>
            </w:r>
          </w:p>
        </w:tc>
        <w:tc>
          <w:tcPr>
            <w:tcW w:type="dxa" w:w="1500"/>
            <w:tcMar>
              <w:top w:type="dxa" w:w="65"/>
              <w:left w:type="dxa" w:w="85"/>
              <w:bottom w:type="dxa" w:w="65"/>
              <w:right w:type="dxa" w:w="85"/>
            </w:tcMar>
            <w:vAlign w:val="center"/>
          </w:tcPr>
          <w:p>
            <w:pPr>
              <w:jc w:val="center"/>
            </w:pPr>
            <w:r>
              <w:rPr>
                <w:color w:val="000000"/>
                <w:sz w:val="16"/>
                <w:szCs w:val="16"/>
              </w:rPr>
              <w:t xml:space="preserve">30 min</w:t>
            </w:r>
          </w:p>
        </w:tc>
        <w:tc>
          <w:tcPr>
            <w:tcW w:type="dxa" w:w="2600"/>
            <w:shd w:fill="D9D2E9" w:color="auto" w:val="clear"/>
            <w:tcMar>
              <w:top w:type="dxa" w:w="65"/>
              <w:left w:type="dxa" w:w="85"/>
              <w:bottom w:type="dxa" w:w="65"/>
              <w:right w:type="dxa" w:w="85"/>
            </w:tcMar>
            <w:vAlign w:val="center"/>
          </w:tcPr>
          <w:p>
            <w:pPr>
              <w:jc w:val="center"/>
            </w:pPr>
            <w:r>
              <w:rPr>
                <w:b/>
                <w:bCs/>
                <w:color w:val="000000"/>
                <w:sz w:val="16"/>
                <w:szCs w:val="16"/>
              </w:rPr>
              <w:t xml:space="preserve">Bloqueante</w:t>
            </w:r>
          </w:p>
        </w:tc>
      </w:tr>
      <w:tr>
        <w:trPr>
          <w:cantSplit/>
        </w:trPr>
        <w:tc>
          <w:tcPr>
            <w:tcW w:type="dxa" w:w="520"/>
            <w:tcMar>
              <w:top w:type="dxa" w:w="65"/>
              <w:left w:type="dxa" w:w="85"/>
              <w:bottom w:type="dxa" w:w="65"/>
              <w:right w:type="dxa" w:w="85"/>
            </w:tcMar>
            <w:vAlign w:val="center"/>
          </w:tcPr>
          <w:p>
            <w:pPr>
              <w:jc w:val="center"/>
            </w:pPr>
            <w:r>
              <w:rPr>
                <w:color w:val="000000"/>
                <w:sz w:val="22"/>
                <w:szCs w:val="22"/>
              </w:rPr>
              <w:t xml:space="preserve">☐</w:t>
            </w:r>
          </w:p>
        </w:tc>
        <w:tc>
          <w:tcPr>
            <w:tcW w:type="dxa" w:w="4480"/>
            <w:tcMar>
              <w:top w:type="dxa" w:w="65"/>
              <w:left w:type="dxa" w:w="85"/>
              <w:bottom w:type="dxa" w:w="65"/>
              <w:right w:type="dxa" w:w="85"/>
            </w:tcMar>
            <w:vAlign w:val="center"/>
          </w:tcPr>
          <w:p>
            <w:pPr>
              <w:jc w:val="left"/>
            </w:pPr>
            <w:r>
              <w:rPr>
                <w:color w:val="000000"/>
                <w:sz w:val="16"/>
                <w:szCs w:val="16"/>
              </w:rPr>
              <w:t xml:space="preserve">Redactar la declaración de uso de IA generativa (obs. 3)</w:t>
            </w:r>
          </w:p>
        </w:tc>
        <w:tc>
          <w:tcPr>
            <w:tcW w:type="dxa" w:w="1500"/>
            <w:tcMar>
              <w:top w:type="dxa" w:w="65"/>
              <w:left w:type="dxa" w:w="85"/>
              <w:bottom w:type="dxa" w:w="65"/>
              <w:right w:type="dxa" w:w="85"/>
            </w:tcMar>
            <w:vAlign w:val="center"/>
          </w:tcPr>
          <w:p>
            <w:pPr>
              <w:jc w:val="center"/>
            </w:pPr>
            <w:r>
              <w:rPr>
                <w:color w:val="000000"/>
                <w:sz w:val="16"/>
                <w:szCs w:val="16"/>
              </w:rPr>
              <w:t xml:space="preserve">15 min</w:t>
            </w:r>
          </w:p>
        </w:tc>
        <w:tc>
          <w:tcPr>
            <w:tcW w:type="dxa" w:w="2600"/>
            <w:shd w:fill="D9D2E9" w:color="auto" w:val="clear"/>
            <w:tcMar>
              <w:top w:type="dxa" w:w="65"/>
              <w:left w:type="dxa" w:w="85"/>
              <w:bottom w:type="dxa" w:w="65"/>
              <w:right w:type="dxa" w:w="85"/>
            </w:tcMar>
            <w:vAlign w:val="center"/>
          </w:tcPr>
          <w:p>
            <w:pPr>
              <w:jc w:val="center"/>
            </w:pPr>
            <w:r>
              <w:rPr>
                <w:b/>
                <w:bCs/>
                <w:color w:val="000000"/>
                <w:sz w:val="16"/>
                <w:szCs w:val="16"/>
              </w:rPr>
              <w:t xml:space="preserve">Bloqueante</w:t>
            </w:r>
          </w:p>
        </w:tc>
      </w:tr>
      <w:tr>
        <w:trPr>
          <w:cantSplit/>
        </w:trPr>
        <w:tc>
          <w:tcPr>
            <w:tcW w:type="dxa" w:w="520"/>
            <w:tcMar>
              <w:top w:type="dxa" w:w="65"/>
              <w:left w:type="dxa" w:w="85"/>
              <w:bottom w:type="dxa" w:w="65"/>
              <w:right w:type="dxa" w:w="85"/>
            </w:tcMar>
            <w:vAlign w:val="center"/>
          </w:tcPr>
          <w:p>
            <w:pPr>
              <w:jc w:val="center"/>
            </w:pPr>
            <w:r>
              <w:rPr>
                <w:color w:val="000000"/>
                <w:sz w:val="22"/>
                <w:szCs w:val="22"/>
              </w:rPr>
              <w:t xml:space="preserve">☐</w:t>
            </w:r>
          </w:p>
        </w:tc>
        <w:tc>
          <w:tcPr>
            <w:tcW w:type="dxa" w:w="4480"/>
            <w:tcMar>
              <w:top w:type="dxa" w:w="65"/>
              <w:left w:type="dxa" w:w="85"/>
              <w:bottom w:type="dxa" w:w="65"/>
              <w:right w:type="dxa" w:w="85"/>
            </w:tcMar>
            <w:vAlign w:val="center"/>
          </w:tcPr>
          <w:p>
            <w:pPr>
              <w:jc w:val="left"/>
            </w:pPr>
            <w:r>
              <w:rPr>
                <w:color w:val="000000"/>
                <w:sz w:val="16"/>
                <w:szCs w:val="16"/>
              </w:rPr>
              <w:t xml:space="preserve">Corregir Maroun y van Zijl (2022) en lista y cuerpo (obs. 5)</w:t>
            </w:r>
          </w:p>
        </w:tc>
        <w:tc>
          <w:tcPr>
            <w:tcW w:type="dxa" w:w="1500"/>
            <w:tcMar>
              <w:top w:type="dxa" w:w="65"/>
              <w:left w:type="dxa" w:w="85"/>
              <w:bottom w:type="dxa" w:w="65"/>
              <w:right w:type="dxa" w:w="85"/>
            </w:tcMar>
            <w:vAlign w:val="center"/>
          </w:tcPr>
          <w:p>
            <w:pPr>
              <w:jc w:val="center"/>
            </w:pPr>
            <w:r>
              <w:rPr>
                <w:color w:val="000000"/>
                <w:sz w:val="16"/>
                <w:szCs w:val="16"/>
              </w:rPr>
              <w:t xml:space="preserve">15 min</w:t>
            </w:r>
          </w:p>
        </w:tc>
        <w:tc>
          <w:tcPr>
            <w:tcW w:type="dxa" w:w="2600"/>
            <w:shd w:fill="F4CCCC" w:color="auto" w:val="clear"/>
            <w:tcMar>
              <w:top w:type="dxa" w:w="65"/>
              <w:left w:type="dxa" w:w="85"/>
              <w:bottom w:type="dxa" w:w="65"/>
              <w:right w:type="dxa" w:w="85"/>
            </w:tcMar>
            <w:vAlign w:val="center"/>
          </w:tcPr>
          <w:p>
            <w:pPr>
              <w:jc w:val="center"/>
            </w:pPr>
            <w:r>
              <w:rPr>
                <w:b/>
                <w:bCs/>
                <w:color w:val="000000"/>
                <w:sz w:val="16"/>
                <w:szCs w:val="16"/>
              </w:rPr>
              <w:t xml:space="preserve">Crítica</w:t>
            </w:r>
          </w:p>
        </w:tc>
      </w:tr>
      <w:tr>
        <w:trPr>
          <w:cantSplit/>
        </w:trPr>
        <w:tc>
          <w:tcPr>
            <w:tcW w:type="dxa" w:w="520"/>
            <w:tcMar>
              <w:top w:type="dxa" w:w="65"/>
              <w:left w:type="dxa" w:w="85"/>
              <w:bottom w:type="dxa" w:w="65"/>
              <w:right w:type="dxa" w:w="85"/>
            </w:tcMar>
            <w:vAlign w:val="center"/>
          </w:tcPr>
          <w:p>
            <w:pPr>
              <w:jc w:val="center"/>
            </w:pPr>
            <w:r>
              <w:rPr>
                <w:color w:val="000000"/>
                <w:sz w:val="22"/>
                <w:szCs w:val="22"/>
              </w:rPr>
              <w:t xml:space="preserve">☐</w:t>
            </w:r>
          </w:p>
        </w:tc>
        <w:tc>
          <w:tcPr>
            <w:tcW w:type="dxa" w:w="4480"/>
            <w:tcMar>
              <w:top w:type="dxa" w:w="65"/>
              <w:left w:type="dxa" w:w="85"/>
              <w:bottom w:type="dxa" w:w="65"/>
              <w:right w:type="dxa" w:w="85"/>
            </w:tcMar>
            <w:vAlign w:val="center"/>
          </w:tcPr>
          <w:p>
            <w:pPr>
              <w:jc w:val="left"/>
            </w:pPr>
            <w:r>
              <w:rPr>
                <w:color w:val="000000"/>
                <w:sz w:val="16"/>
                <w:szCs w:val="16"/>
              </w:rPr>
              <w:t xml:space="preserve">Verificar y reasignar las atribuciones a Ijiri y Mattessich (obs. 6 y 9)</w:t>
            </w:r>
          </w:p>
        </w:tc>
        <w:tc>
          <w:tcPr>
            <w:tcW w:type="dxa" w:w="1500"/>
            <w:tcMar>
              <w:top w:type="dxa" w:w="65"/>
              <w:left w:type="dxa" w:w="85"/>
              <w:bottom w:type="dxa" w:w="65"/>
              <w:right w:type="dxa" w:w="85"/>
            </w:tcMar>
            <w:vAlign w:val="center"/>
          </w:tcPr>
          <w:p>
            <w:pPr>
              <w:jc w:val="center"/>
            </w:pPr>
            <w:r>
              <w:rPr>
                <w:color w:val="000000"/>
                <w:sz w:val="16"/>
                <w:szCs w:val="16"/>
              </w:rPr>
              <w:t xml:space="preserve">2–3 h</w:t>
            </w:r>
          </w:p>
        </w:tc>
        <w:tc>
          <w:tcPr>
            <w:tcW w:type="dxa" w:w="2600"/>
            <w:shd w:fill="F4CCCC" w:color="auto" w:val="clear"/>
            <w:tcMar>
              <w:top w:type="dxa" w:w="65"/>
              <w:left w:type="dxa" w:w="85"/>
              <w:bottom w:type="dxa" w:w="65"/>
              <w:right w:type="dxa" w:w="85"/>
            </w:tcMar>
            <w:vAlign w:val="center"/>
          </w:tcPr>
          <w:p>
            <w:pPr>
              <w:jc w:val="center"/>
            </w:pPr>
            <w:r>
              <w:rPr>
                <w:b/>
                <w:bCs/>
                <w:color w:val="000000"/>
                <w:sz w:val="16"/>
                <w:szCs w:val="16"/>
              </w:rPr>
              <w:t xml:space="preserve">Crítica</w:t>
            </w:r>
          </w:p>
        </w:tc>
      </w:tr>
      <w:tr>
        <w:trPr>
          <w:cantSplit/>
        </w:trPr>
        <w:tc>
          <w:tcPr>
            <w:tcW w:type="dxa" w:w="520"/>
            <w:tcMar>
              <w:top w:type="dxa" w:w="65"/>
              <w:left w:type="dxa" w:w="85"/>
              <w:bottom w:type="dxa" w:w="65"/>
              <w:right w:type="dxa" w:w="85"/>
            </w:tcMar>
            <w:vAlign w:val="center"/>
          </w:tcPr>
          <w:p>
            <w:pPr>
              <w:jc w:val="center"/>
            </w:pPr>
            <w:r>
              <w:rPr>
                <w:color w:val="000000"/>
                <w:sz w:val="22"/>
                <w:szCs w:val="22"/>
              </w:rPr>
              <w:t xml:space="preserve">☐</w:t>
            </w:r>
          </w:p>
        </w:tc>
        <w:tc>
          <w:tcPr>
            <w:tcW w:type="dxa" w:w="4480"/>
            <w:tcMar>
              <w:top w:type="dxa" w:w="65"/>
              <w:left w:type="dxa" w:w="85"/>
              <w:bottom w:type="dxa" w:w="65"/>
              <w:right w:type="dxa" w:w="85"/>
            </w:tcMar>
            <w:vAlign w:val="center"/>
          </w:tcPr>
          <w:p>
            <w:pPr>
              <w:jc w:val="left"/>
            </w:pPr>
            <w:r>
              <w:rPr>
                <w:color w:val="000000"/>
                <w:sz w:val="16"/>
                <w:szCs w:val="16"/>
              </w:rPr>
              <w:t xml:space="preserve">Anclaje normativo: Marco Conceptual 2018, NIIF 13 y NIA 540 revisada (obs. 10)</w:t>
            </w:r>
          </w:p>
        </w:tc>
        <w:tc>
          <w:tcPr>
            <w:tcW w:type="dxa" w:w="1500"/>
            <w:tcMar>
              <w:top w:type="dxa" w:w="65"/>
              <w:left w:type="dxa" w:w="85"/>
              <w:bottom w:type="dxa" w:w="65"/>
              <w:right w:type="dxa" w:w="85"/>
            </w:tcMar>
            <w:vAlign w:val="center"/>
          </w:tcPr>
          <w:p>
            <w:pPr>
              <w:jc w:val="center"/>
            </w:pPr>
            <w:r>
              <w:rPr>
                <w:color w:val="000000"/>
                <w:sz w:val="16"/>
                <w:szCs w:val="16"/>
              </w:rPr>
              <w:t xml:space="preserve">3–4 h</w:t>
            </w:r>
          </w:p>
        </w:tc>
        <w:tc>
          <w:tcPr>
            <w:tcW w:type="dxa" w:w="2600"/>
            <w:shd w:fill="F4CCCC" w:color="auto" w:val="clear"/>
            <w:tcMar>
              <w:top w:type="dxa" w:w="65"/>
              <w:left w:type="dxa" w:w="85"/>
              <w:bottom w:type="dxa" w:w="65"/>
              <w:right w:type="dxa" w:w="85"/>
            </w:tcMar>
            <w:vAlign w:val="center"/>
          </w:tcPr>
          <w:p>
            <w:pPr>
              <w:jc w:val="center"/>
            </w:pPr>
            <w:r>
              <w:rPr>
                <w:b/>
                <w:bCs/>
                <w:color w:val="000000"/>
                <w:sz w:val="16"/>
                <w:szCs w:val="16"/>
              </w:rPr>
              <w:t xml:space="preserve">Crítica</w:t>
            </w:r>
          </w:p>
        </w:tc>
      </w:tr>
      <w:tr>
        <w:trPr>
          <w:cantSplit/>
        </w:trPr>
        <w:tc>
          <w:tcPr>
            <w:tcW w:type="dxa" w:w="520"/>
            <w:tcMar>
              <w:top w:type="dxa" w:w="65"/>
              <w:left w:type="dxa" w:w="85"/>
              <w:bottom w:type="dxa" w:w="65"/>
              <w:right w:type="dxa" w:w="85"/>
            </w:tcMar>
            <w:vAlign w:val="center"/>
          </w:tcPr>
          <w:p>
            <w:pPr>
              <w:jc w:val="center"/>
            </w:pPr>
            <w:r>
              <w:rPr>
                <w:color w:val="000000"/>
                <w:sz w:val="22"/>
                <w:szCs w:val="22"/>
              </w:rPr>
              <w:t xml:space="preserve">☐</w:t>
            </w:r>
          </w:p>
        </w:tc>
        <w:tc>
          <w:tcPr>
            <w:tcW w:type="dxa" w:w="4480"/>
            <w:tcMar>
              <w:top w:type="dxa" w:w="65"/>
              <w:left w:type="dxa" w:w="85"/>
              <w:bottom w:type="dxa" w:w="65"/>
              <w:right w:type="dxa" w:w="85"/>
            </w:tcMar>
            <w:vAlign w:val="center"/>
          </w:tcPr>
          <w:p>
            <w:pPr>
              <w:jc w:val="left"/>
            </w:pPr>
            <w:r>
              <w:rPr>
                <w:color w:val="000000"/>
                <w:sz w:val="16"/>
                <w:szCs w:val="16"/>
              </w:rPr>
              <w:t xml:space="preserve">Actualización bibliográfica integrada y respaldo de las tres afirmaciones sin cita (obs. 7–8, 12)</w:t>
            </w:r>
          </w:p>
        </w:tc>
        <w:tc>
          <w:tcPr>
            <w:tcW w:type="dxa" w:w="1500"/>
            <w:tcMar>
              <w:top w:type="dxa" w:w="65"/>
              <w:left w:type="dxa" w:w="85"/>
              <w:bottom w:type="dxa" w:w="65"/>
              <w:right w:type="dxa" w:w="85"/>
            </w:tcMar>
            <w:vAlign w:val="center"/>
          </w:tcPr>
          <w:p>
            <w:pPr>
              <w:jc w:val="center"/>
            </w:pPr>
            <w:r>
              <w:rPr>
                <w:color w:val="000000"/>
                <w:sz w:val="16"/>
                <w:szCs w:val="16"/>
              </w:rPr>
              <w:t xml:space="preserve">6–8 h</w:t>
            </w:r>
          </w:p>
        </w:tc>
        <w:tc>
          <w:tcPr>
            <w:tcW w:type="dxa" w:w="2600"/>
            <w:shd w:fill="F4CCCC" w:color="auto" w:val="clear"/>
            <w:tcMar>
              <w:top w:type="dxa" w:w="65"/>
              <w:left w:type="dxa" w:w="85"/>
              <w:bottom w:type="dxa" w:w="65"/>
              <w:right w:type="dxa" w:w="85"/>
            </w:tcMar>
            <w:vAlign w:val="center"/>
          </w:tcPr>
          <w:p>
            <w:pPr>
              <w:jc w:val="center"/>
            </w:pPr>
            <w:r>
              <w:rPr>
                <w:b/>
                <w:bCs/>
                <w:color w:val="000000"/>
                <w:sz w:val="16"/>
                <w:szCs w:val="16"/>
              </w:rPr>
              <w:t xml:space="preserve">Crítica</w:t>
            </w:r>
          </w:p>
        </w:tc>
      </w:tr>
      <w:tr>
        <w:trPr>
          <w:cantSplit/>
        </w:trPr>
        <w:tc>
          <w:tcPr>
            <w:tcW w:type="dxa" w:w="520"/>
            <w:tcMar>
              <w:top w:type="dxa" w:w="65"/>
              <w:left w:type="dxa" w:w="85"/>
              <w:bottom w:type="dxa" w:w="65"/>
              <w:right w:type="dxa" w:w="85"/>
            </w:tcMar>
            <w:vAlign w:val="center"/>
          </w:tcPr>
          <w:p>
            <w:pPr>
              <w:jc w:val="center"/>
            </w:pPr>
            <w:r>
              <w:rPr>
                <w:color w:val="000000"/>
                <w:sz w:val="22"/>
                <w:szCs w:val="22"/>
              </w:rPr>
              <w:t xml:space="preserve">☐</w:t>
            </w:r>
          </w:p>
        </w:tc>
        <w:tc>
          <w:tcPr>
            <w:tcW w:type="dxa" w:w="4480"/>
            <w:tcMar>
              <w:top w:type="dxa" w:w="65"/>
              <w:left w:type="dxa" w:w="85"/>
              <w:bottom w:type="dxa" w:w="65"/>
              <w:right w:type="dxa" w:w="85"/>
            </w:tcMar>
            <w:vAlign w:val="center"/>
          </w:tcPr>
          <w:p>
            <w:pPr>
              <w:jc w:val="left"/>
            </w:pPr>
            <w:r>
              <w:rPr>
                <w:color w:val="000000"/>
                <w:sz w:val="16"/>
                <w:szCs w:val="16"/>
              </w:rPr>
              <w:t xml:space="preserve">Apartado sobre comparabilidad y auditabilidad (obs. 11)</w:t>
            </w:r>
          </w:p>
        </w:tc>
        <w:tc>
          <w:tcPr>
            <w:tcW w:type="dxa" w:w="1500"/>
            <w:tcMar>
              <w:top w:type="dxa" w:w="65"/>
              <w:left w:type="dxa" w:w="85"/>
              <w:bottom w:type="dxa" w:w="65"/>
              <w:right w:type="dxa" w:w="85"/>
            </w:tcMar>
            <w:vAlign w:val="center"/>
          </w:tcPr>
          <w:p>
            <w:pPr>
              <w:jc w:val="center"/>
            </w:pPr>
            <w:r>
              <w:rPr>
                <w:color w:val="000000"/>
                <w:sz w:val="16"/>
                <w:szCs w:val="16"/>
              </w:rPr>
              <w:t xml:space="preserve">3–4 h</w:t>
            </w:r>
          </w:p>
        </w:tc>
        <w:tc>
          <w:tcPr>
            <w:tcW w:type="dxa" w:w="2600"/>
            <w:shd w:fill="FCE5CD" w:color="auto" w:val="clear"/>
            <w:tcMar>
              <w:top w:type="dxa" w:w="65"/>
              <w:left w:type="dxa" w:w="85"/>
              <w:bottom w:type="dxa" w:w="65"/>
              <w:right w:type="dxa" w:w="85"/>
            </w:tcMar>
            <w:vAlign w:val="center"/>
          </w:tcPr>
          <w:p>
            <w:pPr>
              <w:jc w:val="center"/>
            </w:pPr>
            <w:r>
              <w:rPr>
                <w:b/>
                <w:bCs/>
                <w:color w:val="000000"/>
                <w:sz w:val="16"/>
                <w:szCs w:val="16"/>
              </w:rPr>
              <w:t xml:space="preserve">Alta</w:t>
            </w:r>
          </w:p>
        </w:tc>
      </w:tr>
      <w:tr>
        <w:trPr>
          <w:cantSplit/>
        </w:trPr>
        <w:tc>
          <w:tcPr>
            <w:tcW w:type="dxa" w:w="520"/>
            <w:tcMar>
              <w:top w:type="dxa" w:w="65"/>
              <w:left w:type="dxa" w:w="85"/>
              <w:bottom w:type="dxa" w:w="65"/>
              <w:right w:type="dxa" w:w="85"/>
            </w:tcMar>
            <w:vAlign w:val="center"/>
          </w:tcPr>
          <w:p>
            <w:pPr>
              <w:jc w:val="center"/>
            </w:pPr>
            <w:r>
              <w:rPr>
                <w:color w:val="000000"/>
                <w:sz w:val="22"/>
                <w:szCs w:val="22"/>
              </w:rPr>
              <w:t xml:space="preserve">☐</w:t>
            </w:r>
          </w:p>
        </w:tc>
        <w:tc>
          <w:tcPr>
            <w:tcW w:type="dxa" w:w="4480"/>
            <w:tcMar>
              <w:top w:type="dxa" w:w="65"/>
              <w:left w:type="dxa" w:w="85"/>
              <w:bottom w:type="dxa" w:w="65"/>
              <w:right w:type="dxa" w:w="85"/>
            </w:tcMar>
            <w:vAlign w:val="center"/>
          </w:tcPr>
          <w:p>
            <w:pPr>
              <w:jc w:val="left"/>
            </w:pPr>
            <w:r>
              <w:rPr>
                <w:color w:val="000000"/>
                <w:sz w:val="16"/>
                <w:szCs w:val="16"/>
              </w:rPr>
              <w:t xml:space="preserve">Reestructurar §3–§7 y subdividir §7 (obs. 13 y 15)</w:t>
            </w:r>
          </w:p>
        </w:tc>
        <w:tc>
          <w:tcPr>
            <w:tcW w:type="dxa" w:w="1500"/>
            <w:tcMar>
              <w:top w:type="dxa" w:w="65"/>
              <w:left w:type="dxa" w:w="85"/>
              <w:bottom w:type="dxa" w:w="65"/>
              <w:right w:type="dxa" w:w="85"/>
            </w:tcMar>
            <w:vAlign w:val="center"/>
          </w:tcPr>
          <w:p>
            <w:pPr>
              <w:jc w:val="center"/>
            </w:pPr>
            <w:r>
              <w:rPr>
                <w:color w:val="000000"/>
                <w:sz w:val="16"/>
                <w:szCs w:val="16"/>
              </w:rPr>
              <w:t xml:space="preserve">5–7 h</w:t>
            </w:r>
          </w:p>
        </w:tc>
        <w:tc>
          <w:tcPr>
            <w:tcW w:type="dxa" w:w="2600"/>
            <w:shd w:fill="FCE5CD" w:color="auto" w:val="clear"/>
            <w:tcMar>
              <w:top w:type="dxa" w:w="65"/>
              <w:left w:type="dxa" w:w="85"/>
              <w:bottom w:type="dxa" w:w="65"/>
              <w:right w:type="dxa" w:w="85"/>
            </w:tcMar>
            <w:vAlign w:val="center"/>
          </w:tcPr>
          <w:p>
            <w:pPr>
              <w:jc w:val="center"/>
            </w:pPr>
            <w:r>
              <w:rPr>
                <w:b/>
                <w:bCs/>
                <w:color w:val="000000"/>
                <w:sz w:val="16"/>
                <w:szCs w:val="16"/>
              </w:rPr>
              <w:t xml:space="preserve">Alta</w:t>
            </w:r>
          </w:p>
        </w:tc>
      </w:tr>
      <w:tr>
        <w:trPr>
          <w:cantSplit/>
        </w:trPr>
        <w:tc>
          <w:tcPr>
            <w:tcW w:type="dxa" w:w="520"/>
            <w:tcMar>
              <w:top w:type="dxa" w:w="65"/>
              <w:left w:type="dxa" w:w="85"/>
              <w:bottom w:type="dxa" w:w="65"/>
              <w:right w:type="dxa" w:w="85"/>
            </w:tcMar>
            <w:vAlign w:val="center"/>
          </w:tcPr>
          <w:p>
            <w:pPr>
              <w:jc w:val="center"/>
            </w:pPr>
            <w:r>
              <w:rPr>
                <w:color w:val="000000"/>
                <w:sz w:val="22"/>
                <w:szCs w:val="22"/>
              </w:rPr>
              <w:t xml:space="preserve">☐</w:t>
            </w:r>
          </w:p>
        </w:tc>
        <w:tc>
          <w:tcPr>
            <w:tcW w:type="dxa" w:w="4480"/>
            <w:tcMar>
              <w:top w:type="dxa" w:w="65"/>
              <w:left w:type="dxa" w:w="85"/>
              <w:bottom w:type="dxa" w:w="65"/>
              <w:right w:type="dxa" w:w="85"/>
            </w:tcMar>
            <w:vAlign w:val="center"/>
          </w:tcPr>
          <w:p>
            <w:pPr>
              <w:jc w:val="left"/>
            </w:pPr>
            <w:r>
              <w:rPr>
                <w:color w:val="000000"/>
                <w:sz w:val="16"/>
                <w:szCs w:val="16"/>
              </w:rPr>
              <w:t xml:space="preserve">Restituir limitaciones y añadir figura de síntesis (obs. 14 y 16)</w:t>
            </w:r>
          </w:p>
        </w:tc>
        <w:tc>
          <w:tcPr>
            <w:tcW w:type="dxa" w:w="1500"/>
            <w:tcMar>
              <w:top w:type="dxa" w:w="65"/>
              <w:left w:type="dxa" w:w="85"/>
              <w:bottom w:type="dxa" w:w="65"/>
              <w:right w:type="dxa" w:w="85"/>
            </w:tcMar>
            <w:vAlign w:val="center"/>
          </w:tcPr>
          <w:p>
            <w:pPr>
              <w:jc w:val="center"/>
            </w:pPr>
            <w:r>
              <w:rPr>
                <w:color w:val="000000"/>
                <w:sz w:val="16"/>
                <w:szCs w:val="16"/>
              </w:rPr>
              <w:t xml:space="preserve">2–3 h</w:t>
            </w:r>
          </w:p>
        </w:tc>
        <w:tc>
          <w:tcPr>
            <w:tcW w:type="dxa" w:w="2600"/>
            <w:shd w:fill="FFF2CC" w:color="auto" w:val="clear"/>
            <w:tcMar>
              <w:top w:type="dxa" w:w="65"/>
              <w:left w:type="dxa" w:w="85"/>
              <w:bottom w:type="dxa" w:w="65"/>
              <w:right w:type="dxa" w:w="85"/>
            </w:tcMar>
            <w:vAlign w:val="center"/>
          </w:tcPr>
          <w:p>
            <w:pPr>
              <w:jc w:val="center"/>
            </w:pPr>
            <w:r>
              <w:rPr>
                <w:b/>
                <w:bCs/>
                <w:color w:val="000000"/>
                <w:sz w:val="16"/>
                <w:szCs w:val="16"/>
              </w:rPr>
              <w:t xml:space="preserve">Media</w:t>
            </w:r>
          </w:p>
        </w:tc>
      </w:tr>
      <w:tr>
        <w:trPr>
          <w:cantSplit/>
        </w:trPr>
        <w:tc>
          <w:tcPr>
            <w:tcW w:type="dxa" w:w="520"/>
            <w:tcMar>
              <w:top w:type="dxa" w:w="65"/>
              <w:left w:type="dxa" w:w="85"/>
              <w:bottom w:type="dxa" w:w="65"/>
              <w:right w:type="dxa" w:w="85"/>
            </w:tcMar>
            <w:vAlign w:val="center"/>
          </w:tcPr>
          <w:p>
            <w:pPr>
              <w:jc w:val="center"/>
            </w:pPr>
            <w:r>
              <w:rPr>
                <w:color w:val="000000"/>
                <w:sz w:val="22"/>
                <w:szCs w:val="22"/>
              </w:rPr>
              <w:t xml:space="preserve">☐</w:t>
            </w:r>
          </w:p>
        </w:tc>
        <w:tc>
          <w:tcPr>
            <w:tcW w:type="dxa" w:w="4480"/>
            <w:tcMar>
              <w:top w:type="dxa" w:w="65"/>
              <w:left w:type="dxa" w:w="85"/>
              <w:bottom w:type="dxa" w:w="65"/>
              <w:right w:type="dxa" w:w="85"/>
            </w:tcMar>
            <w:vAlign w:val="center"/>
          </w:tcPr>
          <w:p>
            <w:pPr>
              <w:jc w:val="left"/>
            </w:pPr>
            <w:r>
              <w:rPr>
                <w:color w:val="000000"/>
                <w:sz w:val="16"/>
                <w:szCs w:val="16"/>
              </w:rPr>
              <w:t xml:space="preserve">Normalización de referencias (sección 5) y correcciones de forma (obs. 4, 17–21)</w:t>
            </w:r>
          </w:p>
        </w:tc>
        <w:tc>
          <w:tcPr>
            <w:tcW w:type="dxa" w:w="1500"/>
            <w:tcMar>
              <w:top w:type="dxa" w:w="65"/>
              <w:left w:type="dxa" w:w="85"/>
              <w:bottom w:type="dxa" w:w="65"/>
              <w:right w:type="dxa" w:w="85"/>
            </w:tcMar>
            <w:vAlign w:val="center"/>
          </w:tcPr>
          <w:p>
            <w:pPr>
              <w:jc w:val="center"/>
            </w:pPr>
            <w:r>
              <w:rPr>
                <w:color w:val="000000"/>
                <w:sz w:val="16"/>
                <w:szCs w:val="16"/>
              </w:rPr>
              <w:t xml:space="preserve">2 h</w:t>
            </w:r>
          </w:p>
        </w:tc>
        <w:tc>
          <w:tcPr>
            <w:tcW w:type="dxa" w:w="2600"/>
            <w:shd w:fill="FFF2CC" w:color="auto" w:val="clear"/>
            <w:tcMar>
              <w:top w:type="dxa" w:w="65"/>
              <w:left w:type="dxa" w:w="85"/>
              <w:bottom w:type="dxa" w:w="65"/>
              <w:right w:type="dxa" w:w="85"/>
            </w:tcMar>
            <w:vAlign w:val="center"/>
          </w:tcPr>
          <w:p>
            <w:pPr>
              <w:jc w:val="center"/>
            </w:pPr>
            <w:r>
              <w:rPr>
                <w:b/>
                <w:bCs/>
                <w:color w:val="000000"/>
                <w:sz w:val="16"/>
                <w:szCs w:val="16"/>
              </w:rPr>
              <w:t xml:space="preserve">Media</w:t>
            </w:r>
          </w:p>
        </w:tc>
      </w:tr>
      <w:tr>
        <w:trPr>
          <w:cantSplit/>
        </w:trPr>
        <w:tc>
          <w:tcPr>
            <w:tcW w:type="dxa" w:w="520"/>
            <w:tcMar>
              <w:top w:type="dxa" w:w="65"/>
              <w:left w:type="dxa" w:w="85"/>
              <w:bottom w:type="dxa" w:w="65"/>
              <w:right w:type="dxa" w:w="85"/>
            </w:tcMar>
            <w:vAlign w:val="center"/>
          </w:tcPr>
          <w:p>
            <w:pPr>
              <w:jc w:val="center"/>
            </w:pPr>
            <w:r>
              <w:rPr>
                <w:color w:val="000000"/>
                <w:sz w:val="22"/>
                <w:szCs w:val="22"/>
              </w:rPr>
              <w:t xml:space="preserve">☐</w:t>
            </w:r>
          </w:p>
        </w:tc>
        <w:tc>
          <w:tcPr>
            <w:tcW w:type="dxa" w:w="4480"/>
            <w:tcMar>
              <w:top w:type="dxa" w:w="65"/>
              <w:left w:type="dxa" w:w="85"/>
              <w:bottom w:type="dxa" w:w="65"/>
              <w:right w:type="dxa" w:w="85"/>
            </w:tcMar>
            <w:vAlign w:val="center"/>
          </w:tcPr>
          <w:p>
            <w:pPr>
              <w:jc w:val="left"/>
            </w:pPr>
            <w:r>
              <w:rPr>
                <w:color w:val="000000"/>
                <w:sz w:val="16"/>
                <w:szCs w:val="16"/>
              </w:rPr>
              <w:t xml:space="preserve">Corrección de estilo por hablante nativo sobre la versión final</w:t>
            </w:r>
          </w:p>
        </w:tc>
        <w:tc>
          <w:tcPr>
            <w:tcW w:type="dxa" w:w="1500"/>
            <w:tcMar>
              <w:top w:type="dxa" w:w="65"/>
              <w:left w:type="dxa" w:w="85"/>
              <w:bottom w:type="dxa" w:w="65"/>
              <w:right w:type="dxa" w:w="85"/>
            </w:tcMar>
            <w:vAlign w:val="center"/>
          </w:tcPr>
          <w:p>
            <w:pPr>
              <w:jc w:val="center"/>
            </w:pPr>
            <w:r>
              <w:rPr>
                <w:color w:val="000000"/>
                <w:sz w:val="16"/>
                <w:szCs w:val="16"/>
              </w:rPr>
              <w:t xml:space="preserve">externo</w:t>
            </w:r>
          </w:p>
        </w:tc>
        <w:tc>
          <w:tcPr>
            <w:tcW w:type="dxa" w:w="2600"/>
            <w:shd w:fill="FCE5CD" w:color="auto" w:val="clear"/>
            <w:tcMar>
              <w:top w:type="dxa" w:w="65"/>
              <w:left w:type="dxa" w:w="85"/>
              <w:bottom w:type="dxa" w:w="65"/>
              <w:right w:type="dxa" w:w="85"/>
            </w:tcMar>
            <w:vAlign w:val="center"/>
          </w:tcPr>
          <w:p>
            <w:pPr>
              <w:jc w:val="center"/>
            </w:pPr>
            <w:r>
              <w:rPr>
                <w:b/>
                <w:bCs/>
                <w:color w:val="000000"/>
                <w:sz w:val="16"/>
                <w:szCs w:val="16"/>
              </w:rPr>
              <w:t xml:space="preserve">Alta</w:t>
            </w:r>
          </w:p>
        </w:tc>
      </w:tr>
    </w:tbl>
    <w:p>
      <w:pPr>
        <w:spacing w:after="140"/>
      </w:pPr>
    </w:p>
    <w:p>
      <w:pPr>
        <w:spacing w:after="130"/>
      </w:pPr>
      <w:r>
        <w:rPr>
          <w:sz w:val="19"/>
          <w:szCs w:val="19"/>
        </w:rPr>
        <w:t xml:space="preserve">Esfuerzo estimado hasta el envío: 25–33 horas de trabajo propio más la corrección de estilo externa. Las tres primeras tareas suman alrededor de una hora y eliminan los riesgos de rechazo en escritorio más evidentes.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2026-09-21T15:35:35.443Z</dcterms:created>
  <dcterms:modified xsi:type="dcterms:W3CDTF">2026-09-21T15:35:35.452Z</dcterms:modified>
</cp:coreProperties>
</file>

<file path=docProps/custom.xml><?xml version="1.0" encoding="utf-8"?>
<Properties xmlns="http://schemas.openxmlformats.org/officeDocument/2006/custom-properties" xmlns:vt="http://schemas.openxmlformats.org/officeDocument/2006/docPropsVTypes"/>
</file>