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de evidencia y brecha de investigación</w:t>
      </w:r>
    </w:p>
    <w:p>
      <w:pPr>
        <w:pStyle w:val="Heading1"/>
      </w:pPr>
      <w:r>
        <w:t>Business Valuation under Uncertainty: From Positivist Logic to Accounting Reasonableness</w:t>
      </w:r>
    </w:p>
    <w:p>
      <w:pPr>
        <w:spacing w:after="100"/>
      </w:pPr>
      <w:r>
        <w:rPr>
          <w:b/>
        </w:rPr>
        <w:t>Autores del artículo base:</w:t>
      </w:r>
      <w:r>
        <w:t xml:space="preserve"> María Emilia Molina de Tinto y Jaime</w:t>
      </w:r>
    </w:p>
    <w:p>
      <w:pPr>
        <w:spacing w:after="100"/>
      </w:pPr>
      <w:r>
        <w:t>Tinto Arandes</w:t>
      </w:r>
    </w:p>
    <w:p>
      <w:pPr>
        <w:spacing w:after="100"/>
      </w:pPr>
      <w:r>
        <w:rPr>
          <w:b/>
        </w:rPr>
        <w:t>Proyecto:</w:t>
      </w:r>
      <w:r>
        <w:t xml:space="preserve"> Business Valuation Dynamics Lab (BVD-Lab)</w:t>
      </w:r>
    </w:p>
    <w:p>
      <w:pPr>
        <w:spacing w:after="100"/>
      </w:pPr>
      <w:r>
        <w:rPr>
          <w:b/>
        </w:rPr>
        <w:t>Tipo:</w:t>
      </w:r>
      <w:r>
        <w:t xml:space="preserve"> mapa narrativo de evidencia y brecha de investigación</w:t>
      </w:r>
    </w:p>
    <w:p>
      <w:pPr>
        <w:spacing w:after="100"/>
      </w:pPr>
      <w:r>
        <w:rPr>
          <w:b/>
        </w:rPr>
        <w:t>Versión:</w:t>
      </w:r>
      <w:r>
        <w:t xml:space="preserve"> septiembre de 2026</w:t>
      </w:r>
    </w:p>
    <w:p>
      <w:pPr>
        <w:ind w:left="432"/>
      </w:pPr>
      <w:r>
        <w:rPr>
          <w:b/>
          <w:i/>
        </w:rPr>
        <w:t>Nota metodológica.</w:t>
      </w:r>
      <w:r>
        <w:rPr>
          <w:i/>
        </w:rPr>
        <w:t xml:space="preserve"> Documento organizado con una lógica de mapa de</w:t>
      </w:r>
    </w:p>
    <w:p>
      <w:pPr>
        <w:ind w:left="432"/>
      </w:pPr>
      <w:r>
        <w:rPr>
          <w:i/>
        </w:rPr>
        <w:t>evidencia similar a herramientas de síntesis como Consensus. No</w:t>
      </w:r>
    </w:p>
    <w:p>
      <w:pPr>
        <w:ind w:left="432"/>
      </w:pPr>
      <w:r>
        <w:rPr>
          <w:i/>
        </w:rPr>
        <w:t>constituye revisión sistemática, metaanálisis ni estudio</w:t>
      </w:r>
    </w:p>
    <w:p>
      <w:pPr>
        <w:ind w:left="432"/>
      </w:pPr>
      <w:r>
        <w:rPr>
          <w:i/>
        </w:rPr>
        <w:t>bibliométrico. Se deriva del corpus efectivamente utilizado en la</w:t>
      </w:r>
    </w:p>
    <w:p>
      <w:pPr>
        <w:ind w:left="432"/>
      </w:pPr>
      <w:r>
        <w:rPr>
          <w:i/>
        </w:rPr>
        <w:t>versión final del artículo y organiza aportes, convergencias,</w:t>
      </w:r>
    </w:p>
    <w:p>
      <w:pPr>
        <w:ind w:left="432"/>
      </w:pPr>
      <w:r>
        <w:rPr>
          <w:i/>
        </w:rPr>
        <w:t>tensiones y brechas para asegurar trazabilidad.</w:t>
      </w:r>
    </w:p>
    <w:p>
      <w:pPr>
        <w:pStyle w:val="Heading1"/>
      </w:pPr>
      <w:r>
        <w:t>1. Pregunta de investigación</w:t>
      </w:r>
    </w:p>
    <w:p>
      <w:pPr>
        <w:spacing w:after="100"/>
      </w:pPr>
      <w:r>
        <w:rPr>
          <w:b/>
        </w:rPr>
      </w:r>
      <w:r>
        <w:t>¿Cómo puede sostenerse epistemológicamente la valoración empresarial</w:t>
      </w:r>
    </w:p>
    <w:p>
      <w:pPr>
        <w:spacing w:after="100"/>
      </w:pPr>
      <w:r>
        <w:t>cuando la incertidumbre, la complejidad, la dinámica organizacional y el</w:t>
      </w:r>
    </w:p>
    <w:p>
      <w:pPr>
        <w:spacing w:after="100"/>
      </w:pPr>
      <w:r>
        <w:t>juicio profesional impiden tratar el valor como una magnitud plenamente</w:t>
      </w:r>
    </w:p>
    <w:p>
      <w:pPr>
        <w:spacing w:after="100"/>
      </w:pPr>
      <w:r>
        <w:t>objetiva, estable y determinable?</w:t>
      </w:r>
      <w:r>
        <w:rPr>
          <w:b/>
        </w:rPr>
      </w:r>
    </w:p>
    <w:p>
      <w:pPr>
        <w:spacing w:after="100"/>
      </w:pPr>
      <w:r>
        <w:t>El problema no consiste en sustituir los métodos financieros de</w:t>
      </w:r>
    </w:p>
    <w:p>
      <w:pPr>
        <w:spacing w:after="100"/>
      </w:pPr>
      <w:r>
        <w:t>valoración. Es anterior al instrumento: se refiere al criterio mediante</w:t>
      </w:r>
    </w:p>
    <w:p>
      <w:pPr>
        <w:spacing w:after="100"/>
      </w:pPr>
      <w:r>
        <w:t>el cual puede considerarse válido, defendible y científicamente</w:t>
      </w:r>
    </w:p>
    <w:p>
      <w:pPr>
        <w:spacing w:after="100"/>
      </w:pPr>
      <w:r>
        <w:t>razonable el conocimiento producido por una valoración cuando sus datos,</w:t>
      </w:r>
    </w:p>
    <w:p>
      <w:pPr>
        <w:spacing w:after="100"/>
      </w:pPr>
      <w:r>
        <w:t>supuestos y expectativas están sujetos a incertidumbre.</w:t>
      </w:r>
    </w:p>
    <w:p>
      <w:pPr>
        <w:pStyle w:val="Heading1"/>
      </w:pPr>
      <w:r>
        <w:t>2. Síntesis ejecutiva</w:t>
      </w:r>
    </w:p>
    <w:p>
      <w:pPr>
        <w:spacing w:after="100"/>
      </w:pPr>
      <w:r>
        <w:t>La literatura revisada converge en cuatro tradiciones:</w:t>
      </w:r>
    </w:p>
    <w:p>
      <w:pPr>
        <w:pStyle w:val="ListNumber"/>
      </w:pPr>
      <w:r>
        <w:rPr>
          <w:b/>
        </w:rPr>
        <w:t>Economía de la incertidumbre.</w:t>
      </w:r>
      <w:r>
        <w:t xml:space="preserve"> Knight y Keynes muestran que no</w:t>
      </w:r>
    </w:p>
    <w:p>
      <w:pPr>
        <w:spacing w:after="100"/>
      </w:pPr>
      <w:r>
        <w:t xml:space="preserve">    toda incertidumbre puede reducirse a riesgo probabilístico y que las</w:t>
      </w:r>
    </w:p>
    <w:p>
      <w:pPr>
        <w:spacing w:after="100"/>
      </w:pPr>
      <w:r>
        <w:t xml:space="preserve">    decisiones económicas dependen también de expectativas, convenciones</w:t>
      </w:r>
    </w:p>
    <w:p>
      <w:pPr>
        <w:spacing w:after="100"/>
      </w:pPr>
      <w:r>
        <w:t xml:space="preserve">    y juicio.</w:t>
      </w:r>
    </w:p>
    <w:p>
      <w:pPr>
        <w:pStyle w:val="ListNumber"/>
      </w:pPr>
      <w:r>
        <w:rPr>
          <w:b/>
        </w:rPr>
        <w:t>Contabilidad interpretativa y construcción de la realidad.</w:t>
      </w:r>
    </w:p>
    <w:p>
      <w:pPr>
        <w:spacing w:after="100"/>
      </w:pPr>
      <w:r>
        <w:t xml:space="preserve">    Mattessich, Chua, Hines, Hopwood y Miller cuestionan una concepción</w:t>
      </w:r>
    </w:p>
    <w:p>
      <w:pPr>
        <w:spacing w:after="100"/>
      </w:pPr>
      <w:r>
        <w:t xml:space="preserve">    ingenuamente neutral de la representación contable.</w:t>
      </w:r>
    </w:p>
    <w:p>
      <w:pPr>
        <w:pStyle w:val="ListNumber"/>
      </w:pPr>
      <w:r>
        <w:rPr>
          <w:b/>
        </w:rPr>
        <w:t>Complejidad, temporalidad y dinámica.</w:t>
      </w:r>
      <w:r>
        <w:t xml:space="preserve"> Morin, Prigogine, Arthur e</w:t>
      </w:r>
    </w:p>
    <w:p>
      <w:pPr>
        <w:spacing w:after="100"/>
      </w:pPr>
      <w:r>
        <w:t xml:space="preserve">    Ijiri permiten comprender la empresa y su representación como</w:t>
      </w:r>
    </w:p>
    <w:p>
      <w:pPr>
        <w:spacing w:after="100"/>
      </w:pPr>
      <w:r>
        <w:t xml:space="preserve">    dinámicas, abiertas, adaptativas e históricas.</w:t>
      </w:r>
    </w:p>
    <w:p>
      <w:pPr>
        <w:pStyle w:val="ListNumber"/>
      </w:pPr>
      <w:r>
        <w:rPr>
          <w:b/>
        </w:rPr>
        <w:t>Imprecisión y gradación.</w:t>
      </w:r>
      <w:r>
        <w:t xml:space="preserve"> Zadeh, Dubois y Prade, y Gil-Aluja</w:t>
      </w:r>
    </w:p>
    <w:p>
      <w:pPr>
        <w:spacing w:after="100"/>
      </w:pPr>
      <w:r>
        <w:t xml:space="preserve">    muestran que la imprecisión puede representarse formalmente sin</w:t>
      </w:r>
    </w:p>
    <w:p>
      <w:pPr>
        <w:spacing w:after="100"/>
      </w:pPr>
      <w:r>
        <w:t xml:space="preserve">    abandonar el rigor.</w:t>
      </w:r>
    </w:p>
    <w:p>
      <w:pPr>
        <w:spacing w:after="100"/>
      </w:pPr>
      <w:r>
        <w:t>La literatura contemporánea sobre juicio profesional, fair value,</w:t>
      </w:r>
    </w:p>
    <w:p>
      <w:pPr>
        <w:spacing w:after="100"/>
      </w:pPr>
      <w:r>
        <w:t xml:space="preserve">comparabilidad y </w:t>
      </w:r>
      <w:r>
        <w:rPr>
          <w:i/>
        </w:rPr>
        <w:t>true and fair view</w:t>
      </w:r>
      <w:r>
        <w:t xml:space="preserve"> confirma que la tensión entre</w:t>
      </w:r>
    </w:p>
    <w:p>
      <w:pPr>
        <w:spacing w:after="100"/>
      </w:pPr>
      <w:r>
        <w:t>reglas, interpretación, juicio y legitimación de las estimaciones</w:t>
      </w:r>
    </w:p>
    <w:p>
      <w:pPr>
        <w:spacing w:after="100"/>
      </w:pPr>
      <w:r>
        <w:t>continúa vigente. Sin embargo, el corpus revisado no desarrolla de forma</w:t>
      </w:r>
    </w:p>
    <w:p>
      <w:pPr>
        <w:spacing w:after="100"/>
      </w:pPr>
      <w:r>
        <w:t xml:space="preserve">integrada </w:t>
      </w:r>
      <w:r>
        <w:rPr>
          <w:b/>
        </w:rPr>
      </w:r>
      <w:r>
        <w:t>la razonabilidad contable como criterio epistemológico</w:t>
      </w:r>
    </w:p>
    <w:p>
      <w:pPr>
        <w:spacing w:after="100"/>
      </w:pPr>
      <w:r>
        <w:t>específico para validar la valoración empresarial bajo incertidumbre</w:t>
      </w:r>
      <w:r>
        <w:rPr>
          <w:b/>
        </w:rPr>
      </w:r>
      <w:r>
        <w:t>.</w:t>
      </w:r>
    </w:p>
    <w:p>
      <w:pPr>
        <w:pStyle w:val="Heading1"/>
      </w:pPr>
      <w:r>
        <w:t>3. Mapa de evidencia</w:t>
      </w:r>
    </w:p>
    <w:p>
      <w:pPr>
        <w:spacing w:after="100"/>
      </w:pPr>
      <w:r>
        <w:t xml:space="preserve">  -------------------------------------------------------------------------</w:t>
      </w:r>
    </w:p>
    <w:p>
      <w:pPr>
        <w:spacing w:after="100"/>
      </w:pPr>
      <w:r>
        <w:t xml:space="preserve">  Eje               Referencias       Evidencia/aporte    Brecha que</w:t>
      </w:r>
    </w:p>
    <w:p>
      <w:pPr>
        <w:spacing w:after="100"/>
      </w:pPr>
      <w:r>
        <w:t xml:space="preserve">                    principales                           permanece</w:t>
      </w:r>
    </w:p>
    <w:p>
      <w:pPr>
        <w:spacing w:after="100"/>
      </w:pPr>
      <w:r>
        <w:t xml:space="preserve">  ----------------- ----------------- ------------------- -----------------</w:t>
      </w:r>
    </w:p>
    <w:p>
      <w:pPr>
        <w:spacing w:after="100"/>
      </w:pPr>
      <w:r>
        <w:t xml:space="preserve">  Riesgo e          Knight (1921);    El futuro económico No ofrece por sí</w:t>
      </w:r>
    </w:p>
    <w:p>
      <w:pPr>
        <w:spacing w:after="100"/>
      </w:pPr>
      <w:r>
        <w:t xml:space="preserve">  incertidumbre     Keynes (1936);    no siempre es       sola un criterio</w:t>
      </w:r>
    </w:p>
    <w:p>
      <w:pPr>
        <w:spacing w:after="100"/>
      </w:pPr>
      <w:r>
        <w:t xml:space="preserve">                    Taleb (2007)      reducible a         contable de</w:t>
      </w:r>
    </w:p>
    <w:p>
      <w:pPr>
        <w:spacing w:after="100"/>
      </w:pPr>
      <w:r>
        <w:t xml:space="preserve">                                      probabilidades      validación del</w:t>
      </w:r>
    </w:p>
    <w:p>
      <w:pPr>
        <w:spacing w:after="100"/>
      </w:pPr>
      <w:r>
        <w:t xml:space="preserve">                                      conocidas.          valor.</w:t>
      </w:r>
    </w:p>
    <w:p>
      <w:pPr>
        <w:spacing w:after="100"/>
      </w:pPr>
      <w:r>
        <w:t xml:space="preserve">  Representación    Mattessich        La contabilidad     Falta articular</w:t>
      </w:r>
    </w:p>
    <w:p>
      <w:pPr>
        <w:spacing w:after="100"/>
      </w:pPr>
      <w:r>
        <w:t xml:space="preserve">  contable          (2003); Chua      selecciona,         esta crítica con</w:t>
      </w:r>
    </w:p>
    <w:p>
      <w:pPr>
        <w:spacing w:after="100"/>
      </w:pPr>
      <w:r>
        <w:t xml:space="preserve">                    (1986); Hines     representa y        una teoría de</w:t>
      </w:r>
    </w:p>
    <w:p>
      <w:pPr>
        <w:spacing w:after="100"/>
      </w:pPr>
      <w:r>
        <w:t xml:space="preserve">                    (1988); Hopwood   contribuye a        razonabilidad</w:t>
      </w:r>
    </w:p>
    <w:p>
      <w:pPr>
        <w:spacing w:after="100"/>
      </w:pPr>
      <w:r>
        <w:t xml:space="preserve">                    (1987); Miller    construir realidad  aplicada a</w:t>
      </w:r>
    </w:p>
    <w:p>
      <w:pPr>
        <w:spacing w:after="100"/>
      </w:pPr>
      <w:r>
        <w:t xml:space="preserve">                    (1994)            económica.          business</w:t>
      </w:r>
    </w:p>
    <w:p>
      <w:pPr>
        <w:spacing w:after="100"/>
      </w:pPr>
      <w:r>
        <w:t xml:space="preserve">                                                          valuation.</w:t>
      </w:r>
    </w:p>
    <w:p>
      <w:pPr>
        <w:spacing w:after="100"/>
      </w:pPr>
      <w:r>
        <w:t xml:space="preserve">  Juicio            Durocher &amp;        Principios y        La evidencia no</w:t>
      </w:r>
    </w:p>
    <w:p>
      <w:pPr>
        <w:spacing w:after="100"/>
      </w:pPr>
      <w:r>
        <w:t xml:space="preserve">  profesional       Gendron (2011);   representación      construye una</w:t>
      </w:r>
    </w:p>
    <w:p>
      <w:pPr>
        <w:spacing w:after="100"/>
      </w:pPr>
      <w:r>
        <w:t xml:space="preserve">                    Han et            requieren           epistemología</w:t>
      </w:r>
    </w:p>
    <w:p>
      <w:pPr>
        <w:spacing w:after="100"/>
      </w:pPr>
      <w:r>
        <w:t xml:space="preserve">                    al. (2019); Egan  interpretación,     integrada de</w:t>
      </w:r>
    </w:p>
    <w:p>
      <w:pPr>
        <w:spacing w:after="100"/>
      </w:pPr>
      <w:r>
        <w:t xml:space="preserve">                    &amp; Xu (2020);      experiencia y       valoración</w:t>
      </w:r>
    </w:p>
    <w:p>
      <w:pPr>
        <w:spacing w:after="100"/>
      </w:pPr>
      <w:r>
        <w:t xml:space="preserve">                    Barcellos et      juicio.             empresarial.</w:t>
      </w:r>
    </w:p>
    <w:p>
      <w:pPr>
        <w:spacing w:after="100"/>
      </w:pPr>
      <w:r>
        <w:t xml:space="preserve">                    al. (2025)</w:t>
      </w:r>
    </w:p>
    <w:p>
      <w:pPr>
        <w:spacing w:after="100"/>
      </w:pPr>
      <w:r>
        <w:t xml:space="preserve">  Fair value        Maroun &amp; van Zijl El fair value       No convierte la</w:t>
      </w:r>
    </w:p>
    <w:p>
      <w:pPr>
        <w:spacing w:after="100"/>
      </w:pPr>
      <w:r>
        <w:t xml:space="preserve">                    (2022)            involucra           razonabilidad en</w:t>
      </w:r>
    </w:p>
    <w:p>
      <w:pPr>
        <w:spacing w:after="100"/>
      </w:pPr>
      <w:r>
        <w:t xml:space="preserve">                                      compromisos         criterio general</w:t>
      </w:r>
    </w:p>
    <w:p>
      <w:pPr>
        <w:spacing w:after="100"/>
      </w:pPr>
      <w:r>
        <w:t xml:space="preserve">                                      epistémicos e       de validación</w:t>
      </w:r>
    </w:p>
    <w:p>
      <w:pPr>
        <w:spacing w:after="100"/>
      </w:pPr>
      <w:r>
        <w:t xml:space="preserve">                                      interpretación      epistemológica de</w:t>
      </w:r>
    </w:p>
    <w:p>
      <w:pPr>
        <w:spacing w:after="100"/>
      </w:pPr>
      <w:r>
        <w:t xml:space="preserve">                                      profesional.        business</w:t>
      </w:r>
    </w:p>
    <w:p>
      <w:pPr>
        <w:spacing w:after="100"/>
      </w:pPr>
      <w:r>
        <w:t xml:space="preserve">                                                          valuation.</w:t>
      </w:r>
    </w:p>
    <w:p>
      <w:pPr>
        <w:spacing w:after="100"/>
      </w:pPr>
      <w:r>
        <w:t xml:space="preserve">  Dinámica contable Ijiri (1983,      Accountability y    Su traducción</w:t>
      </w:r>
    </w:p>
    <w:p>
      <w:pPr>
        <w:spacing w:after="100"/>
      </w:pPr>
      <w:r>
        <w:t xml:space="preserve">                    1989)             momentum accounting sistemática a</w:t>
      </w:r>
    </w:p>
    <w:p>
      <w:pPr>
        <w:spacing w:after="100"/>
      </w:pPr>
      <w:r>
        <w:t xml:space="preserve">                                      amplían la          valoración</w:t>
      </w:r>
    </w:p>
    <w:p>
      <w:pPr>
        <w:spacing w:after="100"/>
      </w:pPr>
      <w:r>
        <w:t xml:space="preserve">                                      representación e    dinámica bajo</w:t>
      </w:r>
    </w:p>
    <w:p>
      <w:pPr>
        <w:spacing w:after="100"/>
      </w:pPr>
      <w:r>
        <w:t xml:space="preserve">                                      introducen          incertidumbre es</w:t>
      </w:r>
    </w:p>
    <w:p>
      <w:pPr>
        <w:spacing w:after="100"/>
      </w:pPr>
      <w:r>
        <w:t xml:space="preserve">                                      dinámica.           limitada.</w:t>
      </w:r>
    </w:p>
    <w:p>
      <w:pPr>
        <w:spacing w:after="100"/>
      </w:pPr>
      <w:r>
        <w:t xml:space="preserve">  Complejidad       Morin (1994);     Sistemas abiertos:  Falta integrarlos</w:t>
      </w:r>
    </w:p>
    <w:p>
      <w:pPr>
        <w:spacing w:after="100"/>
      </w:pPr>
      <w:r>
        <w:t xml:space="preserve">                    Prigogine (1996); emergencia,         en un criterio</w:t>
      </w:r>
    </w:p>
    <w:p>
      <w:pPr>
        <w:spacing w:after="100"/>
      </w:pPr>
      <w:r>
        <w:t xml:space="preserve">                    Arthur (2014)     irreversibilidad,   epistemológico de</w:t>
      </w:r>
    </w:p>
    <w:p>
      <w:pPr>
        <w:spacing w:after="100"/>
      </w:pPr>
      <w:r>
        <w:t xml:space="preserve">                                      adaptación y no     validación de la</w:t>
      </w:r>
    </w:p>
    <w:p>
      <w:pPr>
        <w:spacing w:after="100"/>
      </w:pPr>
      <w:r>
        <w:t xml:space="preserve">                                      linealidad.         valoración.</w:t>
      </w:r>
    </w:p>
    <w:p>
      <w:pPr>
        <w:spacing w:after="100"/>
      </w:pPr>
      <w:r>
        <w:t xml:space="preserve">  Conocimiento      Tsoukas (1996)    El conocimiento     No aborda</w:t>
      </w:r>
    </w:p>
    <w:p>
      <w:pPr>
        <w:spacing w:after="100"/>
      </w:pPr>
      <w:r>
        <w:t xml:space="preserve">  distribuido                         organizacional es   específicamente</w:t>
      </w:r>
    </w:p>
    <w:p>
      <w:pPr>
        <w:spacing w:after="100"/>
      </w:pPr>
      <w:r>
        <w:t xml:space="preserve">                                      incompleto y        la validación del</w:t>
      </w:r>
    </w:p>
    <w:p>
      <w:pPr>
        <w:spacing w:after="100"/>
      </w:pPr>
      <w:r>
        <w:t xml:space="preserve">                                      distribuido.        valor</w:t>
      </w:r>
    </w:p>
    <w:p>
      <w:pPr>
        <w:spacing w:after="100"/>
      </w:pPr>
      <w:r>
        <w:t xml:space="preserve">                                                          empresarial.</w:t>
      </w:r>
    </w:p>
    <w:p>
      <w:pPr>
        <w:spacing w:after="100"/>
      </w:pPr>
      <w:r>
        <w:t xml:space="preserve">  Imprecisión y     Zadeh (1965);     La imprecisión y    Falta conectar la</w:t>
      </w:r>
    </w:p>
    <w:p>
      <w:pPr>
        <w:spacing w:after="100"/>
      </w:pPr>
      <w:r>
        <w:t xml:space="preserve">  gradación         Dubois &amp; Prade    gradualidad pueden  formalización con</w:t>
      </w:r>
    </w:p>
    <w:p>
      <w:pPr>
        <w:spacing w:after="100"/>
      </w:pPr>
      <w:r>
        <w:t xml:space="preserve">                    (1996); Gil-Aluja representarse       un criterio</w:t>
      </w:r>
    </w:p>
    <w:p>
      <w:pPr>
        <w:spacing w:after="100"/>
      </w:pPr>
      <w:r>
        <w:t xml:space="preserve">                    (2004)            rigurosamente.      epistemológico de</w:t>
      </w:r>
    </w:p>
    <w:p>
      <w:pPr>
        <w:spacing w:after="100"/>
      </w:pPr>
      <w:r>
        <w:t xml:space="preserve">                                                          razonabilidad.</w:t>
      </w:r>
    </w:p>
    <w:p>
      <w:pPr>
        <w:spacing w:after="100"/>
      </w:pPr>
      <w:r>
        <w:t xml:space="preserve">  Razonabilidad     García Casella    Contexto,           No se desarrolla</w:t>
      </w:r>
    </w:p>
    <w:p>
      <w:pPr>
        <w:spacing w:after="100"/>
      </w:pPr>
      <w:r>
        <w:t xml:space="preserve">  contable          (2008); Tua       prudencia,          como categoría</w:t>
      </w:r>
    </w:p>
    <w:p>
      <w:pPr>
        <w:spacing w:after="100"/>
      </w:pPr>
      <w:r>
        <w:t xml:space="preserve">                    Pereda (2012)     responsabilidad y   epistemológica</w:t>
      </w:r>
    </w:p>
    <w:p>
      <w:pPr>
        <w:spacing w:after="100"/>
      </w:pPr>
      <w:r>
        <w:t xml:space="preserve">                                      coherencia importan integral de</w:t>
      </w:r>
    </w:p>
    <w:p>
      <w:pPr>
        <w:spacing w:after="100"/>
      </w:pPr>
      <w:r>
        <w:t xml:space="preserve">                                      en el conocimiento  business</w:t>
      </w:r>
    </w:p>
    <w:p>
      <w:pPr>
        <w:spacing w:after="100"/>
      </w:pPr>
      <w:r>
        <w:t xml:space="preserve">                                      contable.           valuation bajo</w:t>
      </w:r>
    </w:p>
    <w:p>
      <w:pPr>
        <w:spacing w:after="100"/>
      </w:pPr>
      <w:r>
        <w:t xml:space="preserve">                                                          incertidumbre.</w:t>
      </w:r>
    </w:p>
    <w:p>
      <w:pPr>
        <w:spacing w:after="100"/>
      </w:pPr>
      <w:r>
        <w:t xml:space="preserve">  Validación        Lukka &amp; Modell    La validez depende  No está formulada</w:t>
      </w:r>
    </w:p>
    <w:p>
      <w:pPr>
        <w:spacing w:after="100"/>
      </w:pPr>
      <w:r>
        <w:t xml:space="preserve">  interpretativa    (2010)            también de          específicamente</w:t>
      </w:r>
    </w:p>
    <w:p>
      <w:pPr>
        <w:spacing w:after="100"/>
      </w:pPr>
      <w:r>
        <w:t xml:space="preserve">                                      plausibilidad y     para valorar</w:t>
      </w:r>
    </w:p>
    <w:p>
      <w:pPr>
        <w:spacing w:after="100"/>
      </w:pPr>
      <w:r>
        <w:t xml:space="preserve">                                      coherencia teórica. empresas.</w:t>
      </w:r>
    </w:p>
    <w:p>
      <w:pPr>
        <w:spacing w:after="100"/>
      </w:pPr>
      <w:r>
        <w:t xml:space="preserve">  Construcción      Whetten (1989);   La contribución     Su función es</w:t>
      </w:r>
    </w:p>
    <w:p>
      <w:pPr>
        <w:spacing w:after="100"/>
      </w:pPr>
      <w:r>
        <w:t xml:space="preserve">  conceptual        Jaakkola (2020)   conceptual          metodológica, no</w:t>
      </w:r>
    </w:p>
    <w:p>
      <w:pPr>
        <w:spacing w:after="100"/>
      </w:pPr>
      <w:r>
        <w:t xml:space="preserve">                                      reorganiza          evidencia</w:t>
      </w:r>
    </w:p>
    <w:p>
      <w:pPr>
        <w:spacing w:after="100"/>
      </w:pPr>
      <w:r>
        <w:t xml:space="preserve">                                      relaciones          sustantiva sobre</w:t>
      </w:r>
    </w:p>
    <w:p>
      <w:pPr>
        <w:spacing w:after="100"/>
      </w:pPr>
      <w:r>
        <w:t xml:space="preserve">                                      explicativas.       valoración.</w:t>
      </w:r>
    </w:p>
    <w:p>
      <w:pPr>
        <w:spacing w:after="100"/>
      </w:pPr>
      <w:r>
        <w:t xml:space="preserve">  Pluralidad        Baxter &amp; Chua     La investigación    Persiste</w:t>
      </w:r>
    </w:p>
    <w:p>
      <w:pPr>
        <w:spacing w:after="100"/>
      </w:pPr>
      <w:r>
        <w:t xml:space="preserve">  epistemológica    (2003); Moses     contable admite     fragmentación</w:t>
      </w:r>
    </w:p>
    <w:p>
      <w:pPr>
        <w:spacing w:after="100"/>
      </w:pPr>
      <w:r>
        <w:t xml:space="preserve">                    (2026)            paradigmas          entre tradiciones</w:t>
      </w:r>
    </w:p>
    <w:p>
      <w:pPr>
        <w:spacing w:after="100"/>
      </w:pPr>
      <w:r>
        <w:t xml:space="preserve">                                      alternativos y      aplicadas al</w:t>
      </w:r>
    </w:p>
    <w:p>
      <w:pPr>
        <w:spacing w:after="100"/>
      </w:pPr>
      <w:r>
        <w:t xml:space="preserve">                                      diálogo             problema de</w:t>
      </w:r>
    </w:p>
    <w:p>
      <w:pPr>
        <w:spacing w:after="100"/>
      </w:pPr>
      <w:r>
        <w:t xml:space="preserve">                                      epistemológico.     valoración.</w:t>
      </w:r>
    </w:p>
    <w:p>
      <w:pPr>
        <w:spacing w:after="100"/>
      </w:pPr>
      <w:r>
        <w:t xml:space="preserve">  -------------------------------------------------------------------------</w:t>
      </w:r>
    </w:p>
    <w:p>
      <w:pPr>
        <w:pStyle w:val="Heading1"/>
      </w:pPr>
      <w:r>
        <w:t>4. Hallazgos consolidados</w:t>
      </w:r>
    </w:p>
    <w:p>
      <w:pPr>
        <w:pStyle w:val="Heading2"/>
      </w:pPr>
      <w:r>
        <w:t>4.1 La valoración no puede identificarse sin más con medición exacta</w:t>
      </w:r>
    </w:p>
    <w:p>
      <w:pPr>
        <w:spacing w:after="100"/>
      </w:pPr>
      <w:r>
        <w:t>La literatura contable interpretativa cuestiona que las cifras sean</w:t>
      </w:r>
    </w:p>
    <w:p>
      <w:pPr>
        <w:spacing w:after="100"/>
      </w:pPr>
      <w:r>
        <w:t>reproducciones neutrales de una realidad económica preexistente. La</w:t>
      </w:r>
    </w:p>
    <w:p>
      <w:pPr>
        <w:spacing w:after="100"/>
      </w:pPr>
      <w:r>
        <w:t>representación depende de categorías, convenciones, marcos conceptuales</w:t>
      </w:r>
    </w:p>
    <w:p>
      <w:pPr>
        <w:spacing w:after="100"/>
      </w:pPr>
      <w:r>
        <w:t>y decisiones profesionales.</w:t>
      </w:r>
    </w:p>
    <w:p>
      <w:pPr>
        <w:pStyle w:val="Heading2"/>
      </w:pPr>
      <w:r>
        <w:t>4.2 Riesgo e incertidumbre no son equivalentes</w:t>
      </w:r>
    </w:p>
    <w:p>
      <w:pPr>
        <w:spacing w:after="100"/>
      </w:pPr>
      <w:r>
        <w:t>Knight distingue el riesgo susceptible de cálculo de la incertidumbre</w:t>
      </w:r>
    </w:p>
    <w:p>
      <w:pPr>
        <w:spacing w:after="100"/>
      </w:pPr>
      <w:r>
        <w:t>que no puede describirse adecuadamente mediante probabilidades</w:t>
      </w:r>
    </w:p>
    <w:p>
      <w:pPr>
        <w:spacing w:after="100"/>
      </w:pPr>
      <w:r>
        <w:t>conocidas. Keynes añade expectativas, convenciones y juicio.</w:t>
      </w:r>
    </w:p>
    <w:p>
      <w:pPr>
        <w:pStyle w:val="Heading2"/>
      </w:pPr>
      <w:r>
        <w:t>4.3 El juicio profesional no desaparece al sofisticar el modelo</w:t>
      </w:r>
    </w:p>
    <w:p>
      <w:pPr>
        <w:spacing w:after="100"/>
      </w:pPr>
      <w:r>
        <w:t>La sofisticación matemática no elimina los supuestos. Flujos, tasas,</w:t>
      </w:r>
    </w:p>
    <w:p>
      <w:pPr>
        <w:spacing w:after="100"/>
      </w:pPr>
      <w:r>
        <w:t>escenarios y horizontes temporales requieren elecciones e</w:t>
      </w:r>
    </w:p>
    <w:p>
      <w:pPr>
        <w:spacing w:after="100"/>
      </w:pPr>
      <w:r>
        <w:t>interpretación.</w:t>
      </w:r>
    </w:p>
    <w:p>
      <w:pPr>
        <w:pStyle w:val="Heading2"/>
      </w:pPr>
      <w:r>
        <w:t>4.4 La empresa es un objeto dinámico</w:t>
      </w:r>
    </w:p>
    <w:p>
      <w:pPr>
        <w:spacing w:after="100"/>
      </w:pPr>
      <w:r>
        <w:t>Complejidad, irreversibilidad y adaptación cuestionan una representación</w:t>
      </w:r>
    </w:p>
    <w:p>
      <w:pPr>
        <w:spacing w:after="100"/>
      </w:pPr>
      <w:r>
        <w:t>exclusivamente estática. Ijiri aporta desde la contabilidad una vía para</w:t>
      </w:r>
    </w:p>
    <w:p>
      <w:pPr>
        <w:spacing w:after="100"/>
      </w:pPr>
      <w:r>
        <w:t>representar movimiento; Arthur concibe la economía como sistema complejo</w:t>
      </w:r>
    </w:p>
    <w:p>
      <w:pPr>
        <w:spacing w:after="100"/>
      </w:pPr>
      <w:r>
        <w:t>adaptativo.</w:t>
      </w:r>
    </w:p>
    <w:p>
      <w:pPr>
        <w:pStyle w:val="Heading2"/>
      </w:pPr>
      <w:r>
        <w:t>4.5 La imprecisión puede tratarse rigurosamente</w:t>
      </w:r>
    </w:p>
    <w:p>
      <w:pPr>
        <w:spacing w:after="100"/>
      </w:pPr>
      <w:r>
        <w:t>Zadeh, Dubois y Prade, y Gil-Aluja permiten reconocer que imprecisión y</w:t>
      </w:r>
    </w:p>
    <w:p>
      <w:pPr>
        <w:spacing w:after="100"/>
      </w:pPr>
      <w:r>
        <w:t>gradación no equivalen a ausencia de rigor. El artículo permanece</w:t>
      </w:r>
    </w:p>
    <w:p>
      <w:pPr>
        <w:spacing w:after="100"/>
      </w:pPr>
      <w:r>
        <w:t>deliberadamente en el nivel epistemológico y no desarrolla todavía un</w:t>
      </w:r>
    </w:p>
    <w:p>
      <w:pPr>
        <w:spacing w:after="100"/>
      </w:pPr>
      <w:r>
        <w:t>modelo fuzzy operativo.</w:t>
      </w:r>
    </w:p>
    <w:p>
      <w:pPr>
        <w:pStyle w:val="Heading1"/>
      </w:pPr>
      <w:r>
        <w:t>5. Fragmentación de la literatura</w:t>
      </w:r>
    </w:p>
    <w:p>
      <w:pPr>
        <w:spacing w:after="100"/>
      </w:pPr>
      <w:r>
        <w:t>La revisión no muestra una oposición simple entre "positivistas" e</w:t>
      </w:r>
    </w:p>
    <w:p>
      <w:pPr>
        <w:spacing w:after="100"/>
      </w:pPr>
      <w:r>
        <w:t>"interpretativos". Los métodos financieros pueden ser útiles, pero</w:t>
      </w:r>
    </w:p>
    <w:p>
      <w:pPr>
        <w:spacing w:after="100"/>
      </w:pPr>
      <w:r>
        <w:t>dependen de supuestos. La literatura interpretativa demuestra que la</w:t>
      </w:r>
    </w:p>
    <w:p>
      <w:pPr>
        <w:spacing w:after="100"/>
      </w:pPr>
      <w:r>
        <w:t>representación incorpora juicio, pero no proporciona por sí sola un</w:t>
      </w:r>
    </w:p>
    <w:p>
      <w:pPr>
        <w:spacing w:after="100"/>
      </w:pPr>
      <w:r>
        <w:t>procedimiento de valoración. La complejidad explica dinamismo y</w:t>
      </w:r>
    </w:p>
    <w:p>
      <w:pPr>
        <w:spacing w:after="100"/>
      </w:pPr>
      <w:r>
        <w:t>emergencia, pero no determina cómo validar una cifra. La lógica difusa</w:t>
      </w:r>
    </w:p>
    <w:p>
      <w:pPr>
        <w:spacing w:after="100"/>
      </w:pPr>
      <w:r>
        <w:t>representa imprecisión, pero una herramienta matemática no establece por</w:t>
      </w:r>
    </w:p>
    <w:p>
      <w:pPr>
        <w:spacing w:after="100"/>
      </w:pPr>
      <w:r>
        <w:t>sí misma cuándo una valoración es epistemológicamente defendible.</w:t>
      </w:r>
    </w:p>
    <w:p>
      <w:pPr>
        <w:spacing w:after="100"/>
      </w:pPr>
      <w:r>
        <w:rPr>
          <w:b/>
        </w:rPr>
      </w:r>
      <w:r>
        <w:t>La fragmentación está en la ausencia de una articulación común entre</w:t>
      </w:r>
    </w:p>
    <w:p>
      <w:pPr>
        <w:spacing w:after="100"/>
      </w:pPr>
      <w:r>
        <w:t>incertidumbre, representación, complejidad, juicio e imprecisión para</w:t>
      </w:r>
    </w:p>
    <w:p>
      <w:pPr>
        <w:spacing w:after="100"/>
      </w:pPr>
      <w:r>
        <w:t>validar el conocimiento producido por la valoración empresarial.</w:t>
      </w:r>
      <w:r>
        <w:rPr>
          <w:b/>
        </w:rPr>
      </w:r>
    </w:p>
    <w:p>
      <w:pPr>
        <w:pStyle w:val="Heading1"/>
      </w:pPr>
      <w:r>
        <w:t>6. Brecha de investigación</w:t>
      </w:r>
    </w:p>
    <w:p>
      <w:pPr>
        <w:ind w:left="432"/>
      </w:pPr>
      <w:r>
        <w:rPr>
          <w:i/>
        </w:rPr>
        <w:t>**La literatura revisada carece de una articulación suficientemente</w:t>
      </w:r>
    </w:p>
    <w:p>
      <w:pPr>
        <w:ind w:left="432"/>
      </w:pPr>
      <w:r>
        <w:rPr>
          <w:i/>
        </w:rPr>
        <w:t>integrada que conceptualice la razonabilidad contable como criterio</w:t>
      </w:r>
    </w:p>
    <w:p>
      <w:pPr>
        <w:ind w:left="432"/>
      </w:pPr>
      <w:r>
        <w:rPr>
          <w:i/>
        </w:rPr>
        <w:t>epistemológico para validar la valoración empresarial bajo condiciones</w:t>
      </w:r>
    </w:p>
    <w:p>
      <w:pPr>
        <w:ind w:left="432"/>
      </w:pPr>
      <w:r>
        <w:rPr>
          <w:i/>
        </w:rPr>
        <w:t>de incertidumbre, complejidad y juicio profesional.**</w:t>
      </w:r>
    </w:p>
    <w:p>
      <w:pPr>
        <w:spacing w:after="100"/>
      </w:pPr>
      <w:r>
        <w:t>La brecha puede desagregarse en cinco componentes:</w:t>
      </w:r>
    </w:p>
    <w:p>
      <w:pPr>
        <w:pStyle w:val="ListBullet"/>
      </w:pPr>
      <w:r>
        <w:t xml:space="preserve">  </w:t>
      </w:r>
      <w:r>
        <w:rPr>
          <w:b/>
        </w:rPr>
        <w:t>Epistemológica:</w:t>
      </w:r>
      <w:r>
        <w:t xml:space="preserve"> está menos desarrollado el problema de la</w:t>
      </w:r>
    </w:p>
    <w:p>
      <w:pPr>
        <w:spacing w:after="100"/>
      </w:pPr>
      <w:r>
        <w:t xml:space="preserve">    legitimidad del conocimiento valorativo cuando existe incertidumbre</w:t>
      </w:r>
    </w:p>
    <w:p>
      <w:pPr>
        <w:spacing w:after="100"/>
      </w:pPr>
      <w:r>
        <w:t xml:space="preserve">    irreductible.</w:t>
      </w:r>
    </w:p>
    <w:p>
      <w:pPr>
        <w:pStyle w:val="ListBullet"/>
      </w:pPr>
      <w:r>
        <w:t xml:space="preserve">  </w:t>
      </w:r>
      <w:r>
        <w:rPr>
          <w:b/>
        </w:rPr>
        <w:t>Integradora:</w:t>
      </w:r>
      <w:r>
        <w:t xml:space="preserve"> incertidumbre, complejidad, juicio e imprecisión se</w:t>
      </w:r>
    </w:p>
    <w:p>
      <w:pPr>
        <w:spacing w:after="100"/>
      </w:pPr>
      <w:r>
        <w:t xml:space="preserve">    estudian desde tradiciones diferentes.</w:t>
      </w:r>
    </w:p>
    <w:p>
      <w:pPr>
        <w:pStyle w:val="ListBullet"/>
      </w:pPr>
      <w:r>
        <w:t xml:space="preserve">  </w:t>
      </w:r>
      <w:r>
        <w:rPr>
          <w:b/>
        </w:rPr>
        <w:t>Dinámica:</w:t>
      </w:r>
      <w:r>
        <w:t xml:space="preserve"> la temporalidad y adaptación reconocidas por la</w:t>
      </w:r>
    </w:p>
    <w:p>
      <w:pPr>
        <w:spacing w:after="100"/>
      </w:pPr>
      <w:r>
        <w:t xml:space="preserve">    literatura tienen traducción limitada al fundamento de business</w:t>
      </w:r>
    </w:p>
    <w:p>
      <w:pPr>
        <w:spacing w:after="100"/>
      </w:pPr>
      <w:r>
        <w:t xml:space="preserve">    valuation.</w:t>
      </w:r>
    </w:p>
    <w:p>
      <w:pPr>
        <w:pStyle w:val="ListBullet"/>
      </w:pPr>
      <w:r>
        <w:t xml:space="preserve">  </w:t>
      </w:r>
      <w:r>
        <w:rPr>
          <w:b/>
        </w:rPr>
        <w:t>Juicio-rigor:</w:t>
      </w:r>
      <w:r>
        <w:t xml:space="preserve"> falta precisar condiciones que distingan juicio</w:t>
      </w:r>
    </w:p>
    <w:p>
      <w:pPr>
        <w:spacing w:after="100"/>
      </w:pPr>
      <w:r>
        <w:t xml:space="preserve">    profesional razonado de arbitrariedad.</w:t>
      </w:r>
    </w:p>
    <w:p>
      <w:pPr>
        <w:pStyle w:val="ListBullet"/>
      </w:pPr>
      <w:r>
        <w:t xml:space="preserve">  </w:t>
      </w:r>
      <w:r>
        <w:rPr>
          <w:b/>
        </w:rPr>
        <w:t>Metodológica futura:</w:t>
      </w:r>
      <w:r>
        <w:t xml:space="preserve"> queda pendiente operacionalizar</w:t>
      </w:r>
    </w:p>
    <w:p>
      <w:pPr>
        <w:spacing w:after="100"/>
      </w:pPr>
      <w:r>
        <w:t xml:space="preserve">    razonabilidad, incertidumbre, gradación y juicio mediante</w:t>
      </w:r>
    </w:p>
    <w:p>
      <w:pPr>
        <w:spacing w:after="100"/>
      </w:pPr>
      <w:r>
        <w:t xml:space="preserve">    procedimientos susceptibles de aplicación y escrutinio empírico.</w:t>
      </w:r>
    </w:p>
    <w:p>
      <w:pPr>
        <w:pStyle w:val="Heading1"/>
      </w:pPr>
      <w:r>
        <w:t>7. Contribución del artículo</w:t>
      </w:r>
    </w:p>
    <w:p>
      <w:pPr>
        <w:spacing w:after="100"/>
      </w:pPr>
      <w:r>
        <w:t>El artículo no propone abandonar DCF, múltiplos, opciones reales u otras</w:t>
      </w:r>
    </w:p>
    <w:p>
      <w:pPr>
        <w:spacing w:after="100"/>
      </w:pPr>
      <w:r>
        <w:t>técnicas ni sostiene que la lógica difusa deba reemplazarlas.</w:t>
      </w:r>
    </w:p>
    <w:p>
      <w:pPr>
        <w:spacing w:after="100"/>
      </w:pPr>
      <w:r>
        <w:t xml:space="preserve">Su contribución es </w:t>
      </w:r>
      <w:r>
        <w:rPr>
          <w:b/>
        </w:rPr>
        <w:t>epistemológica</w:t>
      </w:r>
      <w:r>
        <w:t>: reposicionar la razonabilidad</w:t>
      </w:r>
    </w:p>
    <w:p>
      <w:pPr>
        <w:spacing w:after="100"/>
      </w:pPr>
      <w:r>
        <w:t>contable desde una interpretación predominantemente técnico-normativa</w:t>
      </w:r>
    </w:p>
    <w:p>
      <w:pPr>
        <w:spacing w:after="100"/>
      </w:pPr>
      <w:r>
        <w:t>hacia un criterio de validación de la valoración empresarial bajo</w:t>
      </w:r>
    </w:p>
    <w:p>
      <w:pPr>
        <w:spacing w:after="100"/>
      </w:pPr>
      <w:r>
        <w:t>incertidumbre.</w:t>
      </w:r>
    </w:p>
    <w:p>
      <w:pPr>
        <w:spacing w:after="100"/>
      </w:pPr>
      <w:r>
        <w:t>Una representación razonable del valor debería:</w:t>
      </w:r>
    </w:p>
    <w:p>
      <w:pPr>
        <w:pStyle w:val="ListNumber"/>
      </w:pPr>
      <w:r>
        <w:t>reconocer la incertidumbre relevante;</w:t>
      </w:r>
    </w:p>
    <w:p>
      <w:pPr>
        <w:pStyle w:val="ListNumber"/>
      </w:pPr>
      <w:r>
        <w:t>transparentar los supuestos;</w:t>
      </w:r>
    </w:p>
    <w:p>
      <w:pPr>
        <w:pStyle w:val="ListNumber"/>
      </w:pPr>
      <w:r>
        <w:t>mantener coherencia entre evidencia, modelo e inferencia;</w:t>
      </w:r>
    </w:p>
    <w:p>
      <w:pPr>
        <w:pStyle w:val="ListNumber"/>
      </w:pPr>
      <w:r>
        <w:t>contextualizar el resultado;</w:t>
      </w:r>
    </w:p>
    <w:p>
      <w:pPr>
        <w:pStyle w:val="ListNumber"/>
      </w:pPr>
      <w:r>
        <w:t>reconocer y justificar el juicio profesional; y</w:t>
      </w:r>
    </w:p>
    <w:p>
      <w:pPr>
        <w:pStyle w:val="ListNumber"/>
      </w:pPr>
      <w:r>
        <w:t>presentar el valor como representación defendible y revisable, no</w:t>
      </w:r>
    </w:p>
    <w:p>
      <w:pPr>
        <w:spacing w:after="100"/>
      </w:pPr>
      <w:r>
        <w:t xml:space="preserve">    como verdad numérica definitiva.</w:t>
      </w:r>
    </w:p>
    <w:p>
      <w:pPr>
        <w:pStyle w:val="Heading1"/>
      </w:pPr>
      <w:r>
        <w:t>8. Cadena lógica del programa</w:t>
      </w:r>
    </w:p>
    <w:p>
      <w:r>
        <w:rPr>
          <w:rFonts w:ascii="Consolas" w:hAnsi="Consolas"/>
          <w:sz w:val="18"/>
        </w:rPr>
        <w:t>Empresa contemporánea</w:t>
        <w:br/>
        <w:t xml:space="preserve">        ↓</w:t>
        <w:br/>
        <w:t>Sistema abierto, dinámico y adaptativo</w:t>
        <w:br/>
        <w:t xml:space="preserve">        ↓</w:t>
        <w:br/>
        <w:t>Incertidumbre + complejidad + conocimiento incompleto</w:t>
        <w:br/>
        <w:t xml:space="preserve">        ↓</w:t>
        <w:br/>
        <w:t>Límites de la representación exclusivamente determinista</w:t>
        <w:br/>
        <w:t xml:space="preserve">        ↓</w:t>
        <w:br/>
        <w:t>Interpretación + juicio profesional</w:t>
        <w:br/>
        <w:t xml:space="preserve">        ↓</w:t>
        <w:br/>
        <w:t>Problema de validación</w:t>
        <w:br/>
        <w:t xml:space="preserve">        ↓</w:t>
        <w:br/>
        <w:t>Razonabilidad contable como criterio epistemológico</w:t>
        <w:br/>
        <w:t xml:space="preserve">        ↓</w:t>
        <w:br/>
        <w:t>Fase futura: operacionalización metodológica y contrastación</w:t>
      </w:r>
    </w:p>
    <w:p>
      <w:pPr>
        <w:pStyle w:val="Heading1"/>
      </w:pPr>
      <w:r>
        <w:t>9. Agenda futura</w:t>
      </w:r>
    </w:p>
    <w:p>
      <w:pPr>
        <w:pStyle w:val="ListBullet"/>
      </w:pPr>
      <w:r>
        <w:t xml:space="preserve">  Operacionalizar incertidumbre, gradación, juicio profesional y</w:t>
      </w:r>
    </w:p>
    <w:p>
      <w:pPr>
        <w:spacing w:after="100"/>
      </w:pPr>
      <w:r>
        <w:t xml:space="preserve">    razonabilidad.</w:t>
      </w:r>
    </w:p>
    <w:p>
      <w:pPr>
        <w:pStyle w:val="ListBullet"/>
      </w:pPr>
      <w:r>
        <w:t xml:space="preserve">  Analizar si valoraciones no idénticas pueden ser igualmente</w:t>
      </w:r>
    </w:p>
    <w:p>
      <w:pPr>
        <w:spacing w:after="100"/>
      </w:pPr>
      <w:r>
        <w:t xml:space="preserve">    razonables bajo criterios comunes.</w:t>
      </w:r>
    </w:p>
    <w:p>
      <w:pPr>
        <w:pStyle w:val="ListBullet"/>
      </w:pPr>
      <w:r>
        <w:t xml:space="preserve">  Desarrollar y contrastar modelos dinámicos y fuzzy sin confundir</w:t>
      </w:r>
    </w:p>
    <w:p>
      <w:pPr>
        <w:spacing w:after="100"/>
      </w:pPr>
      <w:r>
        <w:t xml:space="preserve">    incertidumbre con riesgo.</w:t>
      </w:r>
    </w:p>
    <w:p>
      <w:pPr>
        <w:pStyle w:val="ListBullet"/>
      </w:pPr>
      <w:r>
        <w:t xml:space="preserve">  Incorporar análisis de sensibilidad y escenarios.</w:t>
      </w:r>
    </w:p>
    <w:p>
      <w:pPr>
        <w:pStyle w:val="ListBullet"/>
      </w:pPr>
      <w:r>
        <w:t xml:space="preserve">  Contrastar el marco en empresas, sectores y contextos diversos.</w:t>
      </w:r>
    </w:p>
    <w:p>
      <w:pPr>
        <w:pStyle w:val="ListBullet"/>
      </w:pPr>
      <w:r>
        <w:t xml:space="preserve">  Investigar trazabilidad, sesgos y responsabilidad del juicio</w:t>
      </w:r>
    </w:p>
    <w:p>
      <w:pPr>
        <w:spacing w:after="100"/>
      </w:pPr>
      <w:r>
        <w:t xml:space="preserve">    profesional.</w:t>
      </w:r>
    </w:p>
    <w:p>
      <w:pPr>
        <w:pStyle w:val="ListBullet"/>
      </w:pPr>
      <w:r>
        <w:t xml:space="preserve">  Estudiar cómo IA, digitalización, redes y nuevas formas</w:t>
      </w:r>
    </w:p>
    <w:p>
      <w:pPr>
        <w:spacing w:after="100"/>
      </w:pPr>
      <w:r>
        <w:t xml:space="preserve">    organizativas alteran la formación y valoración del valor</w:t>
      </w:r>
    </w:p>
    <w:p>
      <w:pPr>
        <w:spacing w:after="100"/>
      </w:pPr>
      <w:r>
        <w:t xml:space="preserve">    empresarial.</w:t>
      </w:r>
    </w:p>
    <w:p>
      <w:pPr>
        <w:pStyle w:val="Heading1"/>
      </w:pPr>
      <w:r>
        <w:t>10. Fuerza y límites de la evidencia</w:t>
      </w:r>
    </w:p>
    <w:p>
      <w:pPr>
        <w:spacing w:after="100"/>
      </w:pPr>
      <w:r>
        <w:t xml:space="preserve">  ------------------------------------------------------------------------</w:t>
      </w:r>
    </w:p>
    <w:p>
      <w:pPr>
        <w:spacing w:after="100"/>
      </w:pPr>
      <w:r>
        <w:t xml:space="preserve">  Evidencia                                Presencia Lectura</w:t>
      </w:r>
    </w:p>
    <w:p>
      <w:pPr>
        <w:spacing w:after="100"/>
      </w:pPr>
      <w:r>
        <w:t xml:space="preserve">  --------------------- ---------------------------- ---------------------</w:t>
      </w:r>
    </w:p>
    <w:p>
      <w:pPr>
        <w:spacing w:after="100"/>
      </w:pPr>
      <w:r>
        <w:t xml:space="preserve">  Fundamentos clásicos                          Alta Construyen categorías</w:t>
      </w:r>
    </w:p>
    <w:p>
      <w:pPr>
        <w:spacing w:after="100"/>
      </w:pPr>
      <w:r>
        <w:t xml:space="preserve">                                                     de incertidumbre,</w:t>
      </w:r>
    </w:p>
    <w:p>
      <w:pPr>
        <w:spacing w:after="100"/>
      </w:pPr>
      <w:r>
        <w:t xml:space="preserve">                                                     contabilidad y</w:t>
      </w:r>
    </w:p>
    <w:p>
      <w:pPr>
        <w:spacing w:after="100"/>
      </w:pPr>
      <w:r>
        <w:t xml:space="preserve">                                                     complejidad.</w:t>
      </w:r>
    </w:p>
    <w:p>
      <w:pPr>
        <w:spacing w:after="100"/>
      </w:pPr>
      <w:r>
        <w:t xml:space="preserve">  Teoría contable                               Alta Problematiza</w:t>
      </w:r>
    </w:p>
    <w:p>
      <w:pPr>
        <w:spacing w:after="100"/>
      </w:pPr>
      <w:r>
        <w:t xml:space="preserve">  interpretativa                                     objetividad y</w:t>
      </w:r>
    </w:p>
    <w:p>
      <w:pPr>
        <w:spacing w:after="100"/>
      </w:pPr>
      <w:r>
        <w:t xml:space="preserve">                                                     representación.</w:t>
      </w:r>
    </w:p>
    <w:p>
      <w:pPr>
        <w:spacing w:after="100"/>
      </w:pPr>
      <w:r>
        <w:t xml:space="preserve">  Literatura                                Moderada Actualiza juicio,</w:t>
      </w:r>
    </w:p>
    <w:p>
      <w:pPr>
        <w:spacing w:after="100"/>
      </w:pPr>
      <w:r>
        <w:t xml:space="preserve">  contemporánea de                                   comparabilidad y</w:t>
      </w:r>
    </w:p>
    <w:p>
      <w:pPr>
        <w:spacing w:after="100"/>
      </w:pPr>
      <w:r>
        <w:t xml:space="preserve">  Accounting Forum                                   epistemología.</w:t>
      </w:r>
    </w:p>
    <w:p>
      <w:pPr>
        <w:spacing w:after="100"/>
      </w:pPr>
      <w:r>
        <w:t xml:space="preserve">  Evidencia empírica                            Baja Parte central de la</w:t>
      </w:r>
    </w:p>
    <w:p>
      <w:pPr>
        <w:spacing w:after="100"/>
      </w:pPr>
      <w:r>
        <w:t xml:space="preserve">  directa sobre                                      brecha.</w:t>
      </w:r>
    </w:p>
    <w:p>
      <w:pPr>
        <w:spacing w:after="100"/>
      </w:pPr>
      <w:r>
        <w:t xml:space="preserve">  razonabilidad en</w:t>
      </w:r>
    </w:p>
    <w:p>
      <w:pPr>
        <w:spacing w:after="100"/>
      </w:pPr>
      <w:r>
        <w:t xml:space="preserve">  business valuation</w:t>
      </w:r>
    </w:p>
    <w:p>
      <w:pPr>
        <w:spacing w:after="100"/>
      </w:pPr>
      <w:r>
        <w:t xml:space="preserve">  Modelos operativos    No establecidos en el corpus Agenda metodológica</w:t>
      </w:r>
    </w:p>
    <w:p>
      <w:pPr>
        <w:spacing w:after="100"/>
      </w:pPr>
      <w:r>
        <w:t xml:space="preserve">  integrando                                         futura.</w:t>
      </w:r>
    </w:p>
    <w:p>
      <w:pPr>
        <w:spacing w:after="100"/>
      </w:pPr>
      <w:r>
        <w:t xml:space="preserve">  razonabilidad +</w:t>
      </w:r>
    </w:p>
    <w:p>
      <w:pPr>
        <w:spacing w:after="100"/>
      </w:pPr>
      <w:r>
        <w:t xml:space="preserve">  incertidumbre +</w:t>
      </w:r>
    </w:p>
    <w:p>
      <w:pPr>
        <w:spacing w:after="100"/>
      </w:pPr>
      <w:r>
        <w:t xml:space="preserve">  valoración dinámica</w:t>
      </w:r>
    </w:p>
    <w:p>
      <w:pPr>
        <w:spacing w:after="100"/>
      </w:pPr>
      <w:r>
        <w:t xml:space="preserve">  Evidencia                        Fuera del alcance El artículo es</w:t>
      </w:r>
    </w:p>
    <w:p>
      <w:pPr>
        <w:spacing w:after="100"/>
      </w:pPr>
      <w:r>
        <w:t xml:space="preserve">  causal/experimental                                conceptual, no</w:t>
      </w:r>
    </w:p>
    <w:p>
      <w:pPr>
        <w:spacing w:after="100"/>
      </w:pPr>
      <w:r>
        <w:t xml:space="preserve">                                                     experimental.</w:t>
      </w:r>
    </w:p>
    <w:p>
      <w:pPr>
        <w:spacing w:after="100"/>
      </w:pPr>
      <w:r>
        <w:t xml:space="preserve">  ------------------------------------------------------------------------</w:t>
      </w:r>
    </w:p>
    <w:p>
      <w:pPr>
        <w:spacing w:after="100"/>
      </w:pPr>
      <w:r>
        <w:rPr>
          <w:b/>
        </w:rPr>
        <w:t>Precisión importante:</w:t>
      </w:r>
      <w:r>
        <w:t xml:space="preserve"> la brecha no es que "nadie haya estudiado la</w:t>
      </w:r>
    </w:p>
    <w:p>
      <w:pPr>
        <w:spacing w:after="100"/>
      </w:pPr>
      <w:r>
        <w:t>incertidumbre" ni que "no existan modelos de valoración". Es más</w:t>
      </w:r>
    </w:p>
    <w:p>
      <w:pPr>
        <w:spacing w:after="100"/>
      </w:pPr>
      <w:r>
        <w:t xml:space="preserve">específica: </w:t>
      </w:r>
      <w:r>
        <w:rPr>
          <w:b/>
        </w:rPr>
      </w:r>
      <w:r>
        <w:t>falta una integración epistemológica suficientemente</w:t>
      </w:r>
    </w:p>
    <w:p>
      <w:pPr>
        <w:spacing w:after="100"/>
      </w:pPr>
      <w:r>
        <w:t>desarrollada que utilice la razonabilidad como criterio de validación</w:t>
      </w:r>
    </w:p>
    <w:p>
      <w:pPr>
        <w:spacing w:after="100"/>
      </w:pPr>
      <w:r>
        <w:t>del conocimiento valorativo bajo incertidumbre.</w:t>
      </w:r>
      <w:r>
        <w:rPr>
          <w:b/>
        </w:rPr>
      </w:r>
    </w:p>
    <w:p>
      <w:pPr>
        <w:pStyle w:val="Heading1"/>
      </w:pPr>
      <w:r>
        <w:t>11. Bibliografía del corpus</w:t>
      </w:r>
    </w:p>
    <w:p>
      <w:pPr>
        <w:spacing w:after="100"/>
      </w:pPr>
      <w:r>
        <w:t xml:space="preserve">Arthur, W. B. (2014). </w:t>
      </w:r>
      <w:r>
        <w:rPr>
          <w:i/>
        </w:rPr>
        <w:t>Complexity and the Economy</w:t>
      </w:r>
      <w:r>
        <w:t>. Oxford University</w:t>
      </w:r>
    </w:p>
    <w:p>
      <w:pPr>
        <w:spacing w:after="100"/>
      </w:pPr>
      <w:r>
        <w:t>Press.</w:t>
      </w:r>
    </w:p>
    <w:p>
      <w:pPr>
        <w:spacing w:after="100"/>
      </w:pPr>
      <w:r>
        <w:t>Barcellos, L. P., Cardoso, R. L., &amp; Leite, R. de O. (2025). The effects</w:t>
      </w:r>
    </w:p>
    <w:p>
      <w:pPr>
        <w:spacing w:after="100"/>
      </w:pPr>
      <w:r>
        <w:t>of cognitive reflection and work experience on financial statement</w:t>
      </w:r>
    </w:p>
    <w:p>
      <w:pPr>
        <w:spacing w:after="100"/>
      </w:pPr>
      <w:r>
        <w:t>comparability under principles-based accounting standards. *Accounting</w:t>
      </w:r>
    </w:p>
    <w:p>
      <w:pPr>
        <w:spacing w:after="100"/>
      </w:pPr>
      <w:r>
        <w:t>Forum, 49*(2), 449--471. https://doi.org/10.1080/01559982.2023.2285637</w:t>
      </w:r>
    </w:p>
    <w:p>
      <w:pPr>
        <w:spacing w:after="100"/>
      </w:pPr>
      <w:r>
        <w:t>Baxter, J., &amp; Chua, W. F. (2003). Alternative management accounting</w:t>
      </w:r>
    </w:p>
    <w:p>
      <w:pPr>
        <w:spacing w:after="100"/>
      </w:pPr>
      <w:r>
        <w:t>research---Whence and whither. *Accounting, Organizations and Society,</w:t>
      </w:r>
    </w:p>
    <w:p>
      <w:pPr>
        <w:spacing w:after="100"/>
      </w:pPr>
      <w:r>
        <w:t>28*(2--3), 97--126.</w:t>
      </w:r>
    </w:p>
    <w:p>
      <w:pPr>
        <w:spacing w:after="100"/>
      </w:pPr>
      <w:r>
        <w:t>Carnegie, G. D., &amp; Napier, C. J. (2012). Accounting's past, present and</w:t>
      </w:r>
    </w:p>
    <w:p>
      <w:pPr>
        <w:spacing w:after="100"/>
      </w:pPr>
      <w:r>
        <w:t>future: The unifying power of history. *Accounting, Auditing &amp;</w:t>
      </w:r>
    </w:p>
    <w:p>
      <w:pPr>
        <w:spacing w:after="100"/>
      </w:pPr>
      <w:r>
        <w:t>Accountability Journal, 25*(2), 328--369.</w:t>
      </w:r>
    </w:p>
    <w:p>
      <w:pPr>
        <w:spacing w:after="100"/>
      </w:pPr>
      <w:r>
        <w:t>Chua, W. F. (1986). Radical developments in accounting thought. *The</w:t>
      </w:r>
    </w:p>
    <w:p>
      <w:pPr>
        <w:spacing w:after="100"/>
      </w:pPr>
      <w:r>
        <w:t>Accounting Review, 61*(4), 601--632.</w:t>
      </w:r>
    </w:p>
    <w:p>
      <w:pPr>
        <w:spacing w:after="100"/>
      </w:pPr>
      <w:r>
        <w:t>Damodaran, A. (1994). *Investment Valuation: Tools and Techniques for</w:t>
      </w:r>
    </w:p>
    <w:p>
      <w:pPr>
        <w:spacing w:after="100"/>
      </w:pPr>
      <w:r>
        <w:t>Determining the Value of Any Asset*. John Wiley &amp; Sons.</w:t>
      </w:r>
    </w:p>
    <w:p>
      <w:pPr>
        <w:spacing w:after="100"/>
      </w:pPr>
      <w:r>
        <w:t>Dubois, D., &amp; Prade, H. (1996). Fuzzy sets in approximate reasoning: A</w:t>
      </w:r>
    </w:p>
    <w:p>
      <w:pPr>
        <w:spacing w:after="100"/>
      </w:pPr>
      <w:r>
        <w:t>personal view. In M. J. Patyra &amp; D. M. Mlynek (Eds.), *Fuzzy logic:</w:t>
      </w:r>
    </w:p>
    <w:p>
      <w:pPr>
        <w:spacing w:after="100"/>
      </w:pPr>
      <w:r>
        <w:t>Implementation and applications* (pp. 3--35). Vieweg+Teubner Verlag.</w:t>
      </w:r>
    </w:p>
    <w:p>
      <w:pPr>
        <w:spacing w:after="100"/>
      </w:pPr>
      <w:r>
        <w:t>https://doi.org/10.1007/978-3-322-88955-3_1</w:t>
      </w:r>
    </w:p>
    <w:p>
      <w:pPr>
        <w:spacing w:after="100"/>
      </w:pPr>
      <w:r>
        <w:t>Durocher, S., &amp; Gendron, Y. (2011). IFRS: On the docility of</w:t>
      </w:r>
    </w:p>
    <w:p>
      <w:pPr>
        <w:spacing w:after="100"/>
      </w:pPr>
      <w:r>
        <w:t>sophisticated users in preserving the ideal of comparability. *European</w:t>
      </w:r>
    </w:p>
    <w:p>
      <w:pPr>
        <w:spacing w:after="100"/>
      </w:pPr>
      <w:r>
        <w:t>Accounting Review, 20*(2), 233--262.</w:t>
      </w:r>
    </w:p>
    <w:p>
      <w:pPr>
        <w:spacing w:after="100"/>
      </w:pPr>
      <w:r>
        <w:t>Egan, M., &amp; Xu, W. Y. (2020). The true and fair view: Exploring how</w:t>
      </w:r>
    </w:p>
    <w:p>
      <w:pPr>
        <w:spacing w:after="100"/>
      </w:pPr>
      <w:r>
        <w:t>managers, directors and auditors engage in practice. *Accounting Forum,</w:t>
      </w:r>
    </w:p>
    <w:p>
      <w:pPr>
        <w:spacing w:after="100"/>
      </w:pPr>
      <w:r>
        <w:t>44*(4), 398--420. https://doi.org/10.1080/01559982.2020.1727177</w:t>
      </w:r>
    </w:p>
    <w:p>
      <w:pPr>
        <w:spacing w:after="100"/>
      </w:pPr>
      <w:r>
        <w:t>García Casella, C. (2008). *La contabilidad como ciencia social:</w:t>
      </w:r>
    </w:p>
    <w:p>
      <w:pPr>
        <w:spacing w:after="100"/>
      </w:pPr>
      <w:r>
        <w:t>reflexiones epistemológicas*. Universidad de Buenos Aires.</w:t>
      </w:r>
    </w:p>
    <w:p>
      <w:pPr>
        <w:spacing w:after="100"/>
      </w:pPr>
      <w:r>
        <w:t xml:space="preserve">Gil-Aluja, J. (2004). </w:t>
      </w:r>
      <w:r>
        <w:rPr>
          <w:i/>
        </w:rPr>
        <w:t>Fuzzy Sets in the Management of Uncertainty</w:t>
      </w:r>
      <w:r>
        <w:t>.</w:t>
      </w:r>
    </w:p>
    <w:p>
      <w:pPr>
        <w:spacing w:after="100"/>
      </w:pPr>
      <w:r>
        <w:t>Springer. https://doi.org/10.1007/978-3-540-39699-4</w:t>
      </w:r>
    </w:p>
    <w:p>
      <w:pPr>
        <w:spacing w:after="100"/>
      </w:pPr>
      <w:r>
        <w:t>Han, Y., Chand, P., &amp; Mala, R. (2019). Impact of ambiguity tolerance and</w:t>
      </w:r>
    </w:p>
    <w:p>
      <w:pPr>
        <w:spacing w:after="100"/>
      </w:pPr>
      <w:r>
        <w:t xml:space="preserve">tertiary education on professional judgment. </w:t>
      </w:r>
      <w:r>
        <w:rPr>
          <w:i/>
        </w:rPr>
        <w:t>Accounting Forum, 43</w:t>
      </w:r>
      <w:r>
        <w:t>(4),</w:t>
      </w:r>
    </w:p>
    <w:p>
      <w:pPr>
        <w:spacing w:after="100"/>
      </w:pPr>
      <w:r>
        <w:t>426--447. https://doi.org/10.1080/01559982.2019.1569813</w:t>
      </w:r>
    </w:p>
    <w:p>
      <w:pPr>
        <w:spacing w:after="100"/>
      </w:pPr>
      <w:r>
        <w:t>Hines, R. D. (1988). Financial accounting: In communicating reality, we</w:t>
      </w:r>
    </w:p>
    <w:p>
      <w:pPr>
        <w:spacing w:after="100"/>
      </w:pPr>
      <w:r>
        <w:t xml:space="preserve">construct reality. </w:t>
      </w:r>
      <w:r>
        <w:rPr>
          <w:i/>
        </w:rPr>
        <w:t>Accounting, Organizations and Society, 13</w:t>
      </w:r>
      <w:r>
        <w:t>(3),</w:t>
      </w:r>
    </w:p>
    <w:p>
      <w:pPr>
        <w:spacing w:after="100"/>
      </w:pPr>
      <w:r>
        <w:t>251--261. https://doi.org/10.1016/0361-3682(88)90003-7</w:t>
      </w:r>
    </w:p>
    <w:p>
      <w:pPr>
        <w:spacing w:after="100"/>
      </w:pPr>
      <w:r>
        <w:t>Hopwood, A. G. (1987). The archaeology of accounting systems.</w:t>
      </w:r>
    </w:p>
    <w:p>
      <w:pPr>
        <w:spacing w:after="100"/>
      </w:pPr>
      <w:r>
        <w:rPr>
          <w:i/>
        </w:rPr>
        <w:t>Accounting, Organizations and Society, 12</w:t>
      </w:r>
      <w:r>
        <w:t>(3), 207--234.</w:t>
      </w:r>
    </w:p>
    <w:p>
      <w:pPr>
        <w:spacing w:after="100"/>
      </w:pPr>
      <w:r>
        <w:t>Ijiri, Y. (1983). On the accountability-based conceptual framework of</w:t>
      </w:r>
    </w:p>
    <w:p>
      <w:pPr>
        <w:spacing w:after="100"/>
      </w:pPr>
      <w:r>
        <w:t xml:space="preserve">accounting. </w:t>
      </w:r>
      <w:r>
        <w:rPr>
          <w:i/>
        </w:rPr>
        <w:t>Journal of Accounting and Public Policy, 2</w:t>
      </w:r>
      <w:r>
        <w:t>(2), 75--81.</w:t>
      </w:r>
    </w:p>
    <w:p>
      <w:pPr>
        <w:spacing w:after="100"/>
      </w:pPr>
      <w:r>
        <w:t>Ijiri, Y. (1989). *Momentum accounting and triple-entry bookkeeping:</w:t>
      </w:r>
    </w:p>
    <w:p>
      <w:pPr>
        <w:spacing w:after="100"/>
      </w:pPr>
      <w:r>
        <w:t>Exploring the dynamic structure of accounting measurements*. American</w:t>
      </w:r>
    </w:p>
    <w:p>
      <w:pPr>
        <w:spacing w:after="100"/>
      </w:pPr>
      <w:r>
        <w:t>Accounting Association.</w:t>
      </w:r>
    </w:p>
    <w:p>
      <w:pPr>
        <w:spacing w:after="100"/>
      </w:pPr>
      <w:r>
        <w:t>Jaakkola, E. (2020). Designing conceptual articles: Four approaches.</w:t>
      </w:r>
    </w:p>
    <w:p>
      <w:pPr>
        <w:spacing w:after="100"/>
      </w:pPr>
      <w:r>
        <w:rPr>
          <w:i/>
        </w:rPr>
        <w:t>AMS Review, 10</w:t>
      </w:r>
      <w:r>
        <w:t>(1--2), 18--26.</w:t>
      </w:r>
    </w:p>
    <w:p>
      <w:pPr>
        <w:spacing w:after="100"/>
      </w:pPr>
      <w:r>
        <w:t>Keynes, J. M. (1936). *The General Theory of Employment, Interest and</w:t>
      </w:r>
    </w:p>
    <w:p>
      <w:pPr>
        <w:spacing w:after="100"/>
      </w:pPr>
      <w:r>
        <w:t>Money*. Macmillan.</w:t>
      </w:r>
    </w:p>
    <w:p>
      <w:pPr>
        <w:spacing w:after="100"/>
      </w:pPr>
      <w:r>
        <w:t xml:space="preserve">Knight, F. H. (1921). </w:t>
      </w:r>
      <w:r>
        <w:rPr>
          <w:i/>
        </w:rPr>
        <w:t>Risk, Uncertainty and Profit</w:t>
      </w:r>
      <w:r>
        <w:t>. Houghton Mifflin.</w:t>
      </w:r>
    </w:p>
    <w:p>
      <w:pPr>
        <w:spacing w:after="100"/>
      </w:pPr>
      <w:r>
        <w:t>Lukka, K., &amp; Modell, S. (2010). Validation in interpretive management</w:t>
      </w:r>
    </w:p>
    <w:p>
      <w:pPr>
        <w:spacing w:after="100"/>
      </w:pPr>
      <w:r>
        <w:t xml:space="preserve">accounting research. </w:t>
      </w:r>
      <w:r>
        <w:rPr>
          <w:i/>
        </w:rPr>
        <w:t>Accounting, Organizations and Society, 35</w:t>
      </w:r>
      <w:r>
        <w:t>(4),</w:t>
      </w:r>
    </w:p>
    <w:p>
      <w:pPr>
        <w:spacing w:after="100"/>
      </w:pPr>
      <w:r>
        <w:t>462--477.</w:t>
      </w:r>
    </w:p>
    <w:p>
      <w:pPr>
        <w:spacing w:after="100"/>
      </w:pPr>
      <w:r>
        <w:t>Maroun, W., &amp; van Zijl, W. (2022). Fair value accounting: Epistemic</w:t>
      </w:r>
    </w:p>
    <w:p>
      <w:pPr>
        <w:spacing w:after="100"/>
      </w:pPr>
      <w:r>
        <w:t xml:space="preserve">commitment and resistance. </w:t>
      </w:r>
      <w:r>
        <w:rPr>
          <w:i/>
        </w:rPr>
        <w:t>Accounting Forum, 46</w:t>
      </w:r>
      <w:r>
        <w:t>(3), 215--240.</w:t>
      </w:r>
    </w:p>
    <w:p>
      <w:pPr>
        <w:spacing w:after="100"/>
      </w:pPr>
      <w:r>
        <w:t>https://doi.org/10.1080/01559982.2021.1941568</w:t>
      </w:r>
    </w:p>
    <w:p>
      <w:pPr>
        <w:spacing w:after="100"/>
      </w:pPr>
      <w:r>
        <w:t>Mattessich, R. (2003). Accounting representation and the onion model of</w:t>
      </w:r>
    </w:p>
    <w:p>
      <w:pPr>
        <w:spacing w:after="100"/>
      </w:pPr>
      <w:r>
        <w:t>reality: A comparison with Baudrillard's orders of simulacra and his</w:t>
      </w:r>
    </w:p>
    <w:p>
      <w:pPr>
        <w:spacing w:after="100"/>
      </w:pPr>
      <w:r>
        <w:t xml:space="preserve">hyperreality. </w:t>
      </w:r>
      <w:r>
        <w:rPr>
          <w:i/>
        </w:rPr>
        <w:t>Accounting, Organizations and Society, 28</w:t>
      </w:r>
      <w:r>
        <w:t>(5), 443--470.</w:t>
      </w:r>
    </w:p>
    <w:p>
      <w:pPr>
        <w:spacing w:after="100"/>
      </w:pPr>
      <w:r>
        <w:t>Miller, P. (1994). Accounting as social and institutional practice: An</w:t>
      </w:r>
    </w:p>
    <w:p>
      <w:pPr>
        <w:spacing w:after="100"/>
      </w:pPr>
      <w:r>
        <w:t>introduction. In A. G. Hopwood &amp; P. Miller (Eds.), *Accounting as Social</w:t>
      </w:r>
    </w:p>
    <w:p>
      <w:pPr>
        <w:spacing w:after="100"/>
      </w:pPr>
      <w:r>
        <w:t>and Institutional Practice* (pp. 1--39). Cambridge University Press.</w:t>
      </w:r>
    </w:p>
    <w:p>
      <w:pPr>
        <w:spacing w:after="100"/>
      </w:pPr>
      <w:r>
        <w:t xml:space="preserve">Morin, E. (1994). </w:t>
      </w:r>
      <w:r>
        <w:rPr>
          <w:i/>
        </w:rPr>
        <w:t>Introducción al pensamiento complejo</w:t>
      </w:r>
      <w:r>
        <w:t>. Gedisa.</w:t>
      </w:r>
    </w:p>
    <w:p>
      <w:pPr>
        <w:spacing w:after="100"/>
      </w:pPr>
      <w:r>
        <w:t>Moses, O. (2026). Coalescing paradigms and spatial divides in accounting</w:t>
      </w:r>
    </w:p>
    <w:p>
      <w:pPr>
        <w:spacing w:after="100"/>
      </w:pPr>
      <w:r>
        <w:t xml:space="preserve">research: A call for epistemic generosity. </w:t>
      </w:r>
      <w:r>
        <w:rPr>
          <w:i/>
        </w:rPr>
        <w:t>Accounting Forum, 50</w:t>
      </w:r>
      <w:r>
        <w:t>(1),</w:t>
      </w:r>
    </w:p>
    <w:p>
      <w:pPr>
        <w:spacing w:after="100"/>
      </w:pPr>
      <w:r>
        <w:t>1--12. https://doi.org/10.1080/01559982.2025.2605922</w:t>
      </w:r>
    </w:p>
    <w:p>
      <w:pPr>
        <w:spacing w:after="100"/>
      </w:pPr>
      <w:r>
        <w:t>Prigogine, I. (1996). *El fin de las certidumbres: tiempo, caos y las</w:t>
      </w:r>
    </w:p>
    <w:p>
      <w:pPr>
        <w:spacing w:after="100"/>
      </w:pPr>
      <w:r>
        <w:t>leyes de la naturaleza*. Tusquets.</w:t>
      </w:r>
    </w:p>
    <w:p>
      <w:pPr>
        <w:spacing w:after="100"/>
      </w:pPr>
      <w:r>
        <w:t>Taleb, N. N. (2007). *The Black Swan: The Impact of the Highly</w:t>
      </w:r>
    </w:p>
    <w:p>
      <w:pPr>
        <w:spacing w:after="100"/>
      </w:pPr>
      <w:r>
        <w:t>Improbable*. Random House.</w:t>
      </w:r>
    </w:p>
    <w:p>
      <w:pPr>
        <w:spacing w:after="100"/>
      </w:pPr>
      <w:r>
        <w:t>Tsoukas, H. (1996). The firm as a distributed knowledge system: A</w:t>
      </w:r>
    </w:p>
    <w:p>
      <w:pPr>
        <w:spacing w:after="100"/>
      </w:pPr>
      <w:r>
        <w:t xml:space="preserve">constructionist approach. </w:t>
      </w:r>
      <w:r>
        <w:rPr>
          <w:i/>
        </w:rPr>
        <w:t>Strategic Management Journal, 17</w:t>
      </w:r>
      <w:r>
        <w:t>(S2),</w:t>
      </w:r>
    </w:p>
    <w:p>
      <w:pPr>
        <w:spacing w:after="100"/>
      </w:pPr>
      <w:r>
        <w:t>11--25.</w:t>
      </w:r>
    </w:p>
    <w:p>
      <w:pPr>
        <w:spacing w:after="100"/>
      </w:pPr>
      <w:r>
        <w:t>Tua Pereda, J. (2012). Contabilidad y desarrollo sostenible: el papel de</w:t>
      </w:r>
    </w:p>
    <w:p>
      <w:pPr>
        <w:spacing w:after="100"/>
      </w:pPr>
      <w:r>
        <w:t xml:space="preserve">la información contable en la sociedad del conocimiento. </w:t>
      </w:r>
      <w:r>
        <w:rPr>
          <w:i/>
        </w:rPr>
        <w:t>De Computis</w:t>
      </w:r>
      <w:r>
        <w:t>,</w:t>
      </w:r>
    </w:p>
    <w:p>
      <w:pPr>
        <w:spacing w:after="100"/>
      </w:pPr>
      <w:r>
        <w:t>(16), 113--145.</w:t>
      </w:r>
    </w:p>
    <w:p>
      <w:pPr>
        <w:spacing w:after="100"/>
      </w:pPr>
      <w:r>
        <w:t>Whetten, D. A. (1989). What constitutes a theoretical contribution?</w:t>
      </w:r>
    </w:p>
    <w:p>
      <w:pPr>
        <w:spacing w:after="100"/>
      </w:pPr>
      <w:r>
        <w:rPr>
          <w:i/>
        </w:rPr>
        <w:t>Academy of Management Review, 14</w:t>
      </w:r>
      <w:r>
        <w:t>(4), 490--495.</w:t>
      </w:r>
    </w:p>
    <w:p>
      <w:pPr>
        <w:spacing w:after="100"/>
      </w:pPr>
      <w:r>
        <w:t xml:space="preserve">Zadeh, L. A. (1965). Fuzzy sets. </w:t>
      </w:r>
      <w:r>
        <w:rPr>
          <w:i/>
        </w:rPr>
        <w:t>Information and Control, 8</w:t>
      </w:r>
      <w:r>
        <w:t>(3),</w:t>
      </w:r>
    </w:p>
    <w:p>
      <w:pPr>
        <w:spacing w:after="100"/>
      </w:pPr>
      <w:r>
        <w:t>338--353.</w:t>
      </w:r>
    </w:p>
    <w:p>
      <w:pPr>
        <w:pStyle w:val="Heading1"/>
      </w:pPr>
      <w:r>
        <w:t>12. Trazabilidad</w:t>
      </w:r>
    </w:p>
    <w:p>
      <w:pPr>
        <w:spacing w:after="100"/>
      </w:pPr>
      <w:r>
        <w:t>Este mapa se deriva del corpus bibliográfico de la versión final del</w:t>
      </w:r>
    </w:p>
    <w:p>
      <w:pPr>
        <w:spacing w:after="100"/>
      </w:pPr>
      <w:r>
        <w:t>artículo. La clasificación por ejes, la formulación de la brecha y la</w:t>
      </w:r>
    </w:p>
    <w:p>
      <w:pPr>
        <w:spacing w:after="100"/>
      </w:pPr>
      <w:r>
        <w:t>agenda futura son una síntesis analítica del programa de investigación;</w:t>
      </w:r>
    </w:p>
    <w:p>
      <w:pPr>
        <w:spacing w:after="100"/>
      </w:pPr>
      <w:r>
        <w:t>no deben interpretarse como resultados de una búsqueda sistemática</w:t>
      </w:r>
    </w:p>
    <w:p>
      <w:pPr>
        <w:spacing w:after="100"/>
      </w:pPr>
      <w:r>
        <w:t>exhaustiva de toda la literatura existente.</w:t>
      </w:r>
    </w:p>
    <w:p>
      <w:pPr>
        <w:spacing w:after="100"/>
      </w:pPr>
      <w:r>
        <w:t>Las referencias incorporadas después del cierre del manuscrito deberían</w:t>
      </w:r>
    </w:p>
    <w:p>
      <w:pPr>
        <w:spacing w:after="100"/>
      </w:pPr>
      <w:r>
        <w:t>versionarse por separado para evitar mezclar el corpus original con</w:t>
      </w:r>
    </w:p>
    <w:p>
      <w:pPr>
        <w:spacing w:after="100"/>
      </w:pPr>
      <w:r>
        <w:t>literatura posterior.</w:t>
      </w:r>
    </w:p>
    <w:p>
      <w:pPr>
        <w:pStyle w:val="Heading2"/>
      </w:pPr>
      <w:r>
        <w:t>Citación sugerida</w:t>
      </w:r>
    </w:p>
    <w:p>
      <w:pPr>
        <w:spacing w:after="100"/>
      </w:pPr>
      <w:r>
        <w:t>Molina de Tinto, M. E., &amp; Tinto Arandes, J. (2026). *Mapa de evidencia y</w:t>
      </w:r>
    </w:p>
    <w:p>
      <w:pPr>
        <w:spacing w:after="100"/>
      </w:pPr>
      <w:r>
        <w:t>brecha de investigación: Business Valuation under Uncertainty---From</w:t>
      </w:r>
    </w:p>
    <w:p>
      <w:pPr>
        <w:spacing w:after="100"/>
      </w:pPr>
      <w:r>
        <w:t>Positivist Logic to Accounting Reasonableness*. Business Valuation</w:t>
      </w:r>
    </w:p>
    <w:p>
      <w:pPr>
        <w:spacing w:after="100"/>
      </w:pPr>
      <w:r>
        <w:t>Dynamics Lab (BVD-Lab), documento de trabajo.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