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D9202" w14:textId="77777777" w:rsidR="000031CD" w:rsidRPr="007F1C26" w:rsidRDefault="00000000">
      <w:pPr>
        <w:jc w:val="center"/>
        <w:rPr>
          <w:lang w:val="es-MX"/>
        </w:rPr>
      </w:pPr>
      <w:r w:rsidRPr="007F1C26">
        <w:rPr>
          <w:b/>
          <w:lang w:val="es-MX"/>
        </w:rPr>
        <w:br/>
      </w:r>
      <w:r w:rsidRPr="007F1C26">
        <w:rPr>
          <w:b/>
          <w:lang w:val="es-MX"/>
        </w:rPr>
        <w:br/>
      </w:r>
      <w:r w:rsidRPr="007F1C26">
        <w:rPr>
          <w:b/>
          <w:lang w:val="es-MX"/>
        </w:rPr>
        <w:br/>
      </w:r>
      <w:r w:rsidRPr="007F1C26">
        <w:rPr>
          <w:b/>
          <w:lang w:val="es-MX"/>
        </w:rPr>
        <w:br/>
        <w:t>ACCIONES CONSTITUCIONALES Y CONFLICTO COLOMBIA–NICARAGUA</w:t>
      </w:r>
    </w:p>
    <w:p w14:paraId="63470388" w14:textId="57D4BBDF" w:rsidR="000031CD" w:rsidRPr="007F1C26" w:rsidRDefault="00000000">
      <w:pPr>
        <w:jc w:val="center"/>
        <w:rPr>
          <w:lang w:val="es-MX"/>
        </w:rPr>
      </w:pPr>
      <w:r w:rsidRPr="007F1C26">
        <w:rPr>
          <w:lang w:val="es-MX"/>
        </w:rPr>
        <w:br/>
      </w:r>
      <w:r w:rsidRPr="007F1C26">
        <w:rPr>
          <w:lang w:val="es-MX"/>
        </w:rPr>
        <w:br/>
      </w:r>
      <w:r w:rsidR="007F1C26" w:rsidRPr="007F1C26">
        <w:rPr>
          <w:lang w:val="es-MX"/>
        </w:rPr>
        <w:t>Jhon Sebastiá Molina Fierro</w:t>
      </w:r>
      <w:r w:rsidRPr="007F1C26">
        <w:rPr>
          <w:lang w:val="es-MX"/>
        </w:rPr>
        <w:br/>
      </w:r>
      <w:r w:rsidRPr="007F1C26">
        <w:rPr>
          <w:lang w:val="es-MX"/>
        </w:rPr>
        <w:br/>
      </w:r>
      <w:r w:rsidR="007F1C26">
        <w:rPr>
          <w:lang w:val="es-MX"/>
        </w:rPr>
        <w:t>Corporación Universitaria del Huila - CORHUILA</w:t>
      </w:r>
      <w:r w:rsidRPr="007F1C26">
        <w:rPr>
          <w:lang w:val="es-MX"/>
        </w:rPr>
        <w:br/>
      </w:r>
      <w:r w:rsidRPr="007F1C26">
        <w:rPr>
          <w:lang w:val="es-MX"/>
        </w:rPr>
        <w:br/>
      </w:r>
      <w:r w:rsidR="007F1C26">
        <w:rPr>
          <w:lang w:val="es-MX"/>
        </w:rPr>
        <w:t>Constitución Política</w:t>
      </w:r>
      <w:r w:rsidRPr="007F1C26">
        <w:rPr>
          <w:lang w:val="es-MX"/>
        </w:rPr>
        <w:br/>
      </w:r>
      <w:r w:rsidRPr="007F1C26">
        <w:rPr>
          <w:lang w:val="es-MX"/>
        </w:rPr>
        <w:br/>
      </w:r>
      <w:r w:rsidR="007F1C26">
        <w:rPr>
          <w:lang w:val="es-MX"/>
        </w:rPr>
        <w:t>Misael Buitrago Gonzales</w:t>
      </w:r>
      <w:r w:rsidRPr="007F1C26">
        <w:rPr>
          <w:lang w:val="es-MX"/>
        </w:rPr>
        <w:br/>
      </w:r>
      <w:r w:rsidRPr="007F1C26">
        <w:rPr>
          <w:lang w:val="es-MX"/>
        </w:rPr>
        <w:br/>
        <w:t>Neiva, Huila</w:t>
      </w:r>
      <w:r w:rsidRPr="007F1C26">
        <w:rPr>
          <w:lang w:val="es-MX"/>
        </w:rPr>
        <w:br/>
        <w:t>2026</w:t>
      </w:r>
    </w:p>
    <w:p w14:paraId="365F6A13" w14:textId="77777777" w:rsidR="000031CD" w:rsidRPr="007F1C26" w:rsidRDefault="00000000">
      <w:pPr>
        <w:rPr>
          <w:lang w:val="es-MX"/>
        </w:rPr>
      </w:pPr>
      <w:r w:rsidRPr="007F1C26">
        <w:rPr>
          <w:lang w:val="es-MX"/>
        </w:rPr>
        <w:br w:type="page"/>
      </w:r>
    </w:p>
    <w:p w14:paraId="05752370" w14:textId="77777777" w:rsidR="000031CD" w:rsidRPr="007F1C26" w:rsidRDefault="00000000">
      <w:pPr>
        <w:pStyle w:val="Ttulo1"/>
        <w:rPr>
          <w:lang w:val="es-MX"/>
        </w:rPr>
      </w:pPr>
      <w:r w:rsidRPr="007F1C26">
        <w:rPr>
          <w:lang w:val="es-MX"/>
        </w:rPr>
        <w:lastRenderedPageBreak/>
        <w:t>Índice</w:t>
      </w:r>
    </w:p>
    <w:p w14:paraId="79DD2C91" w14:textId="77777777" w:rsidR="000031CD" w:rsidRPr="007F1C26" w:rsidRDefault="00000000">
      <w:pPr>
        <w:rPr>
          <w:lang w:val="es-MX"/>
        </w:rPr>
      </w:pPr>
      <w:r w:rsidRPr="007F1C26">
        <w:rPr>
          <w:lang w:val="es-MX"/>
        </w:rPr>
        <w:t>1. Acciones constitucionales</w:t>
      </w:r>
    </w:p>
    <w:p w14:paraId="3503AF50" w14:textId="77777777" w:rsidR="000031CD" w:rsidRPr="007F1C26" w:rsidRDefault="00000000">
      <w:pPr>
        <w:rPr>
          <w:lang w:val="es-MX"/>
        </w:rPr>
      </w:pPr>
      <w:r w:rsidRPr="007F1C26">
        <w:rPr>
          <w:lang w:val="es-MX"/>
        </w:rPr>
        <w:t xml:space="preserve">   1.1. Diferencia entre derecho de petición y acción de tutela</w:t>
      </w:r>
    </w:p>
    <w:p w14:paraId="6969549F" w14:textId="77777777" w:rsidR="000031CD" w:rsidRPr="007F1C26" w:rsidRDefault="00000000">
      <w:pPr>
        <w:rPr>
          <w:lang w:val="es-MX"/>
        </w:rPr>
      </w:pPr>
      <w:r w:rsidRPr="007F1C26">
        <w:rPr>
          <w:lang w:val="es-MX"/>
        </w:rPr>
        <w:t xml:space="preserve">   1.2. Ejemplo de derecho de petición contra una EPS</w:t>
      </w:r>
    </w:p>
    <w:p w14:paraId="08E03952" w14:textId="77777777" w:rsidR="000031CD" w:rsidRPr="007F1C26" w:rsidRDefault="00000000">
      <w:pPr>
        <w:rPr>
          <w:lang w:val="es-MX"/>
        </w:rPr>
      </w:pPr>
      <w:r w:rsidRPr="007F1C26">
        <w:rPr>
          <w:lang w:val="es-MX"/>
        </w:rPr>
        <w:t xml:space="preserve">   1.3. Diferencia entre acción popular y acción de grupo</w:t>
      </w:r>
    </w:p>
    <w:p w14:paraId="1D03C54D" w14:textId="77777777" w:rsidR="000031CD" w:rsidRPr="007F1C26" w:rsidRDefault="00000000">
      <w:pPr>
        <w:rPr>
          <w:lang w:val="es-MX"/>
        </w:rPr>
      </w:pPr>
      <w:r w:rsidRPr="007F1C26">
        <w:rPr>
          <w:lang w:val="es-MX"/>
        </w:rPr>
        <w:t>2. Conflicto entre Colombia y Nicaragua: evolución y situación actual</w:t>
      </w:r>
    </w:p>
    <w:p w14:paraId="34B4CB87" w14:textId="77777777" w:rsidR="000031CD" w:rsidRPr="007F1C26" w:rsidRDefault="00000000">
      <w:pPr>
        <w:rPr>
          <w:lang w:val="es-MX"/>
        </w:rPr>
      </w:pPr>
      <w:r w:rsidRPr="007F1C26">
        <w:rPr>
          <w:lang w:val="es-MX"/>
        </w:rPr>
        <w:t>Referencias</w:t>
      </w:r>
    </w:p>
    <w:p w14:paraId="16F0C87F" w14:textId="77777777" w:rsidR="000031CD" w:rsidRPr="007F1C26" w:rsidRDefault="00000000">
      <w:pPr>
        <w:rPr>
          <w:lang w:val="es-MX"/>
        </w:rPr>
      </w:pPr>
      <w:r w:rsidRPr="007F1C26">
        <w:rPr>
          <w:lang w:val="es-MX"/>
        </w:rPr>
        <w:br w:type="page"/>
      </w:r>
    </w:p>
    <w:p w14:paraId="2E486A6F" w14:textId="77777777" w:rsidR="000031CD" w:rsidRPr="007F1C26" w:rsidRDefault="00000000">
      <w:pPr>
        <w:pStyle w:val="Ttulo1"/>
        <w:rPr>
          <w:lang w:val="es-MX"/>
        </w:rPr>
      </w:pPr>
      <w:r w:rsidRPr="007F1C26">
        <w:rPr>
          <w:lang w:val="es-MX"/>
        </w:rPr>
        <w:lastRenderedPageBreak/>
        <w:t>1. Acciones constitucionales</w:t>
      </w:r>
    </w:p>
    <w:p w14:paraId="2B27E3F1" w14:textId="77777777" w:rsidR="000031CD" w:rsidRPr="007F1C26" w:rsidRDefault="00000000">
      <w:pPr>
        <w:pStyle w:val="Ttulo2"/>
        <w:rPr>
          <w:lang w:val="es-MX"/>
        </w:rPr>
      </w:pPr>
      <w:r w:rsidRPr="007F1C26">
        <w:rPr>
          <w:lang w:val="es-MX"/>
        </w:rPr>
        <w:t>a. ¿Cuál es la diferencia entre el derecho de petición y la acción de tutela?</w:t>
      </w:r>
    </w:p>
    <w:p w14:paraId="5ECE5B73" w14:textId="77777777" w:rsidR="000031CD" w:rsidRPr="007F1C26" w:rsidRDefault="00000000">
      <w:pPr>
        <w:rPr>
          <w:lang w:val="es-MX"/>
        </w:rPr>
      </w:pPr>
      <w:r w:rsidRPr="007F1C26">
        <w:rPr>
          <w:lang w:val="es-MX"/>
        </w:rPr>
        <w:t>La diferencia central es que el derecho de petición busca una respuesta a una solicitud, mientras que la tutela busca proteger un derecho fundamental. Una petición puede presentarse directamente ante la entidad obligada; la tutela se presenta ante un juez. Además, la tutela es subsidiaria: normalmente procede cuando no existe otro medio judicial idóneo o cuando se utiliza para evitar un perjuicio irremediable.</w:t>
      </w:r>
    </w:p>
    <w:p w14:paraId="2D9741FD" w14:textId="77777777" w:rsidR="000031CD" w:rsidRPr="007F1C26" w:rsidRDefault="00000000">
      <w:pPr>
        <w:pStyle w:val="Ttulo2"/>
        <w:rPr>
          <w:lang w:val="es-MX"/>
        </w:rPr>
      </w:pPr>
      <w:r w:rsidRPr="007F1C26">
        <w:rPr>
          <w:lang w:val="es-MX"/>
        </w:rPr>
        <w:t>b. Desarrolle un ejemplo de cómo sería un derecho de petición contra una EPS</w:t>
      </w:r>
    </w:p>
    <w:p w14:paraId="1ECB6060" w14:textId="77777777" w:rsidR="000031CD" w:rsidRPr="007F1C26" w:rsidRDefault="00000000">
      <w:pPr>
        <w:rPr>
          <w:lang w:val="es-MX"/>
        </w:rPr>
      </w:pPr>
      <w:r w:rsidRPr="007F1C26">
        <w:rPr>
          <w:lang w:val="es-MX"/>
        </w:rPr>
        <w:t>Ejemplo: una persona afiliada a una EPS solicita la autorización y programación de una cita médica especializada que ha sido ordenada por su médico tratante, pero la entidad no responde.</w:t>
      </w:r>
    </w:p>
    <w:p w14:paraId="7B3D1811" w14:textId="77777777" w:rsidR="000031CD" w:rsidRPr="007F1C26" w:rsidRDefault="00000000">
      <w:pPr>
        <w:rPr>
          <w:lang w:val="es-MX"/>
        </w:rPr>
      </w:pPr>
      <w:r w:rsidRPr="007F1C26">
        <w:rPr>
          <w:lang w:val="es-MX"/>
        </w:rPr>
        <w:t>Modelo de derecho de petición</w:t>
      </w:r>
    </w:p>
    <w:p w14:paraId="71D1322B" w14:textId="77777777" w:rsidR="000031CD" w:rsidRPr="007F1C26" w:rsidRDefault="00000000">
      <w:pPr>
        <w:rPr>
          <w:lang w:val="es-MX"/>
        </w:rPr>
      </w:pPr>
      <w:r w:rsidRPr="007F1C26">
        <w:rPr>
          <w:lang w:val="es-MX"/>
        </w:rPr>
        <w:t>Señores: EPS [nombre de la entidad]</w:t>
      </w:r>
    </w:p>
    <w:p w14:paraId="017E8E57" w14:textId="77777777" w:rsidR="000031CD" w:rsidRPr="007F1C26" w:rsidRDefault="00000000">
      <w:pPr>
        <w:rPr>
          <w:lang w:val="es-MX"/>
        </w:rPr>
      </w:pPr>
      <w:r w:rsidRPr="007F1C26">
        <w:rPr>
          <w:lang w:val="es-MX"/>
        </w:rPr>
        <w:t>Asunto: Derecho de petición para solicitar autorización y programación de cita médica especializada.</w:t>
      </w:r>
    </w:p>
    <w:p w14:paraId="6F2756AD" w14:textId="77777777" w:rsidR="000031CD" w:rsidRPr="007F1C26" w:rsidRDefault="00000000">
      <w:pPr>
        <w:rPr>
          <w:lang w:val="es-MX"/>
        </w:rPr>
      </w:pPr>
      <w:r w:rsidRPr="007F1C26">
        <w:rPr>
          <w:lang w:val="es-MX"/>
        </w:rPr>
        <w:t>Yo, [nombre completo], identificado(a) con cédula de ciudadanía No. [número], afiliado(a) a esa EPS, presento respetuosamente la siguiente petición:</w:t>
      </w:r>
    </w:p>
    <w:p w14:paraId="53351818" w14:textId="77777777" w:rsidR="000031CD" w:rsidRPr="007F1C26" w:rsidRDefault="00000000">
      <w:pPr>
        <w:rPr>
          <w:lang w:val="es-MX"/>
        </w:rPr>
      </w:pPr>
      <w:r w:rsidRPr="007F1C26">
        <w:rPr>
          <w:lang w:val="es-MX"/>
        </w:rPr>
        <w:t>Hechos:</w:t>
      </w:r>
    </w:p>
    <w:p w14:paraId="36EA2FA7" w14:textId="77777777" w:rsidR="000031CD" w:rsidRPr="007F1C26" w:rsidRDefault="00000000">
      <w:pPr>
        <w:rPr>
          <w:lang w:val="es-MX"/>
        </w:rPr>
      </w:pPr>
      <w:r w:rsidRPr="007F1C26">
        <w:rPr>
          <w:lang w:val="es-MX"/>
        </w:rPr>
        <w:t>1. El día [fecha], el médico tratante ordenó una cita con la especialidad de [especialidad].</w:t>
      </w:r>
    </w:p>
    <w:p w14:paraId="5132F8D4" w14:textId="77777777" w:rsidR="000031CD" w:rsidRPr="007F1C26" w:rsidRDefault="00000000">
      <w:pPr>
        <w:rPr>
          <w:lang w:val="es-MX"/>
        </w:rPr>
      </w:pPr>
      <w:r w:rsidRPr="007F1C26">
        <w:rPr>
          <w:lang w:val="es-MX"/>
        </w:rPr>
        <w:t>2. La orden médica fue radicada ante la EPS el día [fecha], bajo el número [radicado].</w:t>
      </w:r>
    </w:p>
    <w:p w14:paraId="2B80AAB8" w14:textId="77777777" w:rsidR="000031CD" w:rsidRPr="007F1C26" w:rsidRDefault="00000000">
      <w:pPr>
        <w:rPr>
          <w:lang w:val="es-MX"/>
        </w:rPr>
      </w:pPr>
      <w:r w:rsidRPr="007F1C26">
        <w:rPr>
          <w:lang w:val="es-MX"/>
        </w:rPr>
        <w:t>3. A la fecha no he recibido una respuesta clara ni la programación del servicio.</w:t>
      </w:r>
    </w:p>
    <w:p w14:paraId="0222162F" w14:textId="77777777" w:rsidR="000031CD" w:rsidRPr="007F1C26" w:rsidRDefault="00000000">
      <w:pPr>
        <w:rPr>
          <w:lang w:val="es-MX"/>
        </w:rPr>
      </w:pPr>
      <w:r w:rsidRPr="007F1C26">
        <w:rPr>
          <w:lang w:val="es-MX"/>
        </w:rPr>
        <w:t>Petición:</w:t>
      </w:r>
    </w:p>
    <w:p w14:paraId="70B9CB88" w14:textId="77777777" w:rsidR="000031CD" w:rsidRPr="007F1C26" w:rsidRDefault="00000000">
      <w:pPr>
        <w:rPr>
          <w:lang w:val="es-MX"/>
        </w:rPr>
      </w:pPr>
      <w:r w:rsidRPr="007F1C26">
        <w:rPr>
          <w:lang w:val="es-MX"/>
        </w:rPr>
        <w:t>1. Que se autorice y programe la cita médica ordenada.</w:t>
      </w:r>
    </w:p>
    <w:p w14:paraId="22C22509" w14:textId="77777777" w:rsidR="000031CD" w:rsidRPr="007F1C26" w:rsidRDefault="00000000">
      <w:pPr>
        <w:rPr>
          <w:lang w:val="es-MX"/>
        </w:rPr>
      </w:pPr>
      <w:r w:rsidRPr="007F1C26">
        <w:rPr>
          <w:lang w:val="es-MX"/>
        </w:rPr>
        <w:lastRenderedPageBreak/>
        <w:t>2. Que se informe el estado actual de la solicitud y las razones de la demora, si las hubiere.</w:t>
      </w:r>
    </w:p>
    <w:p w14:paraId="0D1381CB" w14:textId="77777777" w:rsidR="000031CD" w:rsidRPr="007F1C26" w:rsidRDefault="00000000">
      <w:pPr>
        <w:rPr>
          <w:lang w:val="es-MX"/>
        </w:rPr>
      </w:pPr>
      <w:r w:rsidRPr="007F1C26">
        <w:rPr>
          <w:lang w:val="es-MX"/>
        </w:rPr>
        <w:t>3. Que se indique la fecha, hora y lugar en que se prestará el servicio.</w:t>
      </w:r>
    </w:p>
    <w:p w14:paraId="40671313" w14:textId="77777777" w:rsidR="000031CD" w:rsidRPr="007F1C26" w:rsidRDefault="00000000">
      <w:pPr>
        <w:rPr>
          <w:lang w:val="es-MX"/>
        </w:rPr>
      </w:pPr>
      <w:r w:rsidRPr="007F1C26">
        <w:rPr>
          <w:lang w:val="es-MX"/>
        </w:rPr>
        <w:t>4. Que la respuesta sea enviada a [correo o dirección].</w:t>
      </w:r>
    </w:p>
    <w:p w14:paraId="4D53A0EF" w14:textId="77777777" w:rsidR="000031CD" w:rsidRPr="007F1C26" w:rsidRDefault="00000000">
      <w:pPr>
        <w:rPr>
          <w:lang w:val="es-MX"/>
        </w:rPr>
      </w:pPr>
      <w:r w:rsidRPr="007F1C26">
        <w:rPr>
          <w:lang w:val="es-MX"/>
        </w:rPr>
        <w:t>Fundamentos: artículo 23 de la Constitución Política y Ley 1755 de 2015.</w:t>
      </w:r>
    </w:p>
    <w:p w14:paraId="1C51D348" w14:textId="77777777" w:rsidR="000031CD" w:rsidRPr="007F1C26" w:rsidRDefault="00000000">
      <w:pPr>
        <w:rPr>
          <w:lang w:val="es-MX"/>
        </w:rPr>
      </w:pPr>
      <w:r w:rsidRPr="007F1C26">
        <w:rPr>
          <w:lang w:val="es-MX"/>
        </w:rPr>
        <w:t>Anexos: copia de la orden médica, documento de identidad y constancia de radicación.</w:t>
      </w:r>
    </w:p>
    <w:p w14:paraId="0A233E90" w14:textId="77777777" w:rsidR="000031CD" w:rsidRPr="007F1C26" w:rsidRDefault="00000000">
      <w:pPr>
        <w:rPr>
          <w:lang w:val="es-MX"/>
        </w:rPr>
      </w:pPr>
      <w:r w:rsidRPr="007F1C26">
        <w:rPr>
          <w:lang w:val="es-MX"/>
        </w:rPr>
        <w:t>Atentamente,</w:t>
      </w:r>
    </w:p>
    <w:p w14:paraId="0523BFC8" w14:textId="77777777" w:rsidR="000031CD" w:rsidRPr="007F1C26" w:rsidRDefault="00000000">
      <w:pPr>
        <w:rPr>
          <w:lang w:val="es-MX"/>
        </w:rPr>
      </w:pPr>
      <w:r w:rsidRPr="007F1C26">
        <w:rPr>
          <w:lang w:val="es-MX"/>
        </w:rPr>
        <w:t>[Nombre completo] – [teléfono] – [correo] – [fecha]</w:t>
      </w:r>
    </w:p>
    <w:p w14:paraId="4781083D" w14:textId="77777777" w:rsidR="000031CD" w:rsidRPr="007F1C26" w:rsidRDefault="00000000">
      <w:pPr>
        <w:pStyle w:val="Ttulo2"/>
        <w:rPr>
          <w:lang w:val="es-MX"/>
        </w:rPr>
      </w:pPr>
      <w:r w:rsidRPr="007F1C26">
        <w:rPr>
          <w:lang w:val="es-MX"/>
        </w:rPr>
        <w:t>c. ¿Cuál es la diferencia entre acción popular y acción de grupo? Dé un ejemplo.</w:t>
      </w:r>
    </w:p>
    <w:p w14:paraId="3C25E8EC" w14:textId="77777777" w:rsidR="000031CD" w:rsidRPr="007F1C26" w:rsidRDefault="00000000">
      <w:pPr>
        <w:rPr>
          <w:lang w:val="es-MX"/>
        </w:rPr>
      </w:pPr>
      <w:r w:rsidRPr="007F1C26">
        <w:rPr>
          <w:lang w:val="es-MX"/>
        </w:rPr>
        <w:t>La acción popular protege derechos e intereses colectivos, como el ambiente sano, el espacio público, la seguridad y salubridad públicas, la moralidad administrativa y la defensa de los consumidores. Puede ser presentada por cualquier persona, organización o entidad legitimada, y su finalidad principal es prevenir el daño, detenerlo o restablecer las cosas a su estado anterior cuando sea posible.</w:t>
      </w:r>
    </w:p>
    <w:p w14:paraId="15657AA2" w14:textId="77777777" w:rsidR="000031CD" w:rsidRPr="007F1C26" w:rsidRDefault="00000000">
      <w:pPr>
        <w:rPr>
          <w:lang w:val="es-MX"/>
        </w:rPr>
      </w:pPr>
      <w:r w:rsidRPr="007F1C26">
        <w:rPr>
          <w:lang w:val="es-MX"/>
        </w:rPr>
        <w:t>La acción de grupo busca obtener la reparación de los perjuicios ocasionados a un conjunto de personas que reúnen condiciones uniformes respecto de una misma causa. Se caracteriza por su finalidad indemnizatoria y, en términos generales, debe ser promovida por un grupo de al menos veinte personas, aunque la ley permite reglas de representación y vinculación. Se encuentra regulada principalmente por la Ley 472 de 1998.</w:t>
      </w:r>
    </w:p>
    <w:p w14:paraId="711E449B" w14:textId="77777777" w:rsidR="000031CD" w:rsidRPr="007F1C26" w:rsidRDefault="00000000">
      <w:pPr>
        <w:rPr>
          <w:lang w:val="es-MX"/>
        </w:rPr>
      </w:pPr>
      <w:r w:rsidRPr="007F1C26">
        <w:rPr>
          <w:lang w:val="es-MX"/>
        </w:rPr>
        <w:t>Ejemplo de acción popular: los habitantes de un municipio solicitan judicialmente que una autoridad adopte medidas para evitar la contaminación de un río causada por vertimientos industriales.</w:t>
      </w:r>
    </w:p>
    <w:p w14:paraId="313AF182" w14:textId="77777777" w:rsidR="000031CD" w:rsidRPr="007F1C26" w:rsidRDefault="00000000">
      <w:pPr>
        <w:rPr>
          <w:lang w:val="es-MX"/>
        </w:rPr>
      </w:pPr>
      <w:r w:rsidRPr="007F1C26">
        <w:rPr>
          <w:lang w:val="es-MX"/>
        </w:rPr>
        <w:lastRenderedPageBreak/>
        <w:t>Ejemplo de acción de grupo: un grupo de residentes de un edificio demanda la reparación de los daños económicos sufridos por todos debido a la misma falla constructiva, solicitando una indemnización colectiva.</w:t>
      </w:r>
    </w:p>
    <w:p w14:paraId="3D4FE42A" w14:textId="77777777" w:rsidR="000031CD" w:rsidRPr="007F1C26" w:rsidRDefault="00000000">
      <w:pPr>
        <w:pStyle w:val="Ttulo1"/>
        <w:rPr>
          <w:lang w:val="es-MX"/>
        </w:rPr>
      </w:pPr>
      <w:r w:rsidRPr="007F1C26">
        <w:rPr>
          <w:lang w:val="es-MX"/>
        </w:rPr>
        <w:t>2. El conflicto con Nicaragua: ¿qué pasó luego y en qué quedó hoy día?</w:t>
      </w:r>
    </w:p>
    <w:p w14:paraId="3CF0F43A" w14:textId="77777777" w:rsidR="000031CD" w:rsidRPr="007F1C26" w:rsidRDefault="00000000">
      <w:pPr>
        <w:rPr>
          <w:lang w:val="es-MX"/>
        </w:rPr>
      </w:pPr>
      <w:r w:rsidRPr="007F1C26">
        <w:rPr>
          <w:lang w:val="es-MX"/>
        </w:rPr>
        <w:t>El conflicto entre Colombia y Nicaragua no terminó con la sentencia de la Corte Internacional de Justicia (CIJ) del 19 de noviembre de 2012. En esa decisión, la Corte confirmó la soberanía colombiana sobre San Andrés, Providencia, Santa Catalina y los cayos del archipiélago, pero estableció una nueva delimitación marítima que amplió los espacios marítimos de Nicaragua. Colombia manifestó su desacuerdo con los efectos de esa delimitación y sostuvo que sus límites solo podían modificarse mediante un tratado.</w:t>
      </w:r>
    </w:p>
    <w:p w14:paraId="02D62E2A" w14:textId="77777777" w:rsidR="000031CD" w:rsidRPr="007F1C26" w:rsidRDefault="00000000">
      <w:pPr>
        <w:rPr>
          <w:lang w:val="es-MX"/>
        </w:rPr>
      </w:pPr>
      <w:r w:rsidRPr="007F1C26">
        <w:rPr>
          <w:lang w:val="es-MX"/>
        </w:rPr>
        <w:t>Después del fallo de 2012, Nicaragua presentó dos nuevas demandas contra Colombia en 2013. La primera se relacionó con la delimitación de la plataforma continental más allá de las 200 millas marinas medidas desde la costa nicaragüense. La segunda se refirió a supuestas violaciones de derechos soberanos y espacios marítimos en el mar Caribe.</w:t>
      </w:r>
    </w:p>
    <w:p w14:paraId="6DB5B39B" w14:textId="77777777" w:rsidR="000031CD" w:rsidRPr="007F1C26" w:rsidRDefault="00000000">
      <w:pPr>
        <w:rPr>
          <w:lang w:val="es-MX"/>
        </w:rPr>
      </w:pPr>
      <w:r w:rsidRPr="007F1C26">
        <w:rPr>
          <w:lang w:val="es-MX"/>
        </w:rPr>
        <w:t>El segundo proceso terminó con la sentencia de la CIJ del 21 de abril de 2022. La Corte no convirtió ese caso en un proceso de ejecución del fallo de 2012 ni ordenó que Colombia abandonara sus actividades en el Caribe. Sin embargo, determinó que Colombia había incumplido determinadas obligaciones internacionales relacionadas con la protección de los derechos de Nicaragua en su zona marítima, especialmente por actuaciones de la Armada Nacional. La Corte no concedió una indemnización a Nicaragua y cerró ese proceso.</w:t>
      </w:r>
    </w:p>
    <w:p w14:paraId="6EB843E9" w14:textId="77777777" w:rsidR="000031CD" w:rsidRPr="007F1C26" w:rsidRDefault="00000000">
      <w:pPr>
        <w:rPr>
          <w:lang w:val="es-MX"/>
        </w:rPr>
      </w:pPr>
      <w:r w:rsidRPr="007F1C26">
        <w:rPr>
          <w:lang w:val="es-MX"/>
        </w:rPr>
        <w:t xml:space="preserve">En cuanto al proceso sobre la plataforma continental extendida, este continuó siendo el principal litigio pendiente entre ambos países. La controversia consiste en determinar si Nicaragua puede </w:t>
      </w:r>
      <w:r w:rsidRPr="007F1C26">
        <w:rPr>
          <w:lang w:val="es-MX"/>
        </w:rPr>
        <w:lastRenderedPageBreak/>
        <w:t>proyectar su plataforma continental más allá de las 200 millas marinas y cómo se relacionaría esa pretensión con los derechos marítimos de Colombia. La Cancillería colombiana ha señalado que este proceso es distinto del litigio terminado en 2022.</w:t>
      </w:r>
    </w:p>
    <w:p w14:paraId="2E122321" w14:textId="77777777" w:rsidR="000031CD" w:rsidRPr="007F1C26" w:rsidRDefault="00000000">
      <w:pPr>
        <w:rPr>
          <w:lang w:val="es-MX"/>
        </w:rPr>
      </w:pPr>
      <w:r w:rsidRPr="007F1C26">
        <w:rPr>
          <w:lang w:val="es-MX"/>
        </w:rPr>
        <w:t>Por lo tanto, la situación actual puede resumirse así: Colombia conserva la soberanía sobre las islas y cayos del archipiélago de San Andrés, Providencia y Santa Catalina; la delimitación marítima fijada en 2012 sigue siendo un antecedente jurídico fundamental; el proceso sobre la plataforma continental extendida constituye el asunto pendiente ante la CIJ; y el proceso de supuestas violaciones de derechos soberanos terminó en 2022 sin una indemnización para Nicaragua.</w:t>
      </w:r>
    </w:p>
    <w:p w14:paraId="08DA689B" w14:textId="77777777" w:rsidR="000031CD" w:rsidRPr="007F1C26" w:rsidRDefault="00000000">
      <w:pPr>
        <w:pStyle w:val="Ttulo1"/>
        <w:rPr>
          <w:lang w:val="es-MX"/>
        </w:rPr>
      </w:pPr>
      <w:r w:rsidRPr="007F1C26">
        <w:rPr>
          <w:lang w:val="es-MX"/>
        </w:rPr>
        <w:t>Referencias</w:t>
      </w:r>
    </w:p>
    <w:p w14:paraId="3DEBBDF4" w14:textId="77777777" w:rsidR="000031CD" w:rsidRPr="007F1C26" w:rsidRDefault="00000000">
      <w:pPr>
        <w:rPr>
          <w:lang w:val="es-MX"/>
        </w:rPr>
      </w:pPr>
      <w:r w:rsidRPr="007F1C26">
        <w:rPr>
          <w:lang w:val="es-MX"/>
        </w:rPr>
        <w:t>Constitución Política de Colombia. (1991). Artículos 23 y 86.</w:t>
      </w:r>
    </w:p>
    <w:p w14:paraId="17E30399" w14:textId="77777777" w:rsidR="000031CD" w:rsidRPr="007F1C26" w:rsidRDefault="00000000">
      <w:pPr>
        <w:rPr>
          <w:lang w:val="es-MX"/>
        </w:rPr>
      </w:pPr>
      <w:r w:rsidRPr="007F1C26">
        <w:rPr>
          <w:lang w:val="es-MX"/>
        </w:rPr>
        <w:t>Congreso de la República de Colombia. (1998). Ley 472 de 1998.</w:t>
      </w:r>
    </w:p>
    <w:p w14:paraId="7B0DC2C5" w14:textId="77777777" w:rsidR="000031CD" w:rsidRPr="007F1C26" w:rsidRDefault="00000000">
      <w:pPr>
        <w:rPr>
          <w:lang w:val="es-MX"/>
        </w:rPr>
      </w:pPr>
      <w:r w:rsidRPr="007F1C26">
        <w:rPr>
          <w:lang w:val="es-MX"/>
        </w:rPr>
        <w:t>Congreso de la República de Colombia. (2015). Ley 1755 de 2015.</w:t>
      </w:r>
    </w:p>
    <w:p w14:paraId="59F5F6A0" w14:textId="77777777" w:rsidR="000031CD" w:rsidRPr="007F1C26" w:rsidRDefault="00000000">
      <w:pPr>
        <w:rPr>
          <w:lang w:val="es-MX"/>
        </w:rPr>
      </w:pPr>
      <w:r w:rsidRPr="007F1C26">
        <w:rPr>
          <w:lang w:val="es-MX"/>
        </w:rPr>
        <w:t>Presidencia de la República de Colombia. (1991). Decreto 2591 de 1991.</w:t>
      </w:r>
    </w:p>
    <w:p w14:paraId="4C034A17" w14:textId="77777777" w:rsidR="000031CD" w:rsidRPr="007F1C26" w:rsidRDefault="00000000">
      <w:pPr>
        <w:rPr>
          <w:lang w:val="es-MX"/>
        </w:rPr>
      </w:pPr>
      <w:r w:rsidRPr="007F1C26">
        <w:rPr>
          <w:lang w:val="es-MX"/>
        </w:rPr>
        <w:t>Ministerio de Relaciones Exteriores de Colombia. (s. f.). Fallo de 2012. https://www.cancilleria.gov.co/politica-exterior/asuntos-juridicos-internacionales/casos-colombia-cij/caso-concluido/fallo-2012</w:t>
      </w:r>
    </w:p>
    <w:p w14:paraId="353E38C3" w14:textId="77777777" w:rsidR="000031CD" w:rsidRPr="007F1C26" w:rsidRDefault="00000000">
      <w:pPr>
        <w:rPr>
          <w:lang w:val="es-MX"/>
        </w:rPr>
      </w:pPr>
      <w:r w:rsidRPr="007F1C26">
        <w:rPr>
          <w:lang w:val="es-MX"/>
        </w:rPr>
        <w:t>Ministerio de Relaciones Exteriores de Colombia. (s. f.). Preguntas frecuentes: Caso relativo a la cuestión de la delimitación de la plataforma continental entre Nicaragua y Colombia. https://www.cancilleria.gov.co/sites/default/files/FOTOS2023/PREGUNTAS%20Y%20RESPUESTAS%202023-v2%20web-ok%20%285%29.pdf</w:t>
      </w:r>
    </w:p>
    <w:p w14:paraId="2F14539A" w14:textId="77777777" w:rsidR="000031CD" w:rsidRPr="007F1C26" w:rsidRDefault="00000000">
      <w:pPr>
        <w:rPr>
          <w:lang w:val="es-MX"/>
        </w:rPr>
      </w:pPr>
      <w:r w:rsidRPr="007F1C26">
        <w:rPr>
          <w:lang w:val="es-MX"/>
        </w:rPr>
        <w:lastRenderedPageBreak/>
        <w:t>Ministerio de Relaciones Exteriores de Colombia. (2022). Comunicado de prensa sobre sentencia de la Corte Internacional de Justicia. https://www.cancilleria.gov.co/sala-de-prensa/noticias/comunicado-prensa-sentencia-corte-internacional-justicia</w:t>
      </w:r>
    </w:p>
    <w:sectPr w:rsidR="000031CD" w:rsidRPr="007F1C26"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71591" w14:textId="77777777" w:rsidR="00DA76C3" w:rsidRDefault="00DA76C3">
      <w:pPr>
        <w:spacing w:line="240" w:lineRule="auto"/>
      </w:pPr>
      <w:r>
        <w:separator/>
      </w:r>
    </w:p>
  </w:endnote>
  <w:endnote w:type="continuationSeparator" w:id="0">
    <w:p w14:paraId="37BCFFDF" w14:textId="77777777" w:rsidR="00DA76C3" w:rsidRDefault="00DA76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F2051" w14:textId="77777777" w:rsidR="000031CD" w:rsidRDefault="00000000">
    <w:pPr>
      <w:pStyle w:val="Piedepgina"/>
      <w:jc w:val="center"/>
    </w:pPr>
    <w:r>
      <w:t xml:space="preserve">Página </w:t>
    </w:r>
    <w:r>
      <w:fldChar w:fldCharType="begin"/>
    </w:r>
    <w:r>
      <w:instrText>PAGE</w:instrText>
    </w:r>
    <w:r w:rsidR="007F1C26">
      <w:fldChar w:fldCharType="separate"/>
    </w:r>
    <w:r w:rsidR="007F1C2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B811D" w14:textId="77777777" w:rsidR="00DA76C3" w:rsidRDefault="00DA76C3">
      <w:pPr>
        <w:spacing w:line="240" w:lineRule="auto"/>
      </w:pPr>
      <w:r>
        <w:separator/>
      </w:r>
    </w:p>
  </w:footnote>
  <w:footnote w:type="continuationSeparator" w:id="0">
    <w:p w14:paraId="6CD9CAD6" w14:textId="77777777" w:rsidR="00DA76C3" w:rsidRDefault="00DA76C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59186070">
    <w:abstractNumId w:val="8"/>
  </w:num>
  <w:num w:numId="2" w16cid:durableId="1405759143">
    <w:abstractNumId w:val="6"/>
  </w:num>
  <w:num w:numId="3" w16cid:durableId="323707917">
    <w:abstractNumId w:val="5"/>
  </w:num>
  <w:num w:numId="4" w16cid:durableId="916746574">
    <w:abstractNumId w:val="4"/>
  </w:num>
  <w:num w:numId="5" w16cid:durableId="1777749883">
    <w:abstractNumId w:val="7"/>
  </w:num>
  <w:num w:numId="6" w16cid:durableId="1664703458">
    <w:abstractNumId w:val="3"/>
  </w:num>
  <w:num w:numId="7" w16cid:durableId="341007125">
    <w:abstractNumId w:val="2"/>
  </w:num>
  <w:num w:numId="8" w16cid:durableId="331614625">
    <w:abstractNumId w:val="1"/>
  </w:num>
  <w:num w:numId="9" w16cid:durableId="1552771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1CD"/>
    <w:rsid w:val="00034616"/>
    <w:rsid w:val="0006063C"/>
    <w:rsid w:val="0015074B"/>
    <w:rsid w:val="0029639D"/>
    <w:rsid w:val="00326F90"/>
    <w:rsid w:val="007F1C26"/>
    <w:rsid w:val="00981E14"/>
    <w:rsid w:val="00AA1D8D"/>
    <w:rsid w:val="00B47730"/>
    <w:rsid w:val="00B9641D"/>
    <w:rsid w:val="00CB0664"/>
    <w:rsid w:val="00DA76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D68FE9"/>
  <w14:defaultImageDpi w14:val="300"/>
  <w15:docId w15:val="{17250ADB-F3C3-4E57-A39E-5C09043A7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color w:val="000000"/>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rPr>
      <w:rFonts w:ascii="Times New Roman" w:eastAsia="Times New Roman" w:hAnsi="Times New Roman"/>
      <w:color w:val="000000"/>
    </w:rPr>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rPr>
      <w:rFonts w:ascii="Times New Roman" w:eastAsia="Times New Roman" w:hAnsi="Times New Roman"/>
      <w:color w:val="000000"/>
    </w:rPr>
  </w:style>
  <w:style w:type="paragraph" w:styleId="Sinespaciado">
    <w:name w:val="No Spacing"/>
    <w:uiPriority w:val="1"/>
    <w:qFormat/>
    <w:rsid w:val="00FC693F"/>
    <w:pPr>
      <w:spacing w:after="0" w:line="240" w:lineRule="auto"/>
    </w:pPr>
    <w:rPr>
      <w:rFonts w:ascii="Times New Roman" w:eastAsia="Times New Roman" w:hAnsi="Times New Roman"/>
      <w:color w:val="000000"/>
    </w:r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000000"/>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000000"/>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000000"/>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3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000000"/>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000000"/>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rPr>
      <w:rFonts w:ascii="Times New Roman" w:eastAsia="Times New Roman" w:hAnsi="Times New Roman"/>
      <w:color w:val="000000"/>
    </w:rPr>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rPr>
      <w:rFonts w:ascii="Times New Roman" w:eastAsia="Times New Roman" w:hAnsi="Times New Roman"/>
      <w:color w:val="000000"/>
    </w:rPr>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rFonts w:ascii="Times New Roman" w:eastAsia="Times New Roman" w:hAnsi="Times New Roman"/>
      <w:color w:val="000000"/>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olor w:val="000000"/>
      <w:sz w:val="20"/>
      <w:szCs w:val="20"/>
    </w:rPr>
  </w:style>
  <w:style w:type="character" w:customStyle="1" w:styleId="TextomacroCar">
    <w:name w:val="Texto macro Car"/>
    <w:basedOn w:val="Fuentedeprrafopredeter"/>
    <w:link w:val="Textomacro"/>
    <w:uiPriority w:val="99"/>
    <w:rsid w:val="0029639D"/>
    <w:rPr>
      <w:rFonts w:ascii="Times New Roman" w:eastAsia="Times New Roman" w:hAnsi="Times New Roman"/>
      <w:color w:val="000000"/>
      <w:sz w:val="20"/>
      <w:szCs w:val="20"/>
    </w:rPr>
  </w:style>
  <w:style w:type="paragraph" w:styleId="Cita">
    <w:name w:val="Quote"/>
    <w:basedOn w:val="Normal"/>
    <w:next w:val="Normal"/>
    <w:link w:val="CitaCar"/>
    <w:uiPriority w:val="29"/>
    <w:qFormat/>
    <w:rsid w:val="00FC693F"/>
    <w:rPr>
      <w:i/>
      <w:iCs/>
    </w:rPr>
  </w:style>
  <w:style w:type="character" w:customStyle="1" w:styleId="CitaCar">
    <w:name w:val="Cita Car"/>
    <w:basedOn w:val="Fuentedeprrafopredeter"/>
    <w:link w:val="Cita"/>
    <w:uiPriority w:val="29"/>
    <w:rsid w:val="00FC693F"/>
    <w:rPr>
      <w:rFonts w:ascii="Times New Roman" w:eastAsia="Times New Roman" w:hAnsi="Times New Roman"/>
      <w:i/>
      <w:iCs/>
      <w:color w:val="000000"/>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000000"/>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000000"/>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000000"/>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000000"/>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000000"/>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000000"/>
      <w:sz w:val="20"/>
      <w:szCs w:val="20"/>
    </w:rPr>
  </w:style>
  <w:style w:type="paragraph" w:styleId="Descripcin">
    <w:name w:val="caption"/>
    <w:basedOn w:val="Normal"/>
    <w:next w:val="Normal"/>
    <w:uiPriority w:val="35"/>
    <w:semiHidden/>
    <w:unhideWhenUsed/>
    <w:qFormat/>
    <w:rsid w:val="00FC693F"/>
    <w:pPr>
      <w:spacing w:line="240" w:lineRule="auto"/>
    </w:pPr>
    <w:rPr>
      <w:b/>
      <w:bCs/>
      <w:sz w:val="18"/>
      <w:szCs w:val="18"/>
    </w:rPr>
  </w:style>
  <w:style w:type="character" w:styleId="Fuerte">
    <w:name w:val="Strong"/>
    <w:basedOn w:val="Fuentedeprrafopredeter"/>
    <w:uiPriority w:val="22"/>
    <w:qFormat/>
    <w:rsid w:val="00FC693F"/>
    <w:rPr>
      <w:rFonts w:ascii="Times New Roman" w:eastAsia="Times New Roman" w:hAnsi="Times New Roman"/>
      <w:b/>
      <w:bCs/>
      <w:color w:val="000000"/>
    </w:rPr>
  </w:style>
  <w:style w:type="character" w:styleId="nfasis">
    <w:name w:val="Emphasis"/>
    <w:basedOn w:val="Fuentedeprrafopredeter"/>
    <w:uiPriority w:val="20"/>
    <w:qFormat/>
    <w:rsid w:val="00FC693F"/>
    <w:rPr>
      <w:rFonts w:ascii="Times New Roman" w:eastAsia="Times New Roman" w:hAnsi="Times New Roman"/>
      <w:i/>
      <w:iCs/>
      <w:color w:val="000000"/>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rPr>
  </w:style>
  <w:style w:type="character" w:customStyle="1" w:styleId="CitadestacadaCar">
    <w:name w:val="Cita destacada Car"/>
    <w:basedOn w:val="Fuentedeprrafopredeter"/>
    <w:link w:val="Citadestacada"/>
    <w:uiPriority w:val="30"/>
    <w:rsid w:val="00FC693F"/>
    <w:rPr>
      <w:rFonts w:ascii="Times New Roman" w:eastAsia="Times New Roman" w:hAnsi="Times New Roman"/>
      <w:b/>
      <w:bCs/>
      <w:i/>
      <w:iCs/>
      <w:color w:val="000000"/>
    </w:rPr>
  </w:style>
  <w:style w:type="character" w:styleId="nfasissutil">
    <w:name w:val="Subtle Emphasis"/>
    <w:basedOn w:val="Fuentedeprrafopredeter"/>
    <w:uiPriority w:val="19"/>
    <w:qFormat/>
    <w:rsid w:val="00FC693F"/>
    <w:rPr>
      <w:rFonts w:ascii="Times New Roman" w:eastAsia="Times New Roman" w:hAnsi="Times New Roman"/>
      <w:i/>
      <w:iCs/>
      <w:color w:val="000000"/>
    </w:rPr>
  </w:style>
  <w:style w:type="character" w:styleId="nfasisintenso">
    <w:name w:val="Intense Emphasis"/>
    <w:basedOn w:val="Fuentedeprrafopredeter"/>
    <w:uiPriority w:val="21"/>
    <w:qFormat/>
    <w:rsid w:val="00FC693F"/>
    <w:rPr>
      <w:rFonts w:ascii="Times New Roman" w:eastAsia="Times New Roman" w:hAnsi="Times New Roman"/>
      <w:b/>
      <w:bCs/>
      <w:i/>
      <w:iCs/>
      <w:color w:val="000000"/>
    </w:rPr>
  </w:style>
  <w:style w:type="character" w:styleId="Referenciasutil">
    <w:name w:val="Subtle Reference"/>
    <w:basedOn w:val="Fuentedeprrafopredeter"/>
    <w:uiPriority w:val="31"/>
    <w:qFormat/>
    <w:rsid w:val="00FC693F"/>
    <w:rPr>
      <w:rFonts w:ascii="Times New Roman" w:eastAsia="Times New Roman" w:hAnsi="Times New Roman"/>
      <w:smallCaps/>
      <w:color w:val="000000"/>
      <w:u w:val="single"/>
    </w:rPr>
  </w:style>
  <w:style w:type="character" w:styleId="Referenciaintensa">
    <w:name w:val="Intense Reference"/>
    <w:basedOn w:val="Fuentedeprrafopredeter"/>
    <w:uiPriority w:val="32"/>
    <w:qFormat/>
    <w:rsid w:val="00FC693F"/>
    <w:rPr>
      <w:rFonts w:ascii="Times New Roman" w:eastAsia="Times New Roman" w:hAnsi="Times New Roman"/>
      <w:b/>
      <w:bCs/>
      <w:smallCaps/>
      <w:color w:val="000000"/>
      <w:spacing w:val="5"/>
      <w:u w:val="single"/>
    </w:rPr>
  </w:style>
  <w:style w:type="character" w:styleId="Ttulodellibro">
    <w:name w:val="Book Title"/>
    <w:basedOn w:val="Fuentedeprrafopredeter"/>
    <w:uiPriority w:val="33"/>
    <w:qFormat/>
    <w:rsid w:val="00FC693F"/>
    <w:rPr>
      <w:rFonts w:ascii="Times New Roman" w:eastAsia="Times New Roman" w:hAnsi="Times New Roman"/>
      <w:b/>
      <w:bCs/>
      <w:smallCaps/>
      <w:color w:val="000000"/>
      <w:spacing w:val="5"/>
    </w:rPr>
  </w:style>
  <w:style w:type="paragraph" w:styleId="TtuloTDC">
    <w:name w:val="TOC Heading"/>
    <w:basedOn w:val="Ttulo1"/>
    <w:next w:val="Normal"/>
    <w:uiPriority w:val="39"/>
    <w:semiHidden/>
    <w:unhideWhenUsed/>
    <w:qFormat/>
    <w:rsid w:val="00FC693F"/>
    <w:pPr>
      <w:outlineLvl w:val="9"/>
    </w:pPr>
    <w:rPr>
      <w:rFonts w:ascii="Times New Roman" w:eastAsia="Times New Roman" w:hAnsi="Times New Roman"/>
    </w:rPr>
  </w:style>
  <w:style w:type="table" w:styleId="Tablaconcuadrcula">
    <w:name w:val="Table Grid"/>
    <w:basedOn w:val="Tablanormal"/>
    <w:uiPriority w:val="59"/>
    <w:rsid w:val="00FC693F"/>
    <w:pPr>
      <w:spacing w:after="0" w:line="240" w:lineRule="auto"/>
    </w:pPr>
    <w:rPr>
      <w:rFonts w:ascii="Times New Roman" w:eastAsia="Times New Roman" w:hAnsi="Times New Roman"/>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rFonts w:ascii="Times New Roman" w:eastAsia="Times New Roman" w:hAnsi="Times New Roman"/>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rFonts w:ascii="Times New Roman" w:eastAsia="Times New Roman" w:hAnsi="Times New Roman"/>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rFonts w:ascii="Times New Roman" w:eastAsia="Times New Roman" w:hAnsi="Times New Roman"/>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rFonts w:ascii="Times New Roman" w:eastAsia="Times New Roman" w:hAnsi="Times New Roman"/>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rFonts w:ascii="Times New Roman" w:eastAsia="Times New Roman" w:hAnsi="Times New Roman"/>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rFonts w:ascii="Times New Roman" w:eastAsia="Times New Roman" w:hAnsi="Times New Roman"/>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rFonts w:ascii="Times New Roman" w:eastAsia="Times New Roman" w:hAnsi="Times New Roman"/>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rPr>
      <w:rFonts w:ascii="Times New Roman" w:eastAsia="Times New Roman" w:hAnsi="Times New Roman"/>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rPr>
      <w:rFonts w:ascii="Times New Roman" w:eastAsia="Times New Roman" w:hAnsi="Times New Roman"/>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rPr>
      <w:rFonts w:ascii="Times New Roman" w:eastAsia="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rPr>
      <w:rFonts w:ascii="Times New Roman" w:eastAsia="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rPr>
      <w:rFonts w:ascii="Times New Roman" w:eastAsia="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rPr>
      <w:rFonts w:ascii="Times New Roman" w:eastAsia="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rPr>
      <w:rFonts w:ascii="Times New Roman" w:eastAsia="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rPr>
      <w:rFonts w:ascii="Times New Roman" w:eastAsia="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rPr>
      <w:rFonts w:ascii="Times New Roman" w:eastAsia="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rFonts w:ascii="Times New Roman" w:eastAsia="Times New Roman" w:hAnsi="Times New Roman"/>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rFonts w:ascii="Times New Roman" w:eastAsia="Times New Roman" w:hAnsi="Times New Roman"/>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rFonts w:ascii="Times New Roman" w:eastAsia="Times New Roman" w:hAnsi="Times New Roman"/>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rFonts w:ascii="Times New Roman" w:eastAsia="Times New Roman" w:hAnsi="Times New Roman"/>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rFonts w:ascii="Times New Roman" w:eastAsia="Times New Roman" w:hAnsi="Times New Roman"/>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rFonts w:ascii="Times New Roman" w:eastAsia="Times New Roman" w:hAnsi="Times New Roman"/>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rFonts w:ascii="Times New Roman" w:eastAsia="Times New Roman" w:hAnsi="Times New Roman"/>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rFonts w:ascii="Times New Roman" w:eastAsia="Times New Roman" w:hAnsi="Times New Roman"/>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rFonts w:ascii="Times New Roman" w:eastAsia="Times New Roman" w:hAnsi="Times New Roman"/>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rFonts w:ascii="Times New Roman" w:eastAsia="Times New Roman" w:hAnsi="Times New Roman"/>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rFonts w:ascii="Times New Roman" w:eastAsia="Times New Roman" w:hAnsi="Times New Roman"/>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rFonts w:ascii="Times New Roman" w:eastAsia="Times New Roman" w:hAnsi="Times New Roman"/>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rFonts w:ascii="Times New Roman" w:eastAsia="Times New Roman" w:hAnsi="Times New Roman"/>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rFonts w:ascii="Times New Roman" w:eastAsia="Times New Roman" w:hAnsi="Times New Roman"/>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1088</Words>
  <Characters>5989</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Jhon Sebastian Molina Fierro</cp:lastModifiedBy>
  <cp:revision>2</cp:revision>
  <dcterms:created xsi:type="dcterms:W3CDTF">2026-09-10T21:28:00Z</dcterms:created>
  <dcterms:modified xsi:type="dcterms:W3CDTF">2026-09-10T21:28:00Z</dcterms:modified>
  <cp:category/>
</cp:coreProperties>
</file>