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both"/>
        <w:rPr>
          <w:sz w:val="24"/>
          <w:szCs w:val="24"/>
        </w:rPr>
      </w:pPr>
      <w:r w:rsidDel="00000000" w:rsidR="00000000" w:rsidRPr="00000000">
        <w:rPr>
          <w:rtl w:val="0"/>
        </w:rPr>
      </w:r>
    </w:p>
    <w:tbl>
      <w:tblPr>
        <w:tblStyle w:val="Table1"/>
        <w:tblW w:w="7815.0" w:type="dxa"/>
        <w:jc w:val="center"/>
        <w:tblLayout w:type="fixed"/>
        <w:tblLook w:val="0400"/>
      </w:tblPr>
      <w:tblGrid>
        <w:gridCol w:w="7815"/>
        <w:tblGridChange w:id="0">
          <w:tblGrid>
            <w:gridCol w:w="7815"/>
          </w:tblGrid>
        </w:tblGridChange>
      </w:tblGrid>
      <w:tr>
        <w:trPr>
          <w:cantSplit w:val="0"/>
          <w:trHeight w:val="1845" w:hRule="atLeast"/>
          <w:tblHeader w:val="0"/>
        </w:trPr>
        <w:tc>
          <w:tcPr/>
          <w:p w:rsidR="00000000" w:rsidDel="00000000" w:rsidP="00000000" w:rsidRDefault="00000000" w:rsidRPr="00000000" w14:paraId="00000002">
            <w:pPr>
              <w:pStyle w:val="Title"/>
              <w:keepLines w:val="0"/>
              <w:pBdr>
                <w:top w:color="000000" w:space="0" w:sz="0" w:val="none"/>
              </w:pBdr>
              <w:spacing w:before="240" w:line="240" w:lineRule="auto"/>
              <w:jc w:val="both"/>
              <w:rPr>
                <w:sz w:val="26"/>
                <w:szCs w:val="26"/>
              </w:rPr>
            </w:pPr>
            <w:bookmarkStart w:colFirst="0" w:colLast="0" w:name="_heading=h.vwke6ocyv58i" w:id="0"/>
            <w:bookmarkEnd w:id="0"/>
            <w:r w:rsidDel="00000000" w:rsidR="00000000" w:rsidRPr="00000000">
              <w:rPr>
                <w:sz w:val="26"/>
                <w:szCs w:val="26"/>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after="80" w:line="240" w:lineRule="auto"/>
              <w:jc w:val="both"/>
              <w:rPr>
                <w:rFonts w:ascii="Calibri" w:cs="Calibri" w:eastAsia="Calibri" w:hAnsi="Calibri"/>
                <w:sz w:val="80"/>
                <w:szCs w:val="80"/>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spacing w:after="80" w:line="240" w:lineRule="auto"/>
              <w:jc w:val="center"/>
              <w:rPr>
                <w:rFonts w:ascii="Calibri" w:cs="Calibri" w:eastAsia="Calibri" w:hAnsi="Calibri"/>
                <w:sz w:val="68"/>
                <w:szCs w:val="68"/>
              </w:rPr>
            </w:pPr>
            <w:r w:rsidDel="00000000" w:rsidR="00000000" w:rsidRPr="00000000">
              <w:rPr>
                <w:rFonts w:ascii="Calibri" w:cs="Calibri" w:eastAsia="Calibri" w:hAnsi="Calibri"/>
                <w:sz w:val="68"/>
                <w:szCs w:val="68"/>
                <w:rtl w:val="0"/>
              </w:rPr>
              <w:t xml:space="preserve">Arquitectura y metodología - Bowling Service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spacing w:after="80" w:line="240" w:lineRule="auto"/>
              <w:jc w:val="center"/>
              <w:rPr>
                <w:rFonts w:ascii="Calibri" w:cs="Calibri" w:eastAsia="Calibri" w:hAnsi="Calibri"/>
                <w:i w:val="1"/>
                <w:iCs w:val="1"/>
                <w:sz w:val="44"/>
                <w:szCs w:val="44"/>
              </w:rPr>
            </w:pPr>
            <w:r w:rsidDel="00000000" w:rsidR="00000000" w:rsidRPr="00000000">
              <w:rPr>
                <w:rFonts w:ascii="Calibri" w:cs="Calibri" w:eastAsia="Calibri" w:hAnsi="Calibri"/>
                <w:i w:val="1"/>
                <w:iCs w:val="1"/>
                <w:sz w:val="44"/>
                <w:szCs w:val="44"/>
                <w:rtl w:val="0"/>
              </w:rPr>
              <w:t xml:space="preserve">PTY 4614- 002D</w:t>
            </w:r>
          </w:p>
        </w:tc>
      </w:tr>
    </w:tbl>
    <w:p w:rsidR="00000000" w:rsidDel="00000000" w:rsidP="00000000" w:rsidRDefault="00000000" w:rsidRPr="00000000" w14:paraId="00000006">
      <w:pPr>
        <w:pStyle w:val="Heading1"/>
        <w:keepNext w:val="0"/>
        <w:keepLines w:val="0"/>
        <w:spacing w:after="160" w:before="320" w:line="240" w:lineRule="auto"/>
        <w:jc w:val="both"/>
        <w:rPr>
          <w:b w:val="1"/>
          <w:bCs w:val="1"/>
          <w:color w:val="000000"/>
          <w:sz w:val="26"/>
          <w:szCs w:val="26"/>
        </w:rPr>
      </w:pPr>
      <w:bookmarkStart w:colFirst="0" w:colLast="0" w:name="_heading=h.9qj0hsjsxikx" w:id="1"/>
      <w:bookmarkEnd w:id="1"/>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eading=h.v2o64dx1jwpm" w:id="2"/>
      <w:bookmarkEnd w:id="2"/>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eading=h.4s4xqlp6ecu9" w:id="3"/>
      <w:bookmarkEnd w:id="3"/>
      <w:r w:rsidDel="00000000" w:rsidR="00000000" w:rsidRPr="00000000">
        <w:rPr>
          <w:rtl w:val="0"/>
        </w:rPr>
      </w:r>
    </w:p>
    <w:p w:rsidR="00000000" w:rsidDel="00000000" w:rsidP="00000000" w:rsidRDefault="00000000" w:rsidRPr="00000000" w14:paraId="00000009">
      <w:pPr>
        <w:spacing w:after="80" w:line="240"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w:t>
      </w:r>
      <w:r w:rsidDel="00000000" w:rsidR="00000000" w:rsidRPr="00000000">
        <w:rPr>
          <w:rFonts w:ascii="Calibri" w:cs="Calibri" w:eastAsia="Calibri" w:hAnsi="Calibri"/>
          <w:sz w:val="24"/>
          <w:szCs w:val="24"/>
          <w:rtl w:val="0"/>
        </w:rPr>
        <w:t xml:space="preserve">Paz Morales </w:t>
      </w:r>
    </w:p>
    <w:p w:rsidR="00000000" w:rsidDel="00000000" w:rsidP="00000000" w:rsidRDefault="00000000" w:rsidRPr="00000000" w14:paraId="0000000A">
      <w:pPr>
        <w:spacing w:after="80" w:line="240"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Alumnos: </w:t>
      </w:r>
      <w:r w:rsidDel="00000000" w:rsidR="00000000" w:rsidRPr="00000000">
        <w:rPr>
          <w:rFonts w:ascii="Calibri" w:cs="Calibri" w:eastAsia="Calibri" w:hAnsi="Calibri"/>
          <w:sz w:val="24"/>
          <w:szCs w:val="24"/>
          <w:rtl w:val="0"/>
        </w:rPr>
        <w:t xml:space="preserve">Javier Castro  -  21.793.492-3</w:t>
      </w:r>
    </w:p>
    <w:p w:rsidR="00000000" w:rsidDel="00000000" w:rsidP="00000000" w:rsidRDefault="00000000" w:rsidRPr="00000000" w14:paraId="0000000B">
      <w:pPr>
        <w:spacing w:after="80" w:line="24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Matías Molins  -  21.242.431-5</w:t>
      </w:r>
    </w:p>
    <w:p w:rsidR="00000000" w:rsidDel="00000000" w:rsidP="00000000" w:rsidRDefault="00000000" w:rsidRPr="00000000" w14:paraId="0000000C">
      <w:pPr>
        <w:spacing w:after="80" w:line="24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eading=h.pp4a8pq8ca9g" w:id="4"/>
      <w:bookmarkEnd w:id="4"/>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eading=h.czdouckfwu3d" w:id="5"/>
      <w:bookmarkEnd w:id="5"/>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eading=h.jygb2aq0djx9" w:id="6"/>
      <w:bookmarkEnd w:id="6"/>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eading=h.uoz6fczajtwd" w:id="7"/>
      <w:bookmarkEnd w:id="7"/>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heading=h.eh9rhp3jy176" w:id="8"/>
      <w:bookmarkEnd w:id="8"/>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eading=h.r5b29h6pljda" w:id="9"/>
      <w:bookmarkEnd w:id="9"/>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heading=h.2kydw9h7euwb" w:id="10"/>
      <w:bookmarkEnd w:id="10"/>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eading=h.crc4l1svu934" w:id="11"/>
      <w:bookmarkEnd w:id="11"/>
      <w:r w:rsidDel="00000000" w:rsidR="00000000" w:rsidRPr="00000000">
        <w:rPr>
          <w:rtl w:val="0"/>
        </w:rPr>
      </w:r>
    </w:p>
    <w:sdt>
      <w:sdtPr>
        <w:id w:val="-971932682"/>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d2n8jv2f9y6z">
            <w:r w:rsidDel="00000000" w:rsidR="00000000" w:rsidRPr="00000000">
              <w:rPr>
                <w:b w:val="1"/>
                <w:bCs w:val="1"/>
                <w:color w:val="000000"/>
                <w:u w:val="none"/>
                <w:rtl w:val="0"/>
              </w:rPr>
              <w:t xml:space="preserve">1. Metodología de Trabajo Seleccionada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heading=h.1vzhgdpjelmn">
            <w:r w:rsidDel="00000000" w:rsidR="00000000" w:rsidRPr="00000000">
              <w:rPr>
                <w:b w:val="1"/>
                <w:bCs w:val="1"/>
                <w:color w:val="000000"/>
                <w:u w:val="none"/>
                <w:rtl w:val="0"/>
              </w:rPr>
              <w:t xml:space="preserve">2. Nivel TRL (Technology Readiness Level)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_heading=h.jf9btlfcj06c">
            <w:r w:rsidDel="00000000" w:rsidR="00000000" w:rsidRPr="00000000">
              <w:rPr>
                <w:b w:val="1"/>
                <w:bCs w:val="1"/>
                <w:color w:val="000000"/>
                <w:u w:val="none"/>
                <w:rtl w:val="0"/>
              </w:rPr>
              <w:t xml:space="preserve">3. Arquitectura de Desarrollo del Proyecto</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heading=h.fm4v77d9j0bk" w:id="12"/>
      <w:bookmarkEnd w:id="12"/>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eading=h.9101ruaz4p7i" w:id="13"/>
      <w:bookmarkEnd w:id="13"/>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heading=h.yreii7lpq5kp" w:id="14"/>
      <w:bookmarkEnd w:id="14"/>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eading=h.3qqh1719cryd" w:id="15"/>
      <w:bookmarkEnd w:id="15"/>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eading=h.ke89elv7kw35" w:id="16"/>
      <w:bookmarkEnd w:id="16"/>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eading=h.9379nwh0hro" w:id="17"/>
      <w:bookmarkEnd w:id="17"/>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eading=h.agdj56xw3pib" w:id="18"/>
      <w:bookmarkEnd w:id="18"/>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eading=h.b4p3qll569r6" w:id="19"/>
      <w:bookmarkEnd w:id="19"/>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ading=h.grrlr3ocdczz" w:id="20"/>
      <w:bookmarkEnd w:id="20"/>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heading=h.3lkffiv2g24k" w:id="21"/>
      <w:bookmarkEnd w:id="21"/>
      <w:r w:rsidDel="00000000" w:rsidR="00000000" w:rsidRPr="00000000">
        <w:rPr>
          <w:rtl w:val="0"/>
        </w:rPr>
      </w:r>
    </w:p>
    <w:p w:rsidR="00000000" w:rsidDel="00000000" w:rsidP="00000000" w:rsidRDefault="00000000" w:rsidRPr="00000000" w14:paraId="00000034">
      <w:pPr>
        <w:pStyle w:val="Heading1"/>
        <w:spacing w:before="280" w:lineRule="auto"/>
        <w:rPr/>
      </w:pPr>
      <w:bookmarkStart w:colFirst="0" w:colLast="0" w:name="_heading=h.d2n8jv2f9y6z" w:id="22"/>
      <w:bookmarkEnd w:id="22"/>
      <w:r w:rsidDel="00000000" w:rsidR="00000000" w:rsidRPr="00000000">
        <w:rPr>
          <w:rtl w:val="0"/>
        </w:rPr>
        <w:t xml:space="preserve">1. Metodología de Trabajo Seleccionada</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Metodología: </w:t>
      </w:r>
      <w:r w:rsidDel="00000000" w:rsidR="00000000" w:rsidRPr="00000000">
        <w:rPr>
          <w:rtl w:val="0"/>
        </w:rPr>
        <w:t xml:space="preserve">Marco Ágil Scrum (Adaptado a 18 semanas). Justificación: Se seleccionó Scrum debido a la naturaleza iterativa e incremental del desarrollo de un MVP. Al ser un equipo de solo dos desarrolladores, Scrum permite una alta adaptabilidad frente a cambios en los requerimientos del cliente (Bowling Services) sin romper el flujo de trabajo.</w:t>
      </w:r>
    </w:p>
    <w:p w:rsidR="00000000" w:rsidDel="00000000" w:rsidP="00000000" w:rsidRDefault="00000000" w:rsidRPr="00000000" w14:paraId="00000036">
      <w:pPr>
        <w:numPr>
          <w:ilvl w:val="0"/>
          <w:numId w:val="2"/>
        </w:numPr>
        <w:spacing w:after="0" w:before="240" w:lineRule="auto"/>
        <w:ind w:left="720" w:hanging="360"/>
        <w:rPr/>
      </w:pPr>
      <w:r w:rsidDel="00000000" w:rsidR="00000000" w:rsidRPr="00000000">
        <w:rPr>
          <w:b w:val="1"/>
          <w:bCs w:val="1"/>
          <w:rtl w:val="0"/>
        </w:rPr>
        <w:t xml:space="preserve">Organización y Roles:</w:t>
      </w:r>
      <w:r w:rsidDel="00000000" w:rsidR="00000000" w:rsidRPr="00000000">
        <w:rPr>
          <w:rtl w:val="0"/>
        </w:rPr>
        <w:t xml:space="preserve"> Matías Molins asume el rol de Scrum Master y Desarrollador Frontend Web, gestionando la planificación, la relación con el cliente y el panel administrativo. Javier Castro asume el rol de Desarrollador Frontend Móvil y Backend Integrator, responsable de la aplicación en terreno, la persistencia offline y la integración con la base de datos cloud.</w:t>
      </w:r>
    </w:p>
    <w:p w:rsidR="00000000" w:rsidDel="00000000" w:rsidP="00000000" w:rsidRDefault="00000000" w:rsidRPr="00000000" w14:paraId="00000037">
      <w:pPr>
        <w:numPr>
          <w:ilvl w:val="0"/>
          <w:numId w:val="2"/>
        </w:numPr>
        <w:spacing w:after="240" w:before="0" w:lineRule="auto"/>
        <w:ind w:left="720" w:hanging="360"/>
        <w:rPr/>
      </w:pPr>
      <w:r w:rsidDel="00000000" w:rsidR="00000000" w:rsidRPr="00000000">
        <w:rPr>
          <w:b w:val="1"/>
          <w:bCs w:val="1"/>
          <w:rtl w:val="0"/>
        </w:rPr>
        <w:t xml:space="preserve">Seguimiento:</w:t>
      </w:r>
      <w:r w:rsidDel="00000000" w:rsidR="00000000" w:rsidRPr="00000000">
        <w:rPr>
          <w:rtl w:val="0"/>
        </w:rPr>
        <w:t xml:space="preserve"> El avance se gestiona mediante un tablero Kanban (GitHub Projects), operando bajo Sprints quincenales que culminan en entregables funcionales (Sprint Reviews) para asegurar la integración continua entre el hardware en terreno (escáner QR y cámara) y la plataforma web.</w:t>
      </w:r>
    </w:p>
    <w:p w:rsidR="00000000" w:rsidDel="00000000" w:rsidP="00000000" w:rsidRDefault="00000000" w:rsidRPr="00000000" w14:paraId="00000038">
      <w:pPr>
        <w:pStyle w:val="Heading1"/>
        <w:spacing w:before="280" w:lineRule="auto"/>
        <w:rPr/>
      </w:pPr>
      <w:bookmarkStart w:colFirst="0" w:colLast="0" w:name="_heading=h.1vzhgdpjelmn" w:id="23"/>
      <w:bookmarkEnd w:id="23"/>
      <w:r w:rsidDel="00000000" w:rsidR="00000000" w:rsidRPr="00000000">
        <w:rPr>
          <w:rtl w:val="0"/>
        </w:rPr>
        <w:t xml:space="preserve">2. Nivel TRL (Technology Readiness Level)</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Nivel Actual:</w:t>
      </w:r>
      <w:r w:rsidDel="00000000" w:rsidR="00000000" w:rsidRPr="00000000">
        <w:rPr>
          <w:rtl w:val="0"/>
        </w:rPr>
        <w:t xml:space="preserve"> Situamos el punto de partida del proyecto en un nivel TRL 2 - TRL 3. Durante esta primera etapa logramos traducir la problemática operacional de Bowling Services en una solución tecnológica formal: levantamos y consensuamos los 20 requerimientos funcionales y 4 no funcionales con la empresa, diseñamos los flujos de trabajo de mantenimiento y comprobamos experimentalmente la viabilidad de comunicar una aplicación móvil con los servicios en la nube de Supabase a costo cero.</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Nivel meta al cierre (Fase 3): </w:t>
      </w:r>
      <w:r w:rsidDel="00000000" w:rsidR="00000000" w:rsidRPr="00000000">
        <w:rPr>
          <w:rtl w:val="0"/>
        </w:rPr>
        <w:t xml:space="preserve">Nuestro objetivo es culminar el semestre alcanzando un TRL 6 (prototipo validado en entorno relevante). El propósito central del MVP es llevar a cabo pruebas de campo y una marcha blanca piloto directamente en los recintos comerciales de Bowling Services. En esta fase, los técnicos utilizarán la aplicación in situ para escanear las máquinas en sala (como pinsetters, arcades o flippers), registrar pautas con fotos y comprobar la persistencia offline en un entorno real de trabajo. Al mismo tiempo, la administración a cargo de Roberto Pérez auditará estas intervenciones en tiempo real desde el dashboard web para validar la trazabilidad del sistema.</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Justificación de delimitación: </w:t>
      </w:r>
      <w:r w:rsidDel="00000000" w:rsidR="00000000" w:rsidRPr="00000000">
        <w:rPr>
          <w:rtl w:val="0"/>
        </w:rPr>
        <w:t xml:space="preserve">Apuntar a un TRL 7 o superior (sistema validado e integrado de forma permanente en un entorno operacional real) excede los tiempos y el alcance de esta fase de desarrollo. Lograr un TRL 7 exigiría que el sistema reemplace definitivamente las hojas de Excel actuales, opere sin soporte intensivo del equipo de desarrollo y soporte la carga total del negocio de forma ininterrumpida. Por lo tanto, un TRL 6 representa la meta ideal para este MVP: asegura una demostración funcional rigurosa directamente en el terreno (las salas de juego) y valida la solución con los usuarios finales, sin poner en riesgo la operación crítica de la empresa prematuramente.</w:t>
      </w:r>
    </w:p>
    <w:p w:rsidR="00000000" w:rsidDel="00000000" w:rsidP="00000000" w:rsidRDefault="00000000" w:rsidRPr="00000000" w14:paraId="0000003C">
      <w:pPr>
        <w:pStyle w:val="Heading1"/>
        <w:spacing w:before="280" w:lineRule="auto"/>
        <w:rPr/>
      </w:pPr>
      <w:bookmarkStart w:colFirst="0" w:colLast="0" w:name="_heading=h.jf9btlfcj06c" w:id="24"/>
      <w:bookmarkEnd w:id="24"/>
      <w:r w:rsidDel="00000000" w:rsidR="00000000" w:rsidRPr="00000000">
        <w:rPr>
          <w:rtl w:val="0"/>
        </w:rPr>
        <w:t xml:space="preserve">3. Arquitectura de Desarrollo del Proyecto</w:t>
      </w:r>
    </w:p>
    <w:p w:rsidR="00000000" w:rsidDel="00000000" w:rsidP="00000000" w:rsidRDefault="00000000" w:rsidRPr="00000000" w14:paraId="0000003D">
      <w:pPr>
        <w:spacing w:after="240" w:before="240" w:lineRule="auto"/>
        <w:rPr/>
      </w:pPr>
      <w:r w:rsidDel="00000000" w:rsidR="00000000" w:rsidRPr="00000000">
        <w:rPr>
          <w:rtl w:val="0"/>
        </w:rPr>
        <w:t xml:space="preserve">Diseñamos una arquitectura desacoplada y orientada a servicios en la nube (Backend as a Service), pensada para ser ligera, fácil de mantener y altamente resistente a problemas de conectividad en terreno. La solución se organiza en tres piezas fundamentales: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A. Frente Operativo en Terreno (Aplicación Móvil)</w:t>
      </w:r>
    </w:p>
    <w:p w:rsidR="00000000" w:rsidDel="00000000" w:rsidP="00000000" w:rsidRDefault="00000000" w:rsidRPr="00000000" w14:paraId="0000003F">
      <w:pPr>
        <w:numPr>
          <w:ilvl w:val="0"/>
          <w:numId w:val="3"/>
        </w:numPr>
        <w:spacing w:after="0" w:before="240" w:lineRule="auto"/>
        <w:ind w:left="720" w:hanging="360"/>
        <w:rPr/>
      </w:pPr>
      <w:r w:rsidDel="00000000" w:rsidR="00000000" w:rsidRPr="00000000">
        <w:rPr>
          <w:b w:val="1"/>
          <w:bCs w:val="1"/>
          <w:rtl w:val="0"/>
        </w:rPr>
        <w:t xml:space="preserve">Tecnologías:</w:t>
      </w:r>
      <w:r w:rsidDel="00000000" w:rsidR="00000000" w:rsidRPr="00000000">
        <w:rPr>
          <w:rtl w:val="0"/>
        </w:rPr>
        <w:t xml:space="preserve"> React Native con Expo (desarrollada como PWA con opción a empaquetado APK) y almacenamiento local en dispositivo.</w:t>
      </w:r>
    </w:p>
    <w:p w:rsidR="00000000" w:rsidDel="00000000" w:rsidP="00000000" w:rsidRDefault="00000000" w:rsidRPr="00000000" w14:paraId="00000040">
      <w:pPr>
        <w:spacing w:after="0" w:before="240" w:lineRule="auto"/>
        <w:ind w:left="720" w:firstLine="0"/>
        <w:rPr/>
      </w:pPr>
      <w:r w:rsidDel="00000000" w:rsidR="00000000" w:rsidRPr="00000000">
        <w:rPr>
          <w:rtl w:val="0"/>
        </w:rPr>
      </w:r>
    </w:p>
    <w:p w:rsidR="00000000" w:rsidDel="00000000" w:rsidP="00000000" w:rsidRDefault="00000000" w:rsidRPr="00000000" w14:paraId="00000041">
      <w:pPr>
        <w:numPr>
          <w:ilvl w:val="0"/>
          <w:numId w:val="3"/>
        </w:numPr>
        <w:spacing w:after="0" w:before="0" w:lineRule="auto"/>
        <w:ind w:left="720" w:hanging="360"/>
        <w:rPr/>
      </w:pPr>
      <w:r w:rsidDel="00000000" w:rsidR="00000000" w:rsidRPr="00000000">
        <w:rPr>
          <w:b w:val="1"/>
          <w:bCs w:val="1"/>
          <w:rtl w:val="0"/>
        </w:rPr>
        <w:t xml:space="preserve">Función:</w:t>
      </w:r>
      <w:r w:rsidDel="00000000" w:rsidR="00000000" w:rsidRPr="00000000">
        <w:rPr>
          <w:rtl w:val="0"/>
        </w:rPr>
        <w:t xml:space="preserve"> Es la herramienta de trabajo del técnico en la sala. Le permite escanear el código QR adherido a cada máquina, cargar de inmediato la pauta correspondiente a esa categoría (bowling, flipper, arcade, etc.), adjuntar fotografías del estado del activo y reportar anomalías.</w:t>
      </w:r>
    </w:p>
    <w:p w:rsidR="00000000" w:rsidDel="00000000" w:rsidP="00000000" w:rsidRDefault="00000000" w:rsidRPr="00000000" w14:paraId="00000042">
      <w:pPr>
        <w:spacing w:after="0" w:before="0" w:lineRule="auto"/>
        <w:ind w:left="720" w:firstLine="0"/>
        <w:rPr/>
      </w:pPr>
      <w:r w:rsidDel="00000000" w:rsidR="00000000" w:rsidRPr="00000000">
        <w:rPr>
          <w:rtl w:val="0"/>
        </w:rPr>
      </w:r>
    </w:p>
    <w:p w:rsidR="00000000" w:rsidDel="00000000" w:rsidP="00000000" w:rsidRDefault="00000000" w:rsidRPr="00000000" w14:paraId="00000043">
      <w:pPr>
        <w:numPr>
          <w:ilvl w:val="0"/>
          <w:numId w:val="3"/>
        </w:numPr>
        <w:spacing w:after="240" w:before="0" w:lineRule="auto"/>
        <w:ind w:left="720" w:hanging="360"/>
        <w:rPr/>
      </w:pPr>
      <w:r w:rsidDel="00000000" w:rsidR="00000000" w:rsidRPr="00000000">
        <w:rPr>
          <w:b w:val="1"/>
          <w:bCs w:val="1"/>
          <w:rtl w:val="0"/>
        </w:rPr>
        <w:t xml:space="preserve">Justificación de conexión:</w:t>
      </w:r>
      <w:r w:rsidDel="00000000" w:rsidR="00000000" w:rsidRPr="00000000">
        <w:rPr>
          <w:rtl w:val="0"/>
        </w:rPr>
        <w:t xml:space="preserve"> Incorpora persistencia local para asegurar continuidad operativa. Si el técnico baja a un subterráneo sin cobertura, la aplicación no se bloquea ni pierde los datos ingresados; retiene la información en el teléfono y, apenas detecta que volvió la señal, se comunica con los endpoints de Supabase para subir las fotos y registrar la mantención automáticamente.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B. Frente Administrativo (Plataforma Web)</w:t>
      </w:r>
    </w:p>
    <w:p w:rsidR="00000000" w:rsidDel="00000000" w:rsidP="00000000" w:rsidRDefault="00000000" w:rsidRPr="00000000" w14:paraId="00000045">
      <w:pPr>
        <w:numPr>
          <w:ilvl w:val="0"/>
          <w:numId w:val="4"/>
        </w:numPr>
        <w:spacing w:after="0" w:before="240" w:lineRule="auto"/>
        <w:ind w:left="720" w:hanging="360"/>
        <w:rPr/>
      </w:pPr>
      <w:r w:rsidDel="00000000" w:rsidR="00000000" w:rsidRPr="00000000">
        <w:rPr>
          <w:b w:val="1"/>
          <w:bCs w:val="1"/>
          <w:rtl w:val="0"/>
        </w:rPr>
        <w:t xml:space="preserve">Tecnologías: </w:t>
      </w:r>
      <w:r w:rsidDel="00000000" w:rsidR="00000000" w:rsidRPr="00000000">
        <w:rPr>
          <w:rtl w:val="0"/>
        </w:rPr>
        <w:t xml:space="preserve">Vue 3 junto a Vite para una carga ultrarrápida, TailwindCSS para una interfaz limpia, y Vercel para el despliegue cloud.</w:t>
      </w:r>
    </w:p>
    <w:p w:rsidR="00000000" w:rsidDel="00000000" w:rsidP="00000000" w:rsidRDefault="00000000" w:rsidRPr="00000000" w14:paraId="00000046">
      <w:pPr>
        <w:spacing w:after="0" w:before="240" w:lineRule="auto"/>
        <w:ind w:left="720" w:firstLine="0"/>
        <w:rPr/>
      </w:pPr>
      <w:r w:rsidDel="00000000" w:rsidR="00000000" w:rsidRPr="00000000">
        <w:rPr>
          <w:rtl w:val="0"/>
        </w:rPr>
      </w:r>
    </w:p>
    <w:p w:rsidR="00000000" w:rsidDel="00000000" w:rsidP="00000000" w:rsidRDefault="00000000" w:rsidRPr="00000000" w14:paraId="00000047">
      <w:pPr>
        <w:numPr>
          <w:ilvl w:val="0"/>
          <w:numId w:val="4"/>
        </w:numPr>
        <w:spacing w:after="0" w:before="0" w:lineRule="auto"/>
        <w:ind w:left="720" w:hanging="360"/>
        <w:rPr/>
      </w:pPr>
      <w:r w:rsidDel="00000000" w:rsidR="00000000" w:rsidRPr="00000000">
        <w:rPr>
          <w:b w:val="1"/>
          <w:bCs w:val="1"/>
          <w:rtl w:val="0"/>
        </w:rPr>
        <w:t xml:space="preserve">Función:</w:t>
      </w:r>
      <w:r w:rsidDel="00000000" w:rsidR="00000000" w:rsidRPr="00000000">
        <w:rPr>
          <w:rtl w:val="0"/>
        </w:rPr>
        <w:t xml:space="preserve"> Es el centro de mando para Roberto Pérez y la administración. Desde aquí se monitorean las métricas de fallas, se revisa el estado de las máquinas filtrando por cada sucursal (Local 1 a 6), se audita el historial de intervenciones y se generan los códigos QR para imprimir y pegar en los equipos.</w:t>
      </w:r>
    </w:p>
    <w:p w:rsidR="00000000" w:rsidDel="00000000" w:rsidP="00000000" w:rsidRDefault="00000000" w:rsidRPr="00000000" w14:paraId="00000048">
      <w:pPr>
        <w:spacing w:after="0" w:before="0" w:lineRule="auto"/>
        <w:ind w:left="720" w:firstLine="0"/>
        <w:rPr/>
      </w:pPr>
      <w:r w:rsidDel="00000000" w:rsidR="00000000" w:rsidRPr="00000000">
        <w:rPr>
          <w:rtl w:val="0"/>
        </w:rPr>
      </w:r>
    </w:p>
    <w:p w:rsidR="00000000" w:rsidDel="00000000" w:rsidP="00000000" w:rsidRDefault="00000000" w:rsidRPr="00000000" w14:paraId="00000049">
      <w:pPr>
        <w:numPr>
          <w:ilvl w:val="0"/>
          <w:numId w:val="4"/>
        </w:numPr>
        <w:spacing w:after="240" w:before="0" w:lineRule="auto"/>
        <w:ind w:left="720" w:hanging="360"/>
        <w:rPr/>
      </w:pPr>
      <w:r w:rsidDel="00000000" w:rsidR="00000000" w:rsidRPr="00000000">
        <w:rPr>
          <w:b w:val="1"/>
          <w:bCs w:val="1"/>
          <w:rtl w:val="0"/>
        </w:rPr>
        <w:t xml:space="preserve">Justificación de conexión:</w:t>
      </w:r>
      <w:r w:rsidDel="00000000" w:rsidR="00000000" w:rsidRPr="00000000">
        <w:rPr>
          <w:rtl w:val="0"/>
        </w:rPr>
        <w:t xml:space="preserve"> La web se aloja en los servidores de borde (Edge) de Vercel bajo su capa gratuita. Se conecta de forma directa y segura a la base de datos mediante llamadas asíncronas y canales en tiempo real, lo que permite que el administrador vea reflejada una mantención en su pantalla casi al instante en que el técnico la concluye en sala.</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C. Capa Cloud y Base de Datos Central (Backend)</w:t>
      </w:r>
    </w:p>
    <w:p w:rsidR="00000000" w:rsidDel="00000000" w:rsidP="00000000" w:rsidRDefault="00000000" w:rsidRPr="00000000" w14:paraId="0000004B">
      <w:pPr>
        <w:numPr>
          <w:ilvl w:val="0"/>
          <w:numId w:val="1"/>
        </w:numPr>
        <w:spacing w:after="0" w:before="240" w:lineRule="auto"/>
        <w:ind w:left="720" w:hanging="360"/>
        <w:rPr/>
      </w:pPr>
      <w:r w:rsidDel="00000000" w:rsidR="00000000" w:rsidRPr="00000000">
        <w:rPr>
          <w:b w:val="1"/>
          <w:bCs w:val="1"/>
          <w:rtl w:val="0"/>
        </w:rPr>
        <w:t xml:space="preserve">Tecnologías:</w:t>
      </w:r>
      <w:r w:rsidDel="00000000" w:rsidR="00000000" w:rsidRPr="00000000">
        <w:rPr>
          <w:rtl w:val="0"/>
        </w:rPr>
        <w:t xml:space="preserve"> Supabase Platform (Backend as a Service) y PostgreSQL con soporte para estructuras JSONB.</w:t>
      </w:r>
    </w:p>
    <w:p w:rsidR="00000000" w:rsidDel="00000000" w:rsidP="00000000" w:rsidRDefault="00000000" w:rsidRPr="00000000" w14:paraId="0000004C">
      <w:pPr>
        <w:spacing w:after="0" w:before="240" w:lineRule="auto"/>
        <w:ind w:left="720" w:firstLine="0"/>
        <w:rPr/>
      </w:pPr>
      <w:r w:rsidDel="00000000" w:rsidR="00000000" w:rsidRPr="00000000">
        <w:rPr>
          <w:rtl w:val="0"/>
        </w:rPr>
      </w:r>
    </w:p>
    <w:p w:rsidR="00000000" w:rsidDel="00000000" w:rsidP="00000000" w:rsidRDefault="00000000" w:rsidRPr="00000000" w14:paraId="0000004D">
      <w:pPr>
        <w:numPr>
          <w:ilvl w:val="0"/>
          <w:numId w:val="1"/>
        </w:numPr>
        <w:spacing w:after="0" w:before="0" w:lineRule="auto"/>
        <w:ind w:left="720" w:hanging="360"/>
        <w:rPr/>
      </w:pPr>
      <w:r w:rsidDel="00000000" w:rsidR="00000000" w:rsidRPr="00000000">
        <w:rPr>
          <w:b w:val="1"/>
          <w:bCs w:val="1"/>
          <w:rtl w:val="0"/>
        </w:rPr>
        <w:t xml:space="preserve">Función:</w:t>
      </w:r>
      <w:r w:rsidDel="00000000" w:rsidR="00000000" w:rsidRPr="00000000">
        <w:rPr>
          <w:rtl w:val="0"/>
        </w:rPr>
        <w:t xml:space="preserve"> Funciona como el repositorio central y único de la información. Administra el acceso por roles (separando lo que puede hacer un técnico de un administrador), almacena los archivos fotográficos en su bucket de Storage y guarda tanto los datos relacionales de los locales como las listas de chequeo dinámicas en formato JSONB.</w:t>
      </w:r>
    </w:p>
    <w:p w:rsidR="00000000" w:rsidDel="00000000" w:rsidP="00000000" w:rsidRDefault="00000000" w:rsidRPr="00000000" w14:paraId="0000004E">
      <w:pPr>
        <w:spacing w:after="0" w:before="0" w:lineRule="auto"/>
        <w:ind w:left="720" w:firstLine="0"/>
        <w:rPr/>
      </w:pPr>
      <w:r w:rsidDel="00000000" w:rsidR="00000000" w:rsidRPr="00000000">
        <w:rPr>
          <w:rtl w:val="0"/>
        </w:rPr>
      </w:r>
    </w:p>
    <w:p w:rsidR="00000000" w:rsidDel="00000000" w:rsidP="00000000" w:rsidRDefault="00000000" w:rsidRPr="00000000" w14:paraId="0000004F">
      <w:pPr>
        <w:numPr>
          <w:ilvl w:val="0"/>
          <w:numId w:val="1"/>
        </w:numPr>
        <w:spacing w:after="240" w:before="0" w:lineRule="auto"/>
        <w:ind w:left="720" w:hanging="360"/>
        <w:rPr/>
      </w:pPr>
      <w:r w:rsidDel="00000000" w:rsidR="00000000" w:rsidRPr="00000000">
        <w:rPr>
          <w:b w:val="1"/>
          <w:bCs w:val="1"/>
          <w:rtl w:val="0"/>
        </w:rPr>
        <w:t xml:space="preserve">Justificación de conexión : </w:t>
      </w:r>
      <w:r w:rsidDel="00000000" w:rsidR="00000000" w:rsidRPr="00000000">
        <w:rPr>
          <w:rtl w:val="0"/>
        </w:rPr>
        <w:t xml:space="preserve">Al utilizar PostgreSQL con Supabase, nos evitamos tener que programar y mantener un servidor backend tradicional desde cero. La plataforma genera APIs seguras de forma automática y nos permite operar con un presupuesto de infraestructura de $0, cumpliendo con las limitaciones de costos del proyecto y facilitando la conexión simultánea de la app móvil y la web.</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Diagrama de la arquitectura del sistema:</w:t>
      </w:r>
    </w:p>
    <w:p w:rsidR="00000000" w:rsidDel="00000000" w:rsidP="00000000" w:rsidRDefault="00000000" w:rsidRPr="00000000" w14:paraId="00000052">
      <w:pPr>
        <w:rPr/>
      </w:pPr>
      <w:r w:rsidDel="00000000" w:rsidR="00000000" w:rsidRPr="00000000">
        <w:rPr/>
        <w:drawing>
          <wp:inline distB="114300" distT="114300" distL="114300" distR="114300">
            <wp:extent cx="5731200" cy="9652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hyperlink r:id="rId8">
        <w:r w:rsidDel="00000000" w:rsidR="00000000" w:rsidRPr="00000000">
          <w:rPr>
            <w:color w:val="1155cc"/>
            <w:u w:val="single"/>
            <w:rtl w:val="0"/>
          </w:rPr>
          <w:t xml:space="preserve">Link del Diagrama</w:t>
        </w:r>
      </w:hyperlink>
      <w:r w:rsidDel="00000000" w:rsidR="00000000" w:rsidRPr="00000000">
        <w:rPr>
          <w:rtl w:val="0"/>
        </w:rPr>
      </w:r>
    </w:p>
    <w:sectPr>
      <w:headerReference r:id="rId9" w:type="default"/>
      <w:headerReference r:id="rId10" w:type="firs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4073850</wp:posOffset>
          </wp:positionH>
          <wp:positionV relativeFrom="paragraph">
            <wp:posOffset>-133348</wp:posOffset>
          </wp:positionV>
          <wp:extent cx="1658303" cy="372107"/>
          <wp:effectExtent b="0" l="0" r="0" t="0"/>
          <wp:wrapSquare wrapText="bothSides" distB="0" distT="0" distL="114300" distR="114300"/>
          <wp:docPr descr="http://www.duoc.cl/normasgraficas/normasgraficas/marca-duoc/6logo-fondo-transparente/fondo-transparente.png" id="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658303" cy="37210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846300</wp:posOffset>
          </wp:positionH>
          <wp:positionV relativeFrom="paragraph">
            <wp:posOffset>-371473</wp:posOffset>
          </wp:positionV>
          <wp:extent cx="4038600" cy="67564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038600" cy="675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ermaid.ai/d/b45ae8de-da62-4f5e-a21c-23bafa19415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rcZOFzfHK830UOXKdHPpVToz3w==">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