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7B2" w14:textId="5D28984C" w:rsidR="001866B8" w:rsidRPr="001866B8" w:rsidRDefault="001866B8" w:rsidP="001866B8">
      <w:pPr>
        <w:rPr>
          <w:b/>
          <w:bCs/>
        </w:rPr>
      </w:pPr>
      <w:r w:rsidRPr="001866B8">
        <w:rPr>
          <w:b/>
          <w:bCs/>
        </w:rPr>
        <w:t>Purpose</w:t>
      </w:r>
      <w:r>
        <w:rPr>
          <w:b/>
          <w:bCs/>
        </w:rPr>
        <w:t xml:space="preserve">: </w:t>
      </w:r>
      <w:proofErr w:type="spellStart"/>
      <w:r w:rsidRPr="001866B8">
        <w:t>Agatston</w:t>
      </w:r>
      <w:proofErr w:type="spellEnd"/>
      <w:r w:rsidRPr="001866B8">
        <w:t xml:space="preserve"> scoring, the traditional method for measuring coronary artery calcium, is limited in its ability to accurately quantify low-density calcifications, among other things. The inaccuracy of </w:t>
      </w:r>
      <w:proofErr w:type="spellStart"/>
      <w:r w:rsidRPr="001866B8">
        <w:t>Agatston</w:t>
      </w:r>
      <w:proofErr w:type="spellEnd"/>
      <w:r w:rsidRPr="001866B8">
        <w:t xml:space="preserve"> scoring is likely due partly to the arbitrary thresholding requirement of </w:t>
      </w:r>
      <w:proofErr w:type="spellStart"/>
      <w:r w:rsidRPr="001866B8">
        <w:t>Agatston</w:t>
      </w:r>
      <w:proofErr w:type="spellEnd"/>
      <w:r w:rsidRPr="001866B8">
        <w:t xml:space="preserve"> scoring. A calcium quantification technique that removes the need for arbitrary thresholding and is more sensitive is needed. Improvements to calcium scoring will likely improve patient risk stratification and outcome.</w:t>
      </w:r>
    </w:p>
    <w:p w14:paraId="1592D9C8" w14:textId="77777777" w:rsidR="001866B8" w:rsidRDefault="001866B8" w:rsidP="001866B8">
      <w:pPr>
        <w:rPr>
          <w:b/>
          <w:bCs/>
        </w:rPr>
      </w:pPr>
    </w:p>
    <w:p w14:paraId="0948BCA0" w14:textId="77777777" w:rsidR="001866B8" w:rsidRDefault="001866B8" w:rsidP="001866B8">
      <w:pPr>
        <w:rPr>
          <w:b/>
          <w:bCs/>
        </w:rPr>
      </w:pPr>
      <w:r w:rsidRPr="001866B8">
        <w:rPr>
          <w:b/>
          <w:bCs/>
        </w:rPr>
        <w:t>Materials and Methods</w:t>
      </w:r>
      <w:r>
        <w:rPr>
          <w:b/>
          <w:bCs/>
        </w:rPr>
        <w:t xml:space="preserve">: </w:t>
      </w:r>
      <w:r w:rsidRPr="001866B8">
        <w:t xml:space="preserve">Volume fraction calcium mass requires no thresholding and includes all calcium information within an image. This study utilized phantom images acquired by G van </w:t>
      </w:r>
      <w:proofErr w:type="spellStart"/>
      <w:r w:rsidRPr="001866B8">
        <w:t>Praagh</w:t>
      </w:r>
      <w:proofErr w:type="spellEnd"/>
      <w:r w:rsidRPr="001866B8">
        <w:t xml:space="preserve"> et al., with calcium hydroxyapatite (HA) densities in the range of 200-800 mgHAcm-3 to measure calcium according to integrated calcium mass and </w:t>
      </w:r>
      <w:proofErr w:type="spellStart"/>
      <w:r w:rsidRPr="001866B8">
        <w:t>Agatston</w:t>
      </w:r>
      <w:proofErr w:type="spellEnd"/>
      <w:r w:rsidRPr="001866B8">
        <w:t xml:space="preserve"> scoring. The calcium mass was known, which allowed for accuracy and sensitivity comparisons between volume fraction calcium mass, </w:t>
      </w:r>
      <w:proofErr w:type="spellStart"/>
      <w:r w:rsidRPr="001866B8">
        <w:t>Agatston</w:t>
      </w:r>
      <w:proofErr w:type="spellEnd"/>
      <w:r w:rsidRPr="001866B8">
        <w:t xml:space="preserve"> scoring, and spatially weighted calcium scoring. Multiple CT vendors (Canon, GE, Philips, Siemens) were used during the image acquisition phase, which provided a more robust comparison between the two calcium scoring techniques. Three calcification inserts of different diameters (1, 3, and 5 mm) and different HA densities (200, 400, and 800 mgHAcm-3) were placed within the phantom.</w:t>
      </w:r>
    </w:p>
    <w:p w14:paraId="29AD7EE3" w14:textId="77777777" w:rsidR="001866B8" w:rsidRDefault="001866B8" w:rsidP="001866B8">
      <w:pPr>
        <w:rPr>
          <w:b/>
          <w:bCs/>
        </w:rPr>
      </w:pPr>
    </w:p>
    <w:p w14:paraId="51DDA077" w14:textId="526B4F24" w:rsidR="00A33A39" w:rsidRPr="00241AAA" w:rsidRDefault="001866B8" w:rsidP="00A33A39">
      <w:pPr>
        <w:rPr>
          <w:rFonts w:eastAsiaTheme="minorEastAsia"/>
          <w:i/>
        </w:rPr>
      </w:pPr>
      <w:r w:rsidRPr="001866B8">
        <w:rPr>
          <w:b/>
          <w:bCs/>
        </w:rPr>
        <w:t>Results</w:t>
      </w:r>
      <w:r>
        <w:rPr>
          <w:b/>
          <w:bCs/>
        </w:rPr>
        <w:t xml:space="preserve">: </w:t>
      </w:r>
      <w:r w:rsidR="00A33A39" w:rsidRPr="00A33A39">
        <w:t xml:space="preserve">Volume fraction mass was less accurate than </w:t>
      </w:r>
      <w:proofErr w:type="spellStart"/>
      <w:r w:rsidR="00A33A39" w:rsidRPr="00A33A39">
        <w:t>Agatston</w:t>
      </w:r>
      <w:proofErr w:type="spellEnd"/>
      <w:r w:rsidR="00A33A39" w:rsidRPr="00A33A39">
        <w:t xml:space="preserve"> scoring for stationary scans (</w:t>
      </w:r>
      <m:oMath>
        <m:r>
          <w:rPr>
            <w:rFonts w:ascii="Cambria Math" w:hAnsi="Cambria Math"/>
          </w:rPr>
          <m:t>RMS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VolumeFraction</m:t>
            </m:r>
          </m:sub>
        </m:sSub>
        <m:r>
          <w:rPr>
            <w:rFonts w:ascii="Cambria Math" w:hAnsi="Cambria Math"/>
          </w:rPr>
          <m:t>=2.87</m:t>
        </m:r>
      </m:oMath>
      <w:r w:rsidR="00A33A39" w:rsidRPr="00A33A39">
        <w:rPr>
          <w:i/>
          <w:iCs/>
        </w:rPr>
        <w:t xml:space="preserve">, </w:t>
      </w:r>
      <m:oMath>
        <m:r>
          <w:rPr>
            <w:rFonts w:ascii="Cambria Math" w:hAnsi="Cambria Math"/>
          </w:rPr>
          <m:t>RMS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Agatson</m:t>
            </m:r>
          </m:sub>
        </m:sSub>
        <m:r>
          <w:rPr>
            <w:rFonts w:ascii="Cambria Math" w:hAnsi="Cambria Math"/>
          </w:rPr>
          <m:t>=4.07</m:t>
        </m:r>
      </m:oMath>
      <w:r w:rsidR="00A33A39" w:rsidRPr="00A33A39">
        <w:t xml:space="preserve">). Spatially weighted calcium scoring produces an arbitrary score and was, therefore, removed from the accuracy analysis. The percentage of false-negative and false-positive calcium scores was lower for volume fraction calcium mass (13.61%, 0.00%) than </w:t>
      </w:r>
      <w:proofErr w:type="spellStart"/>
      <w:r w:rsidR="00A33A39" w:rsidRPr="00A33A39">
        <w:t>Agatston</w:t>
      </w:r>
      <w:proofErr w:type="spellEnd"/>
      <w:r w:rsidR="00A33A39" w:rsidRPr="00A33A39">
        <w:t xml:space="preserve"> scoring (28.33%, 6.67%) and spatially weighted calcium scoring (25.83%, 15.83%). Volume fraction calcium mass produced 49 false-negative zero-CAC scores out of 360 total measurements. Spatially weighted calcium scoring produced 93 false-negative zero-CAC scores out of 360 total measurements. </w:t>
      </w:r>
      <w:proofErr w:type="spellStart"/>
      <w:r w:rsidR="00A33A39" w:rsidRPr="00A33A39">
        <w:t>Agatston</w:t>
      </w:r>
      <w:proofErr w:type="spellEnd"/>
      <w:r w:rsidR="00A33A39" w:rsidRPr="00A33A39">
        <w:t xml:space="preserve"> scoring produced 102 false-negative zero-CAC scores out of 360 total measurements. Volume fraction calcium mass produced zero false-positive (CAC=0) scores out of 120 total measurements. Spatially weighted calcium scoring produced 19 false-negative zero-CAC scores out of 120 total measurements. </w:t>
      </w:r>
      <w:proofErr w:type="spellStart"/>
      <w:r w:rsidR="00A33A39" w:rsidRPr="00A33A39">
        <w:t>Agatston</w:t>
      </w:r>
      <w:proofErr w:type="spellEnd"/>
      <w:r w:rsidR="00A33A39" w:rsidRPr="00A33A39">
        <w:t xml:space="preserve"> scoring produced eight false-negative zero-CAC scores out of 120 total measurements.</w:t>
      </w:r>
    </w:p>
    <w:p w14:paraId="4E0C2D3A" w14:textId="3E61CB2C" w:rsidR="001866B8" w:rsidRDefault="001866B8" w:rsidP="001866B8">
      <w:pPr>
        <w:rPr>
          <w:b/>
          <w:bCs/>
        </w:rPr>
      </w:pPr>
    </w:p>
    <w:p w14:paraId="6C63CB15" w14:textId="5E286088" w:rsidR="001866B8" w:rsidRPr="001866B8" w:rsidRDefault="001866B8" w:rsidP="001866B8">
      <w:pPr>
        <w:rPr>
          <w:b/>
          <w:bCs/>
        </w:rPr>
      </w:pPr>
      <w:r w:rsidRPr="001866B8">
        <w:rPr>
          <w:b/>
          <w:bCs/>
        </w:rPr>
        <w:t>Conclusions</w:t>
      </w:r>
      <w:r>
        <w:rPr>
          <w:b/>
          <w:bCs/>
        </w:rPr>
        <w:t xml:space="preserve">: </w:t>
      </w:r>
      <w:r w:rsidRPr="001866B8">
        <w:t xml:space="preserve">The results of this study indicate that volume fraction calcium mass is more sensitive than </w:t>
      </w:r>
      <w:proofErr w:type="spellStart"/>
      <w:r w:rsidRPr="001866B8">
        <w:t>Agatston</w:t>
      </w:r>
      <w:proofErr w:type="spellEnd"/>
      <w:r w:rsidRPr="001866B8">
        <w:t xml:space="preserve"> and spatially weighted calcium scoring on a variety of different CT vendors.</w:t>
      </w:r>
    </w:p>
    <w:p w14:paraId="5D56CEB0" w14:textId="77777777" w:rsidR="001866B8" w:rsidRDefault="001866B8" w:rsidP="001866B8">
      <w:pPr>
        <w:rPr>
          <w:b/>
          <w:bCs/>
        </w:rPr>
      </w:pPr>
    </w:p>
    <w:p w14:paraId="0712BC9B" w14:textId="3D959AE2" w:rsidR="0012365E" w:rsidRDefault="001866B8">
      <w:pPr>
        <w:rPr>
          <w:b/>
          <w:bCs/>
        </w:rPr>
      </w:pPr>
      <w:r w:rsidRPr="001866B8">
        <w:rPr>
          <w:b/>
          <w:bCs/>
        </w:rPr>
        <w:t>Clinical Significance</w:t>
      </w:r>
      <w:r>
        <w:rPr>
          <w:b/>
          <w:bCs/>
        </w:rPr>
        <w:t xml:space="preserve">: </w:t>
      </w:r>
      <w:r w:rsidRPr="001866B8">
        <w:t>The substantial reduction in false-negative scores for volume fraction calcium mass is likely to improve risk-stratification for patients undergoing calcium scoring and their potential outcome.</w:t>
      </w:r>
    </w:p>
    <w:p w14:paraId="2F63A72B" w14:textId="1D10F903" w:rsidR="00A33A39" w:rsidRDefault="00A33A39">
      <w:pPr>
        <w:rPr>
          <w:b/>
          <w:bCs/>
        </w:rPr>
      </w:pPr>
    </w:p>
    <w:p w14:paraId="2F2D9A25" w14:textId="037F3DCF" w:rsidR="00A33A39" w:rsidRDefault="00A33A39">
      <w:pPr>
        <w:rPr>
          <w:b/>
          <w:bCs/>
        </w:rPr>
      </w:pPr>
      <w:r>
        <w:rPr>
          <w:b/>
          <w:bCs/>
        </w:rPr>
        <w:br w:type="page"/>
      </w:r>
    </w:p>
    <w:p w14:paraId="1D4B2132" w14:textId="284AD4FD" w:rsidR="00A33A39" w:rsidRPr="00A33A39" w:rsidRDefault="00A33A39" w:rsidP="00A33A39">
      <w:pPr>
        <w:rPr>
          <w:rFonts w:ascii="Times New Roman" w:eastAsia="Times New Roman" w:hAnsi="Times New Roman" w:cs="Times New Roman"/>
        </w:rPr>
      </w:pPr>
      <w:r w:rsidRPr="00A33A39">
        <w:rPr>
          <w:rFonts w:ascii="Times New Roman" w:eastAsia="Times New Roman" w:hAnsi="Times New Roman" w:cs="Times New Roman"/>
        </w:rPr>
        <w:lastRenderedPageBreak/>
        <w:fldChar w:fldCharType="begin"/>
      </w:r>
      <w:r w:rsidRPr="00A33A39">
        <w:rPr>
          <w:rFonts w:ascii="Times New Roman" w:eastAsia="Times New Roman" w:hAnsi="Times New Roman" w:cs="Times New Roman"/>
        </w:rPr>
        <w:instrText xml:space="preserve"> INCLUDEPICTURE "/var/folders/t3/_k26tgtj7cv96l4vy3pxk5nw0000gn/T/com.microsoft.Word/WebArchiveCopyPasteTempFiles/388f7df7-4c1e-4098-8c7c-8f7d8dc963de" \* MERGEFORMATINET </w:instrText>
      </w:r>
      <w:r w:rsidRPr="00A33A39">
        <w:rPr>
          <w:rFonts w:ascii="Times New Roman" w:eastAsia="Times New Roman" w:hAnsi="Times New Roman" w:cs="Times New Roman"/>
        </w:rPr>
        <w:fldChar w:fldCharType="separate"/>
      </w:r>
      <w:r w:rsidRPr="00A33A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6C3572" wp14:editId="2E71A3BD">
            <wp:extent cx="3666303" cy="3666303"/>
            <wp:effectExtent l="0" t="0" r="444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54" cy="370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A39">
        <w:rPr>
          <w:rFonts w:ascii="Times New Roman" w:eastAsia="Times New Roman" w:hAnsi="Times New Roman" w:cs="Times New Roman"/>
        </w:rPr>
        <w:fldChar w:fldCharType="end"/>
      </w:r>
    </w:p>
    <w:p w14:paraId="5C965F5D" w14:textId="2F463F03" w:rsidR="00A33A39" w:rsidRPr="00A33A39" w:rsidRDefault="00A33A39" w:rsidP="00A33A39">
      <w:pPr>
        <w:rPr>
          <w:rFonts w:ascii="Times New Roman" w:hAnsi="Times New Roman" w:cs="Times New Roman"/>
        </w:rPr>
      </w:pPr>
      <w:r w:rsidRPr="00A33A39">
        <w:rPr>
          <w:rFonts w:ascii="Times New Roman" w:hAnsi="Times New Roman" w:cs="Times New Roman"/>
        </w:rPr>
        <w:t>Fig. 1 Shows (A) sketch of the small QRM-Thorax phantom with the cardiac calcification insert phantom located in the center. (B)</w:t>
      </w:r>
      <w:r>
        <w:rPr>
          <w:rFonts w:ascii="Times New Roman" w:hAnsi="Times New Roman" w:cs="Times New Roman"/>
        </w:rPr>
        <w:t xml:space="preserve"> A</w:t>
      </w:r>
      <w:r w:rsidRPr="00A33A39">
        <w:rPr>
          <w:rFonts w:ascii="Times New Roman" w:hAnsi="Times New Roman" w:cs="Times New Roman"/>
        </w:rPr>
        <w:t xml:space="preserve">xial and lateral sketch of the cardiac calcification insert phantom. (C) </w:t>
      </w:r>
      <w:r>
        <w:rPr>
          <w:rFonts w:ascii="Times New Roman" w:hAnsi="Times New Roman" w:cs="Times New Roman"/>
        </w:rPr>
        <w:t>S</w:t>
      </w:r>
      <w:r w:rsidRPr="00A33A39">
        <w:rPr>
          <w:rFonts w:ascii="Times New Roman" w:hAnsi="Times New Roman" w:cs="Times New Roman"/>
        </w:rPr>
        <w:t xml:space="preserve">lice containing the calcification inserts on the large phantom acquired by the Canon scanner. (D) </w:t>
      </w:r>
      <w:r>
        <w:rPr>
          <w:rFonts w:ascii="Times New Roman" w:hAnsi="Times New Roman" w:cs="Times New Roman"/>
        </w:rPr>
        <w:t>S</w:t>
      </w:r>
      <w:r w:rsidRPr="00A33A39">
        <w:rPr>
          <w:rFonts w:ascii="Times New Roman" w:hAnsi="Times New Roman" w:cs="Times New Roman"/>
        </w:rPr>
        <w:t>lice containing the calibration rod on the small phantom acquired by the Philips scanner.</w:t>
      </w:r>
    </w:p>
    <w:p w14:paraId="7ED00AFF" w14:textId="13C4E55A" w:rsidR="00A33A39" w:rsidRPr="00A33A39" w:rsidRDefault="00A33A39" w:rsidP="00A33A39">
      <w:pPr>
        <w:rPr>
          <w:rFonts w:ascii="Times New Roman" w:eastAsia="Times New Roman" w:hAnsi="Times New Roman" w:cs="Times New Roman"/>
        </w:rPr>
      </w:pPr>
      <w:r w:rsidRPr="00A33A39">
        <w:rPr>
          <w:rFonts w:ascii="Times New Roman" w:eastAsia="Times New Roman" w:hAnsi="Times New Roman" w:cs="Times New Roman"/>
        </w:rPr>
        <w:fldChar w:fldCharType="begin"/>
      </w:r>
      <w:r w:rsidRPr="00A33A39">
        <w:rPr>
          <w:rFonts w:ascii="Times New Roman" w:eastAsia="Times New Roman" w:hAnsi="Times New Roman" w:cs="Times New Roman"/>
        </w:rPr>
        <w:instrText xml:space="preserve"> INCLUDEPICTURE "/var/folders/t3/_k26tgtj7cv96l4vy3pxk5nw0000gn/T/com.microsoft.Word/WebArchiveCopyPasteTempFiles/f6b59bc0-08f7-41cf-b5c9-80bee2df4b9d" \* MERGEFORMATINET </w:instrText>
      </w:r>
      <w:r w:rsidRPr="00A33A39">
        <w:rPr>
          <w:rFonts w:ascii="Times New Roman" w:eastAsia="Times New Roman" w:hAnsi="Times New Roman" w:cs="Times New Roman"/>
        </w:rPr>
        <w:fldChar w:fldCharType="separate"/>
      </w:r>
      <w:r w:rsidRPr="00A33A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E225C8" wp14:editId="05C82EED">
            <wp:extent cx="3756256" cy="2817995"/>
            <wp:effectExtent l="0" t="0" r="3175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16" cy="28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A39">
        <w:rPr>
          <w:rFonts w:ascii="Times New Roman" w:eastAsia="Times New Roman" w:hAnsi="Times New Roman" w:cs="Times New Roman"/>
        </w:rPr>
        <w:fldChar w:fldCharType="end"/>
      </w:r>
    </w:p>
    <w:p w14:paraId="3EBEE001" w14:textId="1B15251A" w:rsidR="00A33A39" w:rsidRPr="00A33A39" w:rsidRDefault="00A33A39" w:rsidP="00A33A39">
      <w:pPr>
        <w:rPr>
          <w:rFonts w:ascii="Times New Roman" w:hAnsi="Times New Roman" w:cs="Times New Roman"/>
        </w:rPr>
      </w:pPr>
      <w:r w:rsidRPr="00A33A39">
        <w:rPr>
          <w:rFonts w:ascii="Times New Roman" w:hAnsi="Times New Roman" w:cs="Times New Roman"/>
        </w:rPr>
        <w:t xml:space="preserve">Fig. 2 Shows the percentage of false-negative (CAC=0) scores (A) and false-positive (CAC&gt;0) scores (B), computed by volume fraction calcium mass (left), spatially weighted calcium scoring (middle), and </w:t>
      </w:r>
      <w:proofErr w:type="spellStart"/>
      <w:r w:rsidRPr="00A33A39">
        <w:rPr>
          <w:rFonts w:ascii="Times New Roman" w:hAnsi="Times New Roman" w:cs="Times New Roman"/>
        </w:rPr>
        <w:t>Agatston</w:t>
      </w:r>
      <w:proofErr w:type="spellEnd"/>
      <w:r w:rsidRPr="00A33A39">
        <w:rPr>
          <w:rFonts w:ascii="Times New Roman" w:hAnsi="Times New Roman" w:cs="Times New Roman"/>
        </w:rPr>
        <w:t xml:space="preserve"> scoring (right).</w:t>
      </w:r>
    </w:p>
    <w:p w14:paraId="4372E2CD" w14:textId="77777777" w:rsidR="00A33A39" w:rsidRPr="00A33A39" w:rsidRDefault="00A33A39">
      <w:pPr>
        <w:rPr>
          <w:b/>
          <w:bCs/>
        </w:rPr>
      </w:pPr>
    </w:p>
    <w:sectPr w:rsidR="00A33A39" w:rsidRPr="00A3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3B"/>
    <w:rsid w:val="0012365E"/>
    <w:rsid w:val="001866B8"/>
    <w:rsid w:val="002274F7"/>
    <w:rsid w:val="00241AAA"/>
    <w:rsid w:val="003B6FCA"/>
    <w:rsid w:val="004E7E32"/>
    <w:rsid w:val="00A33A39"/>
    <w:rsid w:val="00B44AA3"/>
    <w:rsid w:val="00C4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1696F"/>
  <w15:chartTrackingRefBased/>
  <w15:docId w15:val="{E42AC264-0780-B34A-BE3E-6DD0683A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6</cp:revision>
  <dcterms:created xsi:type="dcterms:W3CDTF">2023-05-01T00:39:00Z</dcterms:created>
  <dcterms:modified xsi:type="dcterms:W3CDTF">2023-05-01T00:46:00Z</dcterms:modified>
</cp:coreProperties>
</file>