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C262E"/>
          <w:sz w:val="44"/>
          <w:szCs w:val="44"/>
        </w:rPr>
        <w:t xml:space="preserve">Standard Operating Procedure</w:t>
      </w:r>
    </w:p>
    <w:p>
      <w:pPr>
        <w:spacing w:after="40"/>
      </w:pPr>
      <w:r>
        <w:rPr>
          <w:color w:val="2E7D5B"/>
          <w:sz w:val="26"/>
          <w:szCs w:val="26"/>
        </w:rPr>
        <w:t xml:space="preserve">Agency Layer — Architecture, Build Methodology &amp; Adoption</w:t>
      </w:r>
    </w:p>
    <w:p>
      <w:pPr>
        <w:spacing w:after="240"/>
      </w:pPr>
      <w:r>
        <w:rPr>
          <w:i/>
          <w:iCs/>
          <w:color w:val="5A6B7B"/>
          <w:sz w:val="20"/>
          <w:szCs w:val="20"/>
        </w:rPr>
        <w:t xml:space="preserve">Phase 7 cognitive-orchestration layer for Molly-Core. Version 1.0.</w:t>
      </w:r>
    </w:p>
    <w:p>
      <w:pPr>
        <w:pStyle w:val="Heading1"/>
      </w:pPr>
      <w:r>
        <w:t xml:space="preserve">1. Purpose &amp; Scope</w:t>
      </w:r>
    </w:p>
    <w:p>
      <w:pPr>
        <w:spacing w:after="120"/>
      </w:pPr>
      <w:r>
        <w:t xml:space="preserve">This SOP defines how the Phase 7 agency layer is architected, how each module is built and verified, and how the layer is adopted into Molly-Core. It is both a build standard (how to add new modules) and an operations guide (how to run and tune what exists).</w:t>
      </w:r>
    </w:p>
    <w:p>
      <w:pPr>
        <w:spacing w:after="120"/>
      </w:pPr>
      <w:r>
        <w:t xml:space="preserve">Scope: the cognitive-orchestration layer that sits above the model and below the existing flows/tools — parameter governance, the cognitive governor, the admin window and command console, the provenance log, goal arbitration, and uncertainty-gated escalation. It does not cover the Android embodiment client, which is treated as an external body the layer communicates with.</w:t>
      </w:r>
    </w:p>
    <w:p>
      <w:pPr>
        <w:pStyle w:val="Heading1"/>
      </w:pPr>
      <w:r>
        <w:t xml:space="preserve">2. Core Architectural Principles</w:t>
      </w:r>
    </w:p>
    <w:p>
      <w:pPr>
        <w:spacing w:after="120"/>
      </w:pPr>
      <w:r>
        <w:t xml:space="preserve">Every module in this layer adheres to five non-negotiable principles. New work is reviewed against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source of truth. Every tunable runtime value lives in the parameter registry. No module keeps its own private mutable copy of a shared parameter.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writer per parameter. Each parameter has exactly one owning subsystem permitted to commit it. All others may only propose; the owner accepts or rejects. This is what prevents feedback loops from thrashing over shared state.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Recommend, do not execute. Cognitive modules (arbitration, escalation) produce decisions and rankings. They never directly fire actions. Execution is a separate, gated step.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Gate on action, not on cognition. Reasoning, goal formation, and planning run with wide latitude. The human-in-the-loop check applies to actions that touch the live device, scaled by reversibility and sensitivity.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Everything tunable and logged. Thresholds and limits are registry parameters adjustable live from the admin window. Every change and every action decision is recorded with who, when, and why.</w:t>
      </w:r>
    </w:p>
    <w:p>
      <w:pPr>
        <w:pStyle w:val="Heading1"/>
      </w:pPr>
      <w:r>
        <w:t xml:space="preserve">3. Build Methodology (per module)</w:t>
      </w:r>
    </w:p>
    <w:p>
      <w:pPr>
        <w:spacing w:after="120"/>
      </w:pPr>
      <w:r>
        <w:t xml:space="preserve">This is the standard for adding any new module to the agency layer. Each module is small, pure where possible, and proven before the next one begins.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Define the contract first. Write the types and the one-sentence responsibility. State explicitly what the module does NOT do.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real mechanism. No placeholder bodies, no pseudocode, no functions that return their input unchanged. If logic is not yet known, the file is a documented spec, not fake code.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Source tunables from the registry. Any threshold or limit is a registry parameter with an owner and bounds, not a hard-coded constant.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Write a smoke test that proves the contract. Cover the happy path, the boundary conditions, the failure modes, and the tunability. The test must pass before the module is considered done.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Typecheck strict. The module compiles under strict TypeScript with no errors before integration.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Wire to provenance. Any module that influences an action records its decision on the provenance log so the causal chain stays complete.</w:t>
      </w:r>
    </w:p>
    <w:p>
      <w:pPr>
        <w:spacing w:after="120"/>
      </w:pPr>
      <w:r>
        <w:rPr>
          <w:b/>
          <w:bCs/>
        </w:rPr>
        <w:t xml:space="preserve">Definition of done: contract documented, real implementation, registry-sourced tunables, passing smoke test, strict typecheck clean, provenance wired where applicable.</w:t>
      </w:r>
    </w:p>
    <w:p>
      <w:pPr>
        <w:pStyle w:val="Heading1"/>
      </w:pPr>
      <w:r>
        <w:t xml:space="preserve">4. Module Inventory</w:t>
      </w:r>
    </w:p>
    <w:p>
      <w:pPr>
        <w:spacing w:after="120"/>
      </w:pPr>
      <w:r>
        <w:t xml:space="preserve">Nine deliverables built to this standard. Paths are under src/ai/ unless noted.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6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6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6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Parameter Registry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agency/registry/parameter-registry.ts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Single source of truth for every tunable; ownership + propose/commit + audit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Cognitive Governor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agency/governor/cognitive-governor.ts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Admission control + concurrency caps; owns its params in the registry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Registry Admin API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agency/registry-api.ts (+ routes)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Read snapshot/history; write via propose or token-gated override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Console Engine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agency/console-engine.ts (+ route)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 command interface over the same propose/override/resolve paths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 Window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components/agency/AgencyAdminWindow.tsx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 typed-control panel; sliders + override mode; SSE stream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Agency Console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components/agency/AgencyConsole.tsx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Terminal UI: history, tab-complete, out/err streams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Provenance Log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agency/provenance/provenance-log.ts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Causal trace tying each action to its goal + perception + gate decision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Goal Arbitration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agency/goals/goal-arbitration.ts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Ranks + bounds candidate goals; user-priority dominant, tunable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Uncertainty Escalation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agency/gating/uncertainty-escalation.ts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Allow/block/confirm/guidance by confidence scaled by risk + ambiguity</w:t>
            </w:r>
          </w:p>
        </w:tc>
      </w:tr>
    </w:tbl>
    <w:p>
      <w:pPr>
        <w:spacing w:before="120"/>
      </w:pPr>
      <w:r>
        <w:rPr>
          <w:i/>
          <w:iCs/>
          <w:color w:val="5A6B7B"/>
          <w:sz w:val="19"/>
          <w:szCs w:val="19"/>
        </w:rPr>
        <w:t xml:space="preserve">Verification status: 59 test groups across 7 test suites, all passing; all modules typecheck together under strict TypeScript.</w:t>
      </w:r>
    </w:p>
    <w:p>
      <w:pPr>
        <w:pStyle w:val="Heading1"/>
      </w:pPr>
      <w:r>
        <w:t xml:space="preserve">5. Adoption Sequence</w:t>
      </w:r>
    </w:p>
    <w:p>
      <w:pPr>
        <w:spacing w:after="120"/>
      </w:pPr>
      <w:r>
        <w:t xml:space="preserve">Adopt in dependency order. Each step is independently shippable.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Land the parameter registry. It has no dependencies and everything else needs it. Initialize one instance in src/instrumentation.ts (same place storage sync is wired).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Land the governor against the registry. It becomes the first registry consumer and the admission spine.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the two API routes + SSE stream, then mount the admin window and console on an admin route. Set MOLLY_ADMIN_TOKEN in .env.local — override stays disabled until it is set (this is intentional, fail-closed).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Land the provenance log and thread one trace through a conversation turn. Attach a persistence sink (Firestore/JSONL) when ready.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Land goal arbitration; feed its candidate goals from goal-evolution and user requests. Register its weights as registry parameters to tune from the panel.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Land uncertainty escalation in the action path. Its output is a gate decision that lands on the provenance log; its thresholds are registry parameters.</w:t>
      </w:r>
    </w:p>
    <w:p>
      <w:pPr>
        <w:pStyle w:val="Heading1"/>
      </w:pPr>
      <w:r>
        <w:t xml:space="preserve">6. Operating the Admin Window</w:t>
      </w:r>
    </w:p>
    <w:p>
      <w:pPr>
        <w:pStyle w:val="Heading2"/>
      </w:pPr>
      <w:r>
        <w:t xml:space="preserve">Write modes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Propose (default): edits file a proposal; the owning subsystem decides. Safe, no token required, fully audited.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Operator override: bypasses ownership intentionally. Requires the x-molly-admin-token header to match MOLLY_ADMIN_TOKEN. Always tagged operator-override in the audit trail and rendered in amber in the UI.</w:t>
      </w:r>
    </w:p>
    <w:p>
      <w:pPr>
        <w:pStyle w:val="Heading2"/>
      </w:pPr>
      <w:r>
        <w:t xml:space="preserve">Two surfaces, one source of truth</w:t>
      </w:r>
    </w:p>
    <w:p>
      <w:pPr>
        <w:spacing w:after="120"/>
      </w:pPr>
      <w:r>
        <w:t xml:space="preserve">The slider panel and the command console route through the same propose/override/resolve paths and share the live change stream. An edit on one surface appears immediately in the other’s feed. Two operators can drive one system with a complete shared audit trail.</w:t>
      </w:r>
    </w:p>
    <w:p>
      <w:pPr>
        <w:pStyle w:val="Heading2"/>
      </w:pPr>
      <w:r>
        <w:t xml:space="preserve">Escalation tuning</w:t>
      </w:r>
    </w:p>
    <w:p>
      <w:pPr>
        <w:spacing w:after="120"/>
      </w:pPr>
      <w:r>
        <w:t xml:space="preserve">The confirm-versus-guidance behavior is controlled by guidanceAmbiguityThreshold. Raise it for more quick yes/no confirms; lower it for more open guidance questions. Confidence thresholds and the risk floor are likewise registry parameters.</w:t>
      </w:r>
    </w:p>
    <w:p>
      <w:pPr>
        <w:pStyle w:val="Heading1"/>
      </w:pPr>
      <w:r>
        <w:t xml:space="preserve">7. Safety Posture (held constant)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Cognition is wide open; live actions are gated. The layer never removes the human from the high-stakes action path.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High-risk actions (financial, destructive, denylisted apps) require human confirmation regardless of confidence — the risk floor is absolute.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Self-adjusting loops propose into the registry; they do not write live. Every attempted self-adjustment, accepted or rejected, is in the history.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Intended-but-blocked actions are logged with full reasoning, not silently dropped — richer behavioral data and a complete audit.</w:t>
      </w:r>
    </w:p>
    <w:p>
      <w:pPr>
        <w:pStyle w:val="Heading1"/>
      </w:pPr>
      <w:r>
        <w:t xml:space="preserve">8. Deliberately Deferred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Codespace system shell in the admin window — requires its own pass: auth token, bound behind the Codespace’s own auth on the forwarded port, every command audited. Not bolted onto the registry console.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Self-tuning loops (somatic loop, predictive homeostasis, self-calibration, value-drift monitor) — built last, on purpose, since they act on everything above. Self-calibration writes proposals only, never live state.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Persistence sinks for the provenance log and registry history — interface is ready; backend wiring is a follow-on.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A6B7B"/>
        <w:sz w:val="16"/>
        <w:szCs w:val="16"/>
      </w:rPr>
      <w:t xml:space="preserve">Internal — Molly-Core research</w:t>
    </w:r>
    <w:r>
      <w:rPr>
        <w:sz w:val="16"/>
        <w:szCs w:val="16"/>
      </w:rPr>
      <w:t xml:space="preserve">	</w:t>
    </w:r>
    <w:r>
      <w:rPr>
        <w:color w:val="5A6B7B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5B" w:sz="4" w:space="1"/>
      </w:pBdr>
    </w:pPr>
    <w:r>
      <w:rPr>
        <w:color w:val="5A6B7B"/>
        <w:sz w:val="16"/>
        <w:szCs w:val="16"/>
      </w:rPr>
      <w:t xml:space="preserve">Molly-Core · Agency Layer SOP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2E7D5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C26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2026-05-29T09:39:07.415Z</dcterms:created>
  <dcterms:modified xsi:type="dcterms:W3CDTF">2026-05-29T09:39:07.415Z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