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P</w:t>
      </w:r>
      <w:r>
        <w:rPr>
          <w:rFonts w:hint="default" w:eastAsiaTheme="minorEastAsia"/>
          <w:sz w:val="22"/>
          <w:szCs w:val="22"/>
          <w:lang w:val="en-US" w:eastAsia="zh-CN"/>
        </w:rPr>
        <w:t xml:space="preserve">ipeline </w:t>
      </w:r>
      <w:r>
        <w:rPr>
          <w:rFonts w:hint="default"/>
          <w:sz w:val="22"/>
          <w:szCs w:val="22"/>
          <w:lang w:val="en-US" w:eastAsia="zh-CN"/>
        </w:rPr>
        <w:t>for the project?</w:t>
      </w:r>
    </w:p>
    <w:p>
      <w:pPr>
        <w:numPr>
          <w:ilvl w:val="0"/>
          <w:numId w:val="0"/>
        </w:numPr>
        <w:rPr>
          <w:rFonts w:hint="default" w:eastAsiaTheme="minorEastAsia"/>
          <w:sz w:val="22"/>
          <w:szCs w:val="22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PDF text layer first (if present) → extract via a PDF text extractor (avoids OCR entirely).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PDF text (no OCR)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pdfminer.six – lowest-level, best raw text extraction when a text layer exists.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pdfplumber – wraps pdfminer nicely; easy per-page text + layout (y/x) and table hints.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pypdf (formerly PyPDF2) – simple metadata &amp; text; fine for basic docs, weaker on layout.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pymupdf (fitz) – fast; text, blocks, and coordinates; can also rasterize pages.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pypdfium2 – bindings to PDFium</w:t>
      </w:r>
      <w:r>
        <w:rPr>
          <w:rFonts w:hint="default"/>
          <w:sz w:val="22"/>
          <w:szCs w:val="22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eastAsiaTheme="minorEastAsia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eastAsiaTheme="minorEastAsia"/>
          <w:sz w:val="22"/>
          <w:szCs w:val="22"/>
          <w:lang w:val="en-US" w:eastAsia="zh-CN"/>
        </w:rPr>
        <w:t>OCR (fallback only, still non-LLM)</w:t>
      </w:r>
      <w:r>
        <w:rPr>
          <w:rFonts w:hint="eastAsia"/>
          <w:sz w:val="22"/>
          <w:szCs w:val="2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paddleocr – modern DL OCR; has PP-Structure for tables.</w:t>
      </w:r>
      <w:r>
        <w:rPr>
          <w:rFonts w:hint="default"/>
          <w:sz w:val="22"/>
          <w:szCs w:val="2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pytesseract – thin wrapper for Tesseract; OK for clean scans.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eastAsiaTheme="minorEastAsia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 xml:space="preserve">OR we skip 1. to get </w:t>
      </w:r>
      <w:r>
        <w:rPr>
          <w:rFonts w:hint="eastAsia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 xml:space="preserve">info with </w:t>
      </w:r>
      <w:r>
        <w:rPr>
          <w:rFonts w:hint="default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beter quality</w:t>
      </w:r>
      <w:r>
        <w:rPr>
          <w:rFonts w:hint="eastAsia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 xml:space="preserve">Otherwise OCR: </w:t>
      </w:r>
      <w:r>
        <w:rPr>
          <w:rFonts w:hint="eastAsia"/>
          <w:sz w:val="22"/>
          <w:szCs w:val="22"/>
          <w:lang w:val="en-US" w:eastAsia="zh-CN"/>
        </w:rPr>
        <w:t xml:space="preserve">such as </w:t>
      </w:r>
      <w:r>
        <w:rPr>
          <w:rFonts w:hint="default" w:eastAsiaTheme="minorEastAsia"/>
          <w:sz w:val="22"/>
          <w:szCs w:val="22"/>
          <w:lang w:val="en-US" w:eastAsia="zh-CN"/>
        </w:rPr>
        <w:t>PaddleOCR</w:t>
      </w:r>
      <w:r>
        <w:rPr>
          <w:rFonts w:hint="default"/>
          <w:sz w:val="22"/>
          <w:szCs w:val="22"/>
          <w:lang w:val="en-US" w:eastAsia="zh-CN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"https://github.com/PaddlePaddle/PaddleOCR?tab=readme-ov-file"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https://github.com/PaddlePaddle/PaddleOCR?tab=readme-ov-file</w:t>
      </w:r>
      <w:r>
        <w:rPr>
          <w:rFonts w:hint="default"/>
          <w:lang w:val="en-US"/>
        </w:rPr>
        <w:fldChar w:fldCharType="end"/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Field mapping: map tokens to slots (Amount Due, Due Date, CPT/HCPCS, copay/deductible/coinsurance).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 w:eastAsiaTheme="minorEastAsia"/>
          <w:sz w:val="22"/>
          <w:szCs w:val="22"/>
          <w:lang w:val="en-US" w:eastAsia="zh-CN"/>
        </w:rPr>
        <w:t>Graph build: write nodes/edges (Invoice, LineItem, ProcedureCode, Payment…) for Memgraph.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Create a patient-centric JSON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Exports nodes.csv / edges.csv for Memgraph, and shows how this plugs into GraphRAG (graph → answer).</w:t>
      </w: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Links: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Data: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"https://synthetichealth.github.io/synthea/"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https://synthetichealth.github.io/synthea/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My bill</w:t>
      </w: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"https://www.healthcostlabs.com/"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9"/>
          <w:rFonts w:hint="default" w:eastAsia="宋体"/>
          <w:lang w:val="en-US" w:eastAsia="zh-CN"/>
        </w:rPr>
        <w:t>https://www.healthcostlabs.com/</w:t>
      </w:r>
      <w:r>
        <w:rPr>
          <w:rFonts w:hint="default" w:eastAsia="宋体"/>
          <w:lang w:val="en-US" w:eastAsia="zh-CN"/>
        </w:rPr>
        <w:fldChar w:fldCharType="end"/>
      </w: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background: </w:t>
      </w:r>
    </w:p>
    <w:p>
      <w:pPr>
        <w:numPr>
          <w:ilvl w:val="0"/>
          <w:numId w:val="2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GOV: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HYPERLINK "https://www.cms.gov/medical-bill-rights"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Style w:val="9"/>
          <w:rFonts w:hint="eastAsia" w:eastAsia="宋体"/>
          <w:lang w:val="en-US" w:eastAsia="zh-CN"/>
        </w:rPr>
        <w:t>https://www.cms.gov/medical-bill-rights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The No Surprises Act protects people from unexpected medical bills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not automatic extraction from uploaded bills + linking to codes/line items</w:t>
      </w:r>
    </w:p>
    <w:p>
      <w:pPr>
        <w:numPr>
          <w:ilvl w:val="0"/>
          <w:numId w:val="2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HYPERLINK "https://arxiv.org/abs/1805.05927"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Style w:val="9"/>
          <w:rFonts w:hint="eastAsia" w:eastAsia="宋体"/>
          <w:lang w:val="en-US" w:eastAsia="zh-CN"/>
        </w:rPr>
        <w:t>https://arxiv.org/abs/1805.05927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CLINIQA: A Machine Intelligence Based Clinical Question Answering System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not built for patient bills or structured bill extraction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"https://arxiv.org/abs/2209.15301"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9"/>
          <w:rFonts w:hint="default" w:eastAsia="宋体"/>
          <w:lang w:val="en-US" w:eastAsia="zh-CN"/>
        </w:rPr>
        <w:t>https://arxiv.org/abs/2209.15301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Medical Question Understanding and Answering with Knowledge Grounding and Semantic Self-Supervision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"https://pmc.ncbi.nlm.nih.gov/articles/PMC8444078/"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9"/>
          <w:rFonts w:hint="default" w:eastAsia="宋体"/>
          <w:lang w:val="en-US" w:eastAsia="zh-CN"/>
        </w:rPr>
        <w:t>https://pmc.ncbi.nlm.nih.gov/articles/PMC8444078/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default" w:eastAsia="宋体"/>
          <w:lang w:val="en-US" w:eastAsia="zh-CN"/>
        </w:rPr>
        <w:t xml:space="preserve"> A knowledge graph based question answering method for medical domain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"https://pubmed.ncbi.nlm.nih.gov/38366879/"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9"/>
          <w:rFonts w:hint="default" w:eastAsia="宋体"/>
          <w:lang w:val="en-US" w:eastAsia="zh-CN"/>
        </w:rPr>
        <w:t>https://pubmed.ncbi.nlm.nih.gov/38366879/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default" w:eastAsia="宋体"/>
          <w:lang w:val="en-US" w:eastAsia="zh-CN"/>
        </w:rPr>
        <w:t xml:space="preserve"> Question answering systems for health professionals at the point of care-a systematic review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strike/>
          <w:dstrike w:val="0"/>
          <w:lang w:val="en-US" w:eastAsia="zh-CN"/>
        </w:rPr>
        <w:fldChar w:fldCharType="begin"/>
      </w:r>
      <w:r>
        <w:rPr>
          <w:rFonts w:hint="default" w:eastAsia="宋体"/>
          <w:strike/>
          <w:dstrike w:val="0"/>
          <w:lang w:val="en-US" w:eastAsia="zh-CN"/>
        </w:rPr>
        <w:instrText xml:space="preserve"> HYPERLINK "https://arxiv.org/abs/2203.14371" </w:instrText>
      </w:r>
      <w:r>
        <w:rPr>
          <w:rFonts w:hint="default" w:eastAsia="宋体"/>
          <w:strike/>
          <w:dstrike w:val="0"/>
          <w:lang w:val="en-US" w:eastAsia="zh-CN"/>
        </w:rPr>
        <w:fldChar w:fldCharType="separate"/>
      </w:r>
      <w:r>
        <w:rPr>
          <w:rStyle w:val="9"/>
          <w:rFonts w:hint="default" w:eastAsia="宋体"/>
          <w:strike/>
          <w:dstrike w:val="0"/>
          <w:lang w:val="en-US" w:eastAsia="zh-CN"/>
        </w:rPr>
        <w:t>https://arxiv.org/abs/2203.14371</w:t>
      </w:r>
      <w:r>
        <w:rPr>
          <w:rFonts w:hint="default" w:eastAsia="宋体"/>
          <w:strike/>
          <w:dstrike w:val="0"/>
          <w:lang w:val="en-US" w:eastAsia="zh-CN"/>
        </w:rPr>
        <w:fldChar w:fldCharType="end"/>
      </w:r>
      <w:r>
        <w:rPr>
          <w:rFonts w:hint="default" w:eastAsia="宋体"/>
          <w:strike/>
          <w:dstrike w:val="0"/>
          <w:lang w:val="en-US" w:eastAsia="zh-CN"/>
        </w:rPr>
        <w:t xml:space="preserve"> MedMCQA : A Large-scale Multi-Subject Multi-Choice Dataset for Medical domain Question Answering</w:t>
      </w:r>
      <w:bookmarkStart w:id="0" w:name="_GoBack"/>
      <w:bookmarkEnd w:id="0"/>
    </w:p>
    <w:p>
      <w:pPr>
        <w:numPr>
          <w:ilvl w:val="0"/>
          <w:numId w:val="0"/>
        </w:numPr>
        <w:spacing w:line="276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com</w:t>
      </w:r>
      <w:r>
        <w:rPr>
          <w:rFonts w:hint="default" w:eastAsia="宋体"/>
          <w:lang w:val="en-US" w:eastAsia="zh-CN"/>
        </w:rPr>
        <w:t>pare matrix?</w:t>
      </w:r>
    </w:p>
    <w:p>
      <w:pPr>
        <w:widowControl w:val="0"/>
        <w:numPr>
          <w:numId w:val="0"/>
        </w:numPr>
        <w:jc w:val="both"/>
        <w:rPr>
          <w:rFonts w:hint="default"/>
          <w:sz w:val="22"/>
          <w:szCs w:val="22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R</w:t>
      </w:r>
      <w:r>
        <w:rPr>
          <w:rtl w:val="0"/>
        </w:rPr>
        <w:t>ealistic questions</w:t>
      </w:r>
      <w:r>
        <w:rPr>
          <w:rFonts w:hint="default"/>
          <w:rtl w:val="0"/>
          <w:lang w:val="en-US"/>
        </w:rPr>
        <w:t xml:space="preserve">\LLM </w:t>
      </w:r>
      <w:r>
        <w:rPr>
          <w:rtl w:val="0"/>
        </w:rPr>
        <w:t>hallucinat</w:t>
      </w:r>
      <w:r>
        <w:rPr>
          <w:rFonts w:hint="default"/>
          <w:rtl w:val="0"/>
          <w:lang w:val="en-US"/>
        </w:rPr>
        <w:t>ion anylsis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60"/>
        <w:gridCol w:w="1970"/>
        <w:gridCol w:w="3238"/>
        <w:gridCol w:w="2630"/>
        <w:gridCol w:w="5776"/>
      </w:tblGrid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 w:eastAsiaTheme="minorEastAsia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 w:eastAsiaTheme="minorEastAsia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kern w:val="0"/>
                <w:sz w:val="22"/>
                <w:szCs w:val="22"/>
                <w:lang w:val="en-US" w:eastAsia="zh-CN" w:bidi="ar"/>
              </w:rPr>
              <w:t>Question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 w:eastAsiaTheme="minorEastAsia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kern w:val="0"/>
                <w:sz w:val="22"/>
                <w:szCs w:val="22"/>
                <w:lang w:val="en-US" w:eastAsia="zh-CN" w:bidi="ar"/>
              </w:rPr>
              <w:t>Typical LLM failure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 w:eastAsiaTheme="minorEastAsia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kern w:val="0"/>
                <w:sz w:val="22"/>
                <w:szCs w:val="22"/>
                <w:lang w:val="en-US" w:eastAsia="zh-CN" w:bidi="ar"/>
              </w:rPr>
              <w:t>Root cause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Bold" w:hAnsi="Times New Roman Bold" w:cs="Times New Roman Bold" w:eastAsiaTheme="minorEastAsia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kern w:val="0"/>
                <w:sz w:val="22"/>
                <w:szCs w:val="22"/>
                <w:lang w:val="en-US" w:eastAsia="zh-CN" w:bidi="ar"/>
              </w:rPr>
              <w:t>How GraphRAG + traditional ML fixes it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“How much do I actually owe, and by when?”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Makes up totals; Confuses “Amount Due” vs “Total Balance”; misses “Minimum Payment”.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OCR noise; layout ambiguity; similar terms in different places.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Extract fields via regex/CRF (Amount Due, Total Balance, Minimum Payment, Due Date) →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Invoice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node properties; graph answers from those fields only.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“What is this code and what was it for?”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Invents definitions; confuses CPT vs ICD; gives generic medical info not tied to bill.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No code-system grounding; retrieval from the wrong source.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Normalize to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ProcedureCode(code_system, code)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nodes linked to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LineItem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; descriptions filled from a curated code dictionary; answers are grounded to the exact LineItem.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“Why is my charge so high? Didn’t insurance pay?”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Hallucinates payer payments; mixes copay/deductible/coinsurance.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Table parsing is hard; similar money columns.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Traditional ML/table heuristics to map columns →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LineItem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properties (charge/allowed/payer_paid/patient_parts); graph sums patient responsibility deterministically.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“What did I already pay, and what’s remaining?”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Assumes last payment equals current balance; fabricates a “remaining” number.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Missing payment history in context; loose arithmetic.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Represent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Payment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nodes → </w:t>
            </w:r>
            <w:r>
              <w:rPr>
                <w:rStyle w:val="10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(:Payment)-[:APPLIED_TO]-&gt;(:Invoice)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; compute remaining = sum(charges) − sum(payments/adjustments).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“Is this duplicate billing?”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Flags duplicates incorrectly; misses true duplicates.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Needs cross-document matching (date/procedure/provider/amount).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Graph query across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Invoice–LineItem–ProcedureCode–Visit–Provider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; deduplicate by keys (date±window, code, provider, amount).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“Was anything denied or out-of-network?”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Makes up network status.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Requires payer adjudication details that aren’t in the text block.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If present: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Adjustment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with </w:t>
            </w:r>
            <w:r>
              <w:rPr>
                <w:rStyle w:val="10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reason_code/text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InsurancePlan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+ provider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Organization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in/out-of-network marker; otherwise, clearly state “not present in document.”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“If I set up a payment plan, how much per month?”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Invents a schedule or divides incorrectly without fees/interest.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Hidden terms; partial info.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Use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Invoice.minimum_payment_cents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if present; otherwise compute conservative scenarios and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label as estimate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with assumptions disclosed.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“Which provider billed me for this?”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Mixes provider, lab, system billing office; wrong phone.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Multiple logos/names on page.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Visit–BILLED_BY→Provider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or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Invoice–BILLED_BY→Provider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with a single authoritative name;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ContactChannel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for phone/URL from the same section the field came from.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“What dates of service are these charges for?”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Returns statement date instead of service date; or estimates.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Ambiguous date labels.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Extract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Visit.service_date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vs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Invoice.statement_date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distinctly; graph enforces semantic difference.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“Can I appeal / request financial assistance?”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Overpromises eligibility; cites non-existent policies.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Policy depends on provider/payer; not in the bill.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Only report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Document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sections that explicitly mention assistance; store policy URLs as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ContactChannel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; otherwise reply “not present.”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“Is this treatment necessary?”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Hallucinates clinical guidance; unsafe advice.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Medical judgment; not a billing fact.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Defer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clinical necessity; provide code description + costs; optionally link to reputable info but clearly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avoid medical advice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>
        <w:tc>
          <w:tcPr>
            <w:tcW w:w="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19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“What happens if I don’t pay by the due date?”</w:t>
            </w:r>
          </w:p>
        </w:tc>
        <w:tc>
          <w:tcPr>
            <w:tcW w:w="323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Speculates collections timeline.</w:t>
            </w:r>
          </w:p>
        </w:tc>
        <w:tc>
          <w:tcPr>
            <w:tcW w:w="26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Policy varies; not always on bill.</w:t>
            </w:r>
          </w:p>
        </w:tc>
        <w:tc>
          <w:tcPr>
            <w:tcW w:w="57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If dunning text present, quote it with provenance; else say “policy not stated—call </w:t>
            </w:r>
            <w:r>
              <w:rPr>
                <w:rStyle w:val="7"/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Billing Office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 xml:space="preserve"> (from graph).”</w:t>
            </w:r>
          </w:p>
        </w:tc>
      </w:tr>
    </w:tbl>
    <w:p/>
    <w:p>
      <w:pPr>
        <w:numPr>
          <w:numId w:val="0"/>
        </w:numPr>
        <w:rPr>
          <w:rFonts w:hint="default"/>
          <w:lang w:val="en-US"/>
        </w:rPr>
      </w:pPr>
    </w:p>
    <w:sectPr>
      <w:pgSz w:w="16838" w:h="11906" w:orient="landscape"/>
      <w:pgMar w:top="1800" w:right="1440" w:bottom="1800" w:left="144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F715F"/>
    <w:multiLevelType w:val="singleLevel"/>
    <w:tmpl w:val="DEFF715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D7A8E0"/>
    <w:multiLevelType w:val="singleLevel"/>
    <w:tmpl w:val="F5D7A8E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760803"/>
    <w:multiLevelType w:val="singleLevel"/>
    <w:tmpl w:val="FE76080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ED05D1"/>
    <w:rsid w:val="EEED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2025-10-03T13:48:00Z</dcterms:created>
  <dc:creator>DJ</dc:creator>
  <cp:lastModifiedBy>DJ</cp:lastModifiedBy>
  <dcterms:modified xsi:type="dcterms:W3CDTF">2025-10-06T12:27:48Z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4870E79D63792DB9570CE068C54B094B_41</vt:lpwstr>
  </property>
</Properties>
</file>