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12l5-calculator-tool-narrative"/>
    <w:p>
      <w:pPr>
        <w:pStyle w:val="Heading1"/>
      </w:pPr>
      <w:r>
        <w:t xml:space="preserve">M12L5 Calculator Tool Narrative</w:t>
      </w:r>
    </w:p>
    <w:p>
      <w:pPr>
        <w:pStyle w:val="FirstParagraph"/>
      </w:pPr>
      <w:r>
        <w:t xml:space="preserve">First let’s revisit the previous script and notice one thing.</w:t>
      </w:r>
    </w:p>
    <w:p>
      <w:pPr>
        <w:pStyle w:val="BodyText"/>
      </w:pPr>
      <w:r>
        <w:t xml:space="preserve">Task.run() is being called by our code, or by us as humans –</w:t>
      </w:r>
      <w:r>
        <w:t xml:space="preserve"> </w:t>
      </w:r>
      <w:r>
        <w:t xml:space="preserve">but it’s also perfectly possible for another agent to call it!</w:t>
      </w:r>
      <w:r>
        <w:t xml:space="preserve"> </w:t>
      </w:r>
      <w:r>
        <w:t xml:space="preserve">But how would another agent call it – via a tool! And that’s the key idea - we can create a tool that delegates to our calculator Task.</w:t>
      </w:r>
    </w:p>
    <w:p>
      <w:pPr>
        <w:pStyle w:val="BodyText"/>
      </w:pPr>
      <w:r>
        <w:t xml:space="preserve">This is what we’ll see in the next script:</w:t>
      </w:r>
    </w:p>
    <w:p>
      <w:pPr>
        <w:pStyle w:val="BodyText"/>
      </w:pPr>
      <w:r>
        <w:t xml:space="preserve">Now that we have our calculator agent wrapped in a Task, let’s see how to make it available as a tool.</w:t>
      </w:r>
    </w:p>
    <w:p>
      <w:pPr>
        <w:pStyle w:val="BodyText"/>
      </w:pPr>
      <w:r>
        <w:t xml:space="preserve">This is where multi-agent composition begins - we’ll create a CalculatorTool whose handler delegates to our calculator Task.</w:t>
      </w:r>
    </w:p>
    <w:p>
      <w:pPr>
        <w:pStyle w:val="BodyText"/>
      </w:pPr>
      <w:r>
        <w:t xml:space="preserve">Let’s go thru the code</w:t>
      </w:r>
    </w:p>
    <w:p>
      <w:pPr>
        <w:pStyle w:val="BodyText"/>
      </w:pPr>
      <w:r>
        <w:t xml:space="preserve">Notice how we create the Task at module level with restart=False to maintain state across tool invocations.</w:t>
      </w:r>
    </w:p>
    <w:p>
      <w:pPr>
        <w:pStyle w:val="BodyText"/>
      </w:pPr>
      <w:r>
        <w:t xml:space="preserve">This pattern of tools delegating to specialized agents is the foundation for building sophisticated multi-agent systems.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2025-08-05T16:25:36Z</dcterms:created>
  <dcterms:modified xsi:type="dcterms:W3CDTF">2025-08-05T16:25:36Z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